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80" w:type="dxa"/>
            <w:vAlign w:val="bottom"/>
            <w:gridSpan w:val="2"/>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w w:val="99"/>
              </w:rPr>
              <w:t>001-35362</w:t>
            </w:r>
          </w:p>
        </w:tc>
        <w:tc>
          <w:tcPr>
            <w:tcW w:w="1480" w:type="dxa"/>
            <w:vAlign w:val="bottom"/>
          </w:tcPr>
          <w:p>
            <w:pPr>
              <w:spacing w:after="0"/>
              <w:rPr>
                <w:sz w:val="18"/>
                <w:szCs w:val="18"/>
                <w:color w:val="auto"/>
              </w:rPr>
            </w:pP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80-0743202</w:t>
            </w:r>
          </w:p>
        </w:tc>
      </w:tr>
      <w:tr>
        <w:trPr>
          <w:trHeight w:val="149"/>
        </w:trPr>
        <w:tc>
          <w:tcPr>
            <w:tcW w:w="214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340" w:type="dxa"/>
            <w:vAlign w:val="bottom"/>
          </w:tcPr>
          <w:p>
            <w:pPr>
              <w:spacing w:after="0"/>
              <w:rPr>
                <w:sz w:val="17"/>
                <w:szCs w:val="17"/>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tc>
        <w:tc>
          <w:tcPr>
            <w:tcW w:w="170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Needham, MA 02494</w:t>
            </w:r>
          </w:p>
        </w:tc>
        <w:tc>
          <w:tcPr>
            <w:tcW w:w="1700" w:type="dxa"/>
            <w:vAlign w:val="bottom"/>
          </w:tcPr>
          <w:p>
            <w:pPr>
              <w:spacing w:after="0"/>
              <w:rPr>
                <w:sz w:val="20"/>
                <w:szCs w:val="20"/>
                <w:color w:val="auto"/>
              </w:rPr>
            </w:pPr>
          </w:p>
        </w:tc>
      </w:tr>
      <w:tr>
        <w:trPr>
          <w:trHeight w:val="220"/>
        </w:trPr>
        <w:tc>
          <w:tcPr>
            <w:tcW w:w="2140" w:type="dxa"/>
            <w:vAlign w:val="bottom"/>
          </w:tcPr>
          <w:p>
            <w:pPr>
              <w:spacing w:after="0"/>
              <w:rPr>
                <w:sz w:val="19"/>
                <w:szCs w:val="19"/>
                <w:color w:val="auto"/>
              </w:rPr>
            </w:pPr>
          </w:p>
        </w:tc>
        <w:tc>
          <w:tcPr>
            <w:tcW w:w="5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9"/>
                <w:szCs w:val="19"/>
                <w:color w:val="auto"/>
              </w:rPr>
            </w:pPr>
          </w:p>
        </w:tc>
      </w:tr>
      <w:tr>
        <w:trPr>
          <w:trHeight w:val="363"/>
        </w:trPr>
        <w:tc>
          <w:tcPr>
            <w:tcW w:w="2140" w:type="dxa"/>
            <w:vAlign w:val="bottom"/>
          </w:tcPr>
          <w:p>
            <w:pPr>
              <w:spacing w:after="0"/>
              <w:rPr>
                <w:sz w:val="24"/>
                <w:szCs w:val="24"/>
                <w:color w:val="auto"/>
              </w:rPr>
            </w:pPr>
          </w:p>
        </w:tc>
        <w:tc>
          <w:tcPr>
            <w:tcW w:w="3580" w:type="dxa"/>
            <w:vAlign w:val="bottom"/>
            <w:gridSpan w:val="2"/>
          </w:tcPr>
          <w:p>
            <w:pPr>
              <w:jc w:val="center"/>
              <w:ind w:left="1221"/>
              <w:spacing w:after="0"/>
              <w:rPr>
                <w:sz w:val="20"/>
                <w:szCs w:val="20"/>
                <w:color w:val="auto"/>
              </w:rPr>
            </w:pPr>
            <w:r>
              <w:rPr>
                <w:rFonts w:ascii="Times New Roman" w:cs="Times New Roman" w:eastAsia="Times New Roman" w:hAnsi="Times New Roman"/>
                <w:sz w:val="18"/>
                <w:szCs w:val="18"/>
                <w:b w:val="1"/>
                <w:bCs w:val="1"/>
                <w:color w:val="auto"/>
                <w:w w:val="99"/>
              </w:rPr>
              <w:t>(781) 800-5000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132"/>
        </w:trPr>
        <w:tc>
          <w:tcPr>
            <w:tcW w:w="2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1700" w:type="dxa"/>
            <w:vAlign w:val="bottom"/>
          </w:tcPr>
          <w:p>
            <w:pPr>
              <w:spacing w:after="0"/>
              <w:rPr>
                <w:sz w:val="11"/>
                <w:szCs w:val="11"/>
                <w:color w:val="auto"/>
              </w:rPr>
            </w:pPr>
          </w:p>
        </w:tc>
      </w:tr>
    </w:tbl>
    <w:p>
      <w:pPr>
        <w:spacing w:after="0" w:line="1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TRIP</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line="1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April 6, 2026, Tripadvisor, Inc. (the “Company”) issued a press release regarding its 0.25% Convertible Senior Notes due 2026 (“2026 Senior Notes”). A copy of the press release is attached hereto as Exhibit 99.1.</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Item 7.01, including Exhibit 99.1, shall not be deemed “filed” for purposes of Section 18 of the Exchange Act, or otherwise subject to the liabilities of that section, nor shall they be incorporated by reference in any filing under the Securities Act, or the Exchange Act, except as expressly set forth by specific reference in such a filing.</w:t>
      </w:r>
    </w:p>
    <w:p>
      <w:pPr>
        <w:spacing w:after="0" w:line="2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80"/>
        <w:spacing w:after="0" w:line="181" w:lineRule="auto"/>
        <w:tabs>
          <w:tab w:leader="none" w:pos="780" w:val="left"/>
        </w:tabs>
        <w:rPr>
          <w:sz w:val="20"/>
          <w:szCs w:val="20"/>
          <w:color w:val="auto"/>
        </w:rPr>
      </w:pPr>
      <w:r>
        <w:rPr>
          <w:rFonts w:ascii="Times New Roman" w:cs="Times New Roman" w:eastAsia="Times New Roman" w:hAnsi="Times New Roman"/>
          <w:sz w:val="22"/>
          <w:szCs w:val="22"/>
          <w:b w:val="1"/>
          <w:bCs w:val="1"/>
          <w:color w:val="auto"/>
          <w:vertAlign w:val="subscript"/>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Tripadvisor, Inc. dated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248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9" w:lineRule="exact"/>
        <w:rPr>
          <w:sz w:val="20"/>
          <w:szCs w:val="20"/>
          <w:color w:val="auto"/>
        </w:rPr>
      </w:pPr>
    </w:p>
    <w:p>
      <w:pPr>
        <w:spacing w:after="0"/>
        <w:tabs>
          <w:tab w:leader="none" w:pos="5680" w:val="left"/>
          <w:tab w:leader="none" w:pos="7680" w:val="left"/>
        </w:tabs>
        <w:rPr>
          <w:sz w:val="20"/>
          <w:szCs w:val="20"/>
          <w:color w:val="auto"/>
        </w:rPr>
      </w:pPr>
      <w:r>
        <w:rPr>
          <w:rFonts w:ascii="Times New Roman" w:cs="Times New Roman" w:eastAsia="Times New Roman" w:hAnsi="Times New Roman"/>
          <w:sz w:val="18"/>
          <w:szCs w:val="18"/>
          <w:color w:val="auto"/>
        </w:rPr>
        <w:t>Date: April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Noonan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219075</wp:posOffset>
            </wp:positionV>
            <wp:extent cx="1525905"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Tripadvisor Repays Convertible Senior Notes</w:t>
      </w:r>
    </w:p>
    <w:p>
      <w:pPr>
        <w:spacing w:after="0" w:line="23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NEEDHAM, Mass, April 6, 2026 – Tripadvisor, Inc. (NASDAQ: TRIP) today announced it repaid its 0.25% Convertible Senior Notes due 2026 (“2026 Senior Notes”), at maturity, for $345.4 million, consisting of principal and accrued interest, funded by cash on hand. No holders converted, and no equity was issued in connection with this maturity.</w:t>
      </w:r>
    </w:p>
    <w:p>
      <w:pPr>
        <w:spacing w:after="0" w:line="17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2026 Senior Notes were originally issued in March 2021 for an aggregate principal amount of $345.0 million due April 1, 2026 in a private offering to qualified institutional buyers.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Tripadvisor, Inc.</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Tripadvisor, Inc. (Nasdaq: TRIP) connects people to experiences worth sharing, and aims to be the world’s most trusted source for travel and experiences. We leverage our brands, technology, and capabilities to connect our global audience with partners through rich content, travel guidance, and two-sided marketplaces for experiences, restaurants, and other travel categories such as hotels. The Tripadvisor Group includes a portfolio of travel brands and businesses, including Tripadvisor, Viator, and TheFork.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 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ir@tripadvisor.com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northamericapr@tripadvisor.com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666666"/>
        </w:rPr>
        <w:t>TRIP-G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2026-04-06T15:05:07Z</dcterms:created>
  <dcterms:modified xsi:type="dcterms:W3CDTF">2026-04-06T15:05:07Z</dcterms:modified>
</cp:coreProperties>
</file>