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55880</wp:posOffset>
            </wp:positionV>
            <wp:extent cx="2371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99"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80645</wp:posOffset>
            </wp:positionV>
            <wp:extent cx="2371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36"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24" w:lineRule="exact"/>
        <w:rPr>
          <w:sz w:val="24"/>
          <w:szCs w:val="24"/>
          <w:color w:val="auto"/>
        </w:rPr>
      </w:pPr>
    </w:p>
    <w:p>
      <w:pPr>
        <w:ind w:left="300" w:hanging="292"/>
        <w:spacing w:after="0"/>
        <w:tabs>
          <w:tab w:leader="none" w:pos="300" w:val="left"/>
        </w:tabs>
        <w:numPr>
          <w:ilvl w:val="0"/>
          <w:numId w:val="2"/>
        </w:numPr>
        <w:rPr>
          <w:rFonts w:ascii="Arial" w:cs="Arial" w:eastAsia="Arial" w:hAnsi="Arial"/>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6" w:lineRule="exact"/>
        <w:rPr>
          <w:sz w:val="24"/>
          <w:szCs w:val="24"/>
          <w:color w:val="auto"/>
        </w:rPr>
      </w:pPr>
    </w:p>
    <w:p>
      <w:pPr>
        <w:ind w:left="4260"/>
        <w:spacing w:after="0"/>
        <w:tabs>
          <w:tab w:leader="none" w:pos="64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jc w:val="center"/>
        <w:ind w:right="20"/>
        <w:spacing w:after="0"/>
        <w:rPr>
          <w:sz w:val="20"/>
          <w:szCs w:val="20"/>
          <w:color w:val="auto"/>
        </w:rPr>
      </w:pPr>
      <w:r>
        <w:rPr>
          <w:rFonts w:ascii="Arial" w:cs="Arial" w:eastAsia="Arial" w:hAnsi="Arial"/>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55880</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392"/>
        </w:trPr>
        <w:tc>
          <w:tcPr>
            <w:tcW w:w="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2"/>
          </w:tcPr>
          <w:p>
            <w:pPr>
              <w:ind w:left="260"/>
              <w:spacing w:after="0"/>
              <w:rPr>
                <w:sz w:val="20"/>
                <w:szCs w:val="20"/>
                <w:color w:val="auto"/>
              </w:rPr>
            </w:pPr>
            <w:r>
              <w:rPr>
                <w:rFonts w:ascii="Arial" w:cs="Arial" w:eastAsia="Arial" w:hAnsi="Arial"/>
                <w:sz w:val="32"/>
                <w:szCs w:val="32"/>
                <w:b w:val="1"/>
                <w:bCs w:val="1"/>
                <w:color w:val="auto"/>
              </w:rPr>
              <w:t>TRIPADVISOR, INC.</w:t>
            </w:r>
          </w:p>
        </w:tc>
        <w:tc>
          <w:tcPr>
            <w:tcW w:w="3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74"/>
        </w:trPr>
        <w:tc>
          <w:tcPr>
            <w:tcW w:w="7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2"/>
          </w:tcPr>
          <w:p>
            <w:pPr>
              <w:jc w:val="center"/>
              <w:ind w:left="216"/>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360" w:type="dxa"/>
            <w:vAlign w:val="bottom"/>
          </w:tcPr>
          <w:p>
            <w:pPr>
              <w:spacing w:after="0"/>
              <w:rPr>
                <w:sz w:val="15"/>
                <w:szCs w:val="15"/>
                <w:color w:val="auto"/>
              </w:rPr>
            </w:pPr>
          </w:p>
        </w:tc>
        <w:tc>
          <w:tcPr>
            <w:tcW w:w="3620" w:type="dxa"/>
            <w:vAlign w:val="bottom"/>
          </w:tcPr>
          <w:p>
            <w:pPr>
              <w:spacing w:after="0"/>
              <w:rPr>
                <w:sz w:val="15"/>
                <w:szCs w:val="15"/>
                <w:color w:val="auto"/>
              </w:rPr>
            </w:pPr>
          </w:p>
        </w:tc>
      </w:tr>
      <w:tr>
        <w:trPr>
          <w:trHeight w:val="68"/>
        </w:trPr>
        <w:tc>
          <w:tcPr>
            <w:tcW w:w="7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20" w:type="dxa"/>
            <w:vAlign w:val="bottom"/>
          </w:tcPr>
          <w:p>
            <w:pPr>
              <w:spacing w:after="0"/>
              <w:rPr>
                <w:sz w:val="5"/>
                <w:szCs w:val="5"/>
                <w:color w:val="auto"/>
              </w:rPr>
            </w:pPr>
          </w:p>
        </w:tc>
      </w:tr>
      <w:tr>
        <w:trPr>
          <w:trHeight w:val="237"/>
        </w:trPr>
        <w:tc>
          <w:tcPr>
            <w:tcW w:w="700" w:type="dxa"/>
            <w:vAlign w:val="bottom"/>
          </w:tcPr>
          <w:p>
            <w:pPr>
              <w:spacing w:after="0"/>
              <w:rPr>
                <w:sz w:val="20"/>
                <w:szCs w:val="20"/>
                <w:color w:val="auto"/>
              </w:rPr>
            </w:pPr>
          </w:p>
        </w:tc>
        <w:tc>
          <w:tcPr>
            <w:tcW w:w="2960" w:type="dxa"/>
            <w:vAlign w:val="bottom"/>
            <w:gridSpan w:val="2"/>
          </w:tcPr>
          <w:p>
            <w:pPr>
              <w:jc w:val="center"/>
              <w:ind w:left="1106"/>
              <w:spacing w:after="0"/>
              <w:rPr>
                <w:sz w:val="20"/>
                <w:szCs w:val="20"/>
                <w:color w:val="auto"/>
              </w:rPr>
            </w:pPr>
            <w:r>
              <w:rPr>
                <w:rFonts w:ascii="Arial" w:cs="Arial" w:eastAsia="Arial" w:hAnsi="Arial"/>
                <w:sz w:val="14"/>
                <w:szCs w:val="14"/>
                <w:b w:val="1"/>
                <w:bCs w:val="1"/>
                <w:color w:val="auto"/>
                <w:w w:val="94"/>
              </w:rPr>
              <w:t>Delaware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980" w:type="dxa"/>
            <w:vAlign w:val="bottom"/>
            <w:gridSpan w:val="2"/>
          </w:tcPr>
          <w:p>
            <w:pPr>
              <w:jc w:val="center"/>
              <w:ind w:right="1211"/>
              <w:spacing w:after="0"/>
              <w:rPr>
                <w:sz w:val="20"/>
                <w:szCs w:val="20"/>
                <w:color w:val="auto"/>
              </w:rPr>
            </w:pPr>
            <w:r>
              <w:rPr>
                <w:rFonts w:ascii="Arial" w:cs="Arial" w:eastAsia="Arial" w:hAnsi="Arial"/>
                <w:sz w:val="14"/>
                <w:szCs w:val="14"/>
                <w:b w:val="1"/>
                <w:bCs w:val="1"/>
                <w:color w:val="auto"/>
                <w:w w:val="93"/>
              </w:rPr>
              <w:t>80-0743202</w:t>
            </w:r>
          </w:p>
        </w:tc>
      </w:tr>
      <w:tr>
        <w:trPr>
          <w:trHeight w:val="148"/>
        </w:trPr>
        <w:tc>
          <w:tcPr>
            <w:tcW w:w="700" w:type="dxa"/>
            <w:vAlign w:val="bottom"/>
          </w:tcPr>
          <w:p>
            <w:pPr>
              <w:spacing w:after="0"/>
              <w:rPr>
                <w:sz w:val="12"/>
                <w:szCs w:val="12"/>
                <w:color w:val="auto"/>
              </w:rPr>
            </w:pPr>
          </w:p>
        </w:tc>
        <w:tc>
          <w:tcPr>
            <w:tcW w:w="2960" w:type="dxa"/>
            <w:vAlign w:val="bottom"/>
            <w:gridSpan w:val="2"/>
          </w:tcPr>
          <w:p>
            <w:pPr>
              <w:jc w:val="center"/>
              <w:ind w:left="1086"/>
              <w:spacing w:after="0" w:line="149" w:lineRule="exact"/>
              <w:rPr>
                <w:sz w:val="20"/>
                <w:szCs w:val="20"/>
                <w:color w:val="auto"/>
              </w:rPr>
            </w:pPr>
            <w:r>
              <w:rPr>
                <w:rFonts w:ascii="Arial" w:cs="Arial" w:eastAsia="Arial" w:hAnsi="Arial"/>
                <w:sz w:val="13"/>
                <w:szCs w:val="13"/>
                <w:b w:val="1"/>
                <w:bCs w:val="1"/>
                <w:color w:val="auto"/>
                <w:w w:val="94"/>
              </w:rPr>
              <w:t>(State or other jurisdiction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jc w:val="center"/>
              <w:ind w:right="1571"/>
              <w:spacing w:after="0" w:line="149"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700" w:type="dxa"/>
            <w:vAlign w:val="bottom"/>
          </w:tcPr>
          <w:p>
            <w:pPr>
              <w:spacing w:after="0"/>
              <w:rPr>
                <w:sz w:val="15"/>
                <w:szCs w:val="15"/>
                <w:color w:val="auto"/>
              </w:rPr>
            </w:pPr>
          </w:p>
        </w:tc>
        <w:tc>
          <w:tcPr>
            <w:tcW w:w="2960" w:type="dxa"/>
            <w:vAlign w:val="bottom"/>
            <w:gridSpan w:val="2"/>
          </w:tcPr>
          <w:p>
            <w:pPr>
              <w:jc w:val="center"/>
              <w:ind w:left="1086"/>
              <w:spacing w:after="0"/>
              <w:rPr>
                <w:sz w:val="20"/>
                <w:szCs w:val="20"/>
                <w:color w:val="auto"/>
              </w:rPr>
            </w:pPr>
            <w:r>
              <w:rPr>
                <w:rFonts w:ascii="Arial" w:cs="Arial" w:eastAsia="Arial" w:hAnsi="Arial"/>
                <w:sz w:val="13"/>
                <w:szCs w:val="13"/>
                <w:b w:val="1"/>
                <w:bCs w:val="1"/>
                <w:color w:val="auto"/>
                <w:w w:val="94"/>
              </w:rPr>
              <w:t>incorporation or organization)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20" w:type="dxa"/>
            <w:vAlign w:val="bottom"/>
          </w:tcPr>
          <w:p>
            <w:pPr>
              <w:jc w:val="center"/>
              <w:ind w:right="1571"/>
              <w:spacing w:after="0"/>
              <w:rPr>
                <w:sz w:val="20"/>
                <w:szCs w:val="20"/>
                <w:color w:val="auto"/>
              </w:rPr>
            </w:pPr>
            <w:r>
              <w:rPr>
                <w:rFonts w:ascii="Arial" w:cs="Arial" w:eastAsia="Arial" w:hAnsi="Arial"/>
                <w:sz w:val="13"/>
                <w:szCs w:val="13"/>
                <w:b w:val="1"/>
                <w:bCs w:val="1"/>
                <w:color w:val="auto"/>
                <w:w w:val="96"/>
              </w:rPr>
              <w:t>Identification No.)</w:t>
            </w:r>
          </w:p>
        </w:tc>
      </w:tr>
      <w:tr>
        <w:trPr>
          <w:trHeight w:val="180"/>
        </w:trPr>
        <w:tc>
          <w:tcPr>
            <w:tcW w:w="7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2"/>
          </w:tcPr>
          <w:p>
            <w:pPr>
              <w:jc w:val="center"/>
              <w:ind w:left="236"/>
              <w:spacing w:after="0" w:line="180" w:lineRule="exact"/>
              <w:rPr>
                <w:sz w:val="20"/>
                <w:szCs w:val="20"/>
                <w:color w:val="auto"/>
              </w:rPr>
            </w:pPr>
            <w:r>
              <w:rPr>
                <w:rFonts w:ascii="Arial" w:cs="Arial" w:eastAsia="Arial" w:hAnsi="Arial"/>
                <w:sz w:val="14"/>
                <w:szCs w:val="14"/>
                <w:b w:val="1"/>
                <w:bCs w:val="1"/>
                <w:color w:val="auto"/>
                <w:w w:val="87"/>
              </w:rPr>
              <w:t>400 1</w:t>
            </w:r>
            <w:r>
              <w:rPr>
                <w:rFonts w:ascii="Arial" w:cs="Arial" w:eastAsia="Arial" w:hAnsi="Arial"/>
                <w:sz w:val="19"/>
                <w:szCs w:val="19"/>
                <w:b w:val="1"/>
                <w:bCs w:val="1"/>
                <w:color w:val="auto"/>
                <w:w w:val="87"/>
                <w:vertAlign w:val="superscript"/>
              </w:rPr>
              <w:t>st</w:t>
            </w:r>
            <w:r>
              <w:rPr>
                <w:rFonts w:ascii="Arial" w:cs="Arial" w:eastAsia="Arial" w:hAnsi="Arial"/>
                <w:sz w:val="14"/>
                <w:szCs w:val="14"/>
                <w:b w:val="1"/>
                <w:bCs w:val="1"/>
                <w:color w:val="auto"/>
                <w:w w:val="87"/>
              </w:rPr>
              <w:t xml:space="preserve"> Avenue</w:t>
            </w:r>
          </w:p>
        </w:tc>
        <w:tc>
          <w:tcPr>
            <w:tcW w:w="360" w:type="dxa"/>
            <w:vAlign w:val="bottom"/>
          </w:tcPr>
          <w:p>
            <w:pPr>
              <w:spacing w:after="0"/>
              <w:rPr>
                <w:sz w:val="15"/>
                <w:szCs w:val="15"/>
                <w:color w:val="auto"/>
              </w:rPr>
            </w:pPr>
          </w:p>
        </w:tc>
        <w:tc>
          <w:tcPr>
            <w:tcW w:w="3620" w:type="dxa"/>
            <w:vAlign w:val="bottom"/>
          </w:tcPr>
          <w:p>
            <w:pPr>
              <w:spacing w:after="0"/>
              <w:rPr>
                <w:sz w:val="15"/>
                <w:szCs w:val="15"/>
                <w:color w:val="auto"/>
              </w:rPr>
            </w:pPr>
          </w:p>
        </w:tc>
      </w:tr>
      <w:tr>
        <w:trPr>
          <w:trHeight w:val="158"/>
        </w:trPr>
        <w:tc>
          <w:tcPr>
            <w:tcW w:w="7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2"/>
          </w:tcPr>
          <w:p>
            <w:pPr>
              <w:jc w:val="center"/>
              <w:ind w:left="216"/>
              <w:spacing w:after="0" w:line="158" w:lineRule="exact"/>
              <w:rPr>
                <w:sz w:val="20"/>
                <w:szCs w:val="20"/>
                <w:color w:val="auto"/>
              </w:rPr>
            </w:pPr>
            <w:r>
              <w:rPr>
                <w:rFonts w:ascii="Arial" w:cs="Arial" w:eastAsia="Arial" w:hAnsi="Arial"/>
                <w:sz w:val="14"/>
                <w:szCs w:val="14"/>
                <w:b w:val="1"/>
                <w:bCs w:val="1"/>
                <w:color w:val="auto"/>
                <w:w w:val="95"/>
              </w:rPr>
              <w:t>Needham, MA 02494</w:t>
            </w:r>
          </w:p>
        </w:tc>
        <w:tc>
          <w:tcPr>
            <w:tcW w:w="36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52"/>
        </w:trPr>
        <w:tc>
          <w:tcPr>
            <w:tcW w:w="7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2"/>
          </w:tcPr>
          <w:p>
            <w:pPr>
              <w:jc w:val="center"/>
              <w:ind w:left="196"/>
              <w:spacing w:after="0"/>
              <w:rPr>
                <w:sz w:val="20"/>
                <w:szCs w:val="20"/>
                <w:color w:val="auto"/>
              </w:rPr>
            </w:pPr>
            <w:r>
              <w:rPr>
                <w:rFonts w:ascii="Arial" w:cs="Arial" w:eastAsia="Arial" w:hAnsi="Arial"/>
                <w:sz w:val="13"/>
                <w:szCs w:val="13"/>
                <w:b w:val="1"/>
                <w:bCs w:val="1"/>
                <w:color w:val="auto"/>
                <w:w w:val="93"/>
              </w:rPr>
              <w:t>(Address of principal executive office) (Zip Code)</w:t>
            </w:r>
          </w:p>
        </w:tc>
        <w:tc>
          <w:tcPr>
            <w:tcW w:w="36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175"/>
        </w:trPr>
        <w:tc>
          <w:tcPr>
            <w:tcW w:w="7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40" w:type="dxa"/>
            <w:vAlign w:val="bottom"/>
            <w:gridSpan w:val="4"/>
          </w:tcPr>
          <w:p>
            <w:pPr>
              <w:jc w:val="center"/>
              <w:ind w:right="363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7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(781) 800-5000</w:t>
            </w:r>
          </w:p>
        </w:tc>
        <w:tc>
          <w:tcPr>
            <w:tcW w:w="360" w:type="dxa"/>
            <w:vAlign w:val="bottom"/>
          </w:tcPr>
          <w:p>
            <w:pPr>
              <w:spacing w:after="0"/>
              <w:rPr>
                <w:sz w:val="16"/>
                <w:szCs w:val="16"/>
                <w:color w:val="auto"/>
              </w:rPr>
            </w:pPr>
          </w:p>
        </w:tc>
        <w:tc>
          <w:tcPr>
            <w:tcW w:w="3620" w:type="dxa"/>
            <w:vAlign w:val="bottom"/>
          </w:tcPr>
          <w:p>
            <w:pPr>
              <w:spacing w:after="0"/>
              <w:rPr>
                <w:sz w:val="16"/>
                <w:szCs w:val="16"/>
                <w:color w:val="auto"/>
              </w:rPr>
            </w:pPr>
          </w:p>
        </w:tc>
      </w:tr>
      <w:tr>
        <w:trPr>
          <w:trHeight w:val="66"/>
        </w:trPr>
        <w:tc>
          <w:tcPr>
            <w:tcW w:w="7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20" w:type="dxa"/>
            <w:vAlign w:val="bottom"/>
          </w:tcPr>
          <w:p>
            <w:pPr>
              <w:spacing w:after="0"/>
              <w:rPr>
                <w:sz w:val="5"/>
                <w:szCs w:val="5"/>
                <w:color w:val="auto"/>
              </w:rPr>
            </w:pPr>
          </w:p>
        </w:tc>
      </w:tr>
      <w:tr>
        <w:trPr>
          <w:trHeight w:val="244"/>
        </w:trPr>
        <w:tc>
          <w:tcPr>
            <w:tcW w:w="7140" w:type="dxa"/>
            <w:vAlign w:val="bottom"/>
            <w:gridSpan w:val="7"/>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6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77"/>
        </w:trPr>
        <w:tc>
          <w:tcPr>
            <w:tcW w:w="700" w:type="dxa"/>
            <w:vAlign w:val="bottom"/>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980" w:type="dxa"/>
            <w:vAlign w:val="bottom"/>
            <w:tcBorders>
              <w:bottom w:val="single" w:sz="8" w:color="auto"/>
            </w:tcBorders>
            <w:gridSpan w:val="2"/>
          </w:tcPr>
          <w:p>
            <w:pPr>
              <w:spacing w:after="0"/>
              <w:rPr>
                <w:sz w:val="6"/>
                <w:szCs w:val="6"/>
                <w:color w:val="auto"/>
              </w:rPr>
            </w:pPr>
          </w:p>
        </w:tc>
      </w:tr>
      <w:tr>
        <w:trPr>
          <w:trHeight w:val="219"/>
        </w:trPr>
        <w:tc>
          <w:tcPr>
            <w:tcW w:w="700" w:type="dxa"/>
            <w:vAlign w:val="bottom"/>
            <w:tcBorders>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ind w:right="336"/>
              <w:spacing w:after="0"/>
              <w:rPr>
                <w:sz w:val="20"/>
                <w:szCs w:val="20"/>
                <w:color w:val="auto"/>
              </w:rPr>
            </w:pPr>
            <w:r>
              <w:rPr>
                <w:rFonts w:ascii="Arial" w:cs="Arial" w:eastAsia="Arial" w:hAnsi="Arial"/>
                <w:sz w:val="16"/>
                <w:szCs w:val="16"/>
                <w:color w:val="auto"/>
                <w:w w:val="94"/>
              </w:rPr>
              <w:t>Trading Symbol</w:t>
            </w:r>
          </w:p>
        </w:tc>
        <w:tc>
          <w:tcPr>
            <w:tcW w:w="1080" w:type="dxa"/>
            <w:vAlign w:val="bottom"/>
            <w:tcBorders>
              <w:bottom w:val="single" w:sz="8" w:color="auto"/>
            </w:tcBorders>
          </w:tcPr>
          <w:p>
            <w:pPr>
              <w:spacing w:after="0"/>
              <w:rPr>
                <w:sz w:val="19"/>
                <w:szCs w:val="19"/>
                <w:color w:val="auto"/>
              </w:rPr>
            </w:pPr>
          </w:p>
        </w:tc>
        <w:tc>
          <w:tcPr>
            <w:tcW w:w="3980" w:type="dxa"/>
            <w:vAlign w:val="bottom"/>
            <w:tcBorders>
              <w:bottom w:val="single" w:sz="8" w:color="auto"/>
              <w:right w:val="single" w:sz="8" w:color="auto"/>
            </w:tcBorders>
            <w:gridSpan w:val="2"/>
          </w:tcPr>
          <w:p>
            <w:pPr>
              <w:jc w:val="center"/>
              <w:ind w:right="1031"/>
              <w:spacing w:after="0"/>
              <w:rPr>
                <w:sz w:val="20"/>
                <w:szCs w:val="20"/>
                <w:color w:val="auto"/>
              </w:rPr>
            </w:pPr>
            <w:r>
              <w:rPr>
                <w:rFonts w:ascii="Arial" w:cs="Arial" w:eastAsia="Arial" w:hAnsi="Arial"/>
                <w:sz w:val="16"/>
                <w:szCs w:val="16"/>
                <w:color w:val="auto"/>
                <w:w w:val="90"/>
              </w:rPr>
              <w:t>Name of each exchange on which registered</w:t>
            </w:r>
          </w:p>
        </w:tc>
      </w:tr>
      <w:tr>
        <w:trPr>
          <w:trHeight w:val="203"/>
        </w:trPr>
        <w:tc>
          <w:tcPr>
            <w:tcW w:w="700" w:type="dxa"/>
            <w:vAlign w:val="bottom"/>
            <w:tcBorders>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jc w:val="center"/>
              <w:ind w:right="336"/>
              <w:spacing w:after="0"/>
              <w:rPr>
                <w:sz w:val="20"/>
                <w:szCs w:val="20"/>
                <w:color w:val="auto"/>
              </w:rPr>
            </w:pPr>
            <w:r>
              <w:rPr>
                <w:rFonts w:ascii="Arial" w:cs="Arial" w:eastAsia="Arial" w:hAnsi="Arial"/>
                <w:sz w:val="16"/>
                <w:szCs w:val="16"/>
                <w:color w:val="auto"/>
                <w:w w:val="93"/>
              </w:rPr>
              <w:t>TRIP</w:t>
            </w:r>
          </w:p>
        </w:tc>
        <w:tc>
          <w:tcPr>
            <w:tcW w:w="1080" w:type="dxa"/>
            <w:vAlign w:val="bottom"/>
            <w:tcBorders>
              <w:bottom w:val="single" w:sz="8" w:color="auto"/>
            </w:tcBorders>
          </w:tcPr>
          <w:p>
            <w:pPr>
              <w:spacing w:after="0"/>
              <w:rPr>
                <w:sz w:val="17"/>
                <w:szCs w:val="17"/>
                <w:color w:val="auto"/>
              </w:rPr>
            </w:pPr>
          </w:p>
        </w:tc>
        <w:tc>
          <w:tcPr>
            <w:tcW w:w="3980" w:type="dxa"/>
            <w:vAlign w:val="bottom"/>
            <w:tcBorders>
              <w:bottom w:val="single" w:sz="8" w:color="auto"/>
              <w:right w:val="single" w:sz="8" w:color="auto"/>
            </w:tcBorders>
            <w:gridSpan w:val="2"/>
          </w:tcPr>
          <w:p>
            <w:pPr>
              <w:jc w:val="center"/>
              <w:ind w:right="1031"/>
              <w:spacing w:after="0"/>
              <w:rPr>
                <w:sz w:val="20"/>
                <w:szCs w:val="20"/>
                <w:color w:val="auto"/>
              </w:rPr>
            </w:pPr>
            <w:r>
              <w:rPr>
                <w:rFonts w:ascii="Arial" w:cs="Arial" w:eastAsia="Arial" w:hAnsi="Arial"/>
                <w:sz w:val="16"/>
                <w:szCs w:val="16"/>
                <w:color w:val="auto"/>
                <w:w w:val="91"/>
              </w:rPr>
              <w:t>The Nasdaq Global Select Market</w:t>
            </w:r>
          </w:p>
        </w:tc>
      </w:tr>
      <w:tr>
        <w:trPr>
          <w:trHeight w:val="204"/>
        </w:trPr>
        <w:tc>
          <w:tcPr>
            <w:tcW w:w="7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60" w:type="dxa"/>
            <w:vAlign w:val="bottom"/>
            <w:gridSpan w:val="6"/>
          </w:tcPr>
          <w:p>
            <w:pPr>
              <w:jc w:val="center"/>
              <w:ind w:right="3491"/>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r>
      <w:tr>
        <w:trPr>
          <w:trHeight w:val="79"/>
        </w:trPr>
        <w:tc>
          <w:tcPr>
            <w:tcW w:w="3780" w:type="dxa"/>
            <w:vAlign w:val="bottom"/>
            <w:gridSpan w:val="5"/>
          </w:tcPr>
          <w:p>
            <w:pPr>
              <w:spacing w:after="0"/>
              <w:rPr>
                <w:sz w:val="6"/>
                <w:szCs w:val="6"/>
                <w:color w:val="auto"/>
              </w:rPr>
            </w:pPr>
          </w:p>
        </w:tc>
        <w:tc>
          <w:tcPr>
            <w:tcW w:w="336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620" w:type="dxa"/>
            <w:vAlign w:val="bottom"/>
          </w:tcPr>
          <w:p>
            <w:pPr>
              <w:spacing w:after="0"/>
              <w:rPr>
                <w:sz w:val="6"/>
                <w:szCs w:val="6"/>
                <w:color w:val="auto"/>
              </w:rPr>
            </w:pPr>
          </w:p>
        </w:tc>
      </w:tr>
      <w:tr>
        <w:trPr>
          <w:trHeight w:val="219"/>
        </w:trPr>
        <w:tc>
          <w:tcPr>
            <w:tcW w:w="7140" w:type="dxa"/>
            <w:vAlign w:val="bottom"/>
            <w:gridSpan w:val="7"/>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w:t>
            </w:r>
          </w:p>
        </w:tc>
        <w:tc>
          <w:tcPr>
            <w:tcW w:w="360" w:type="dxa"/>
            <w:vAlign w:val="bottom"/>
          </w:tcPr>
          <w:p>
            <w:pPr>
              <w:ind w:left="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620" w:type="dxa"/>
            <w:vAlign w:val="bottom"/>
          </w:tcPr>
          <w:p>
            <w:pPr>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bl>
    <w:p>
      <w:pPr>
        <w:spacing w:after="0" w:line="52" w:lineRule="exact"/>
        <w:rPr>
          <w:sz w:val="24"/>
          <w:szCs w:val="24"/>
          <w:color w:val="auto"/>
        </w:rPr>
      </w:pPr>
    </w:p>
    <w:p>
      <w:pPr>
        <w:spacing w:after="0" w:line="188" w:lineRule="exact"/>
        <w:tabs>
          <w:tab w:leader="none" w:pos="7000" w:val="left"/>
          <w:tab w:leader="none" w:pos="756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09"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3"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ectPr>
          <w:pgSz w:w="11900" w:h="16838" w:orient="portrait"/>
          <w:cols w:equalWidth="0" w:num="1">
            <w:col w:w="11240"/>
          </w:cols>
          <w:pgMar w:left="320" w:top="508" w:right="339" w:bottom="1440" w:gutter="0" w:footer="0" w:header="0"/>
        </w:sectPr>
      </w:pPr>
    </w:p>
    <w:p>
      <w:pPr>
        <w:spacing w:after="0" w:line="73"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3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80" w:type="dxa"/>
            <w:vAlign w:val="bottom"/>
          </w:tcPr>
          <w:p>
            <w:pPr>
              <w:ind w:left="17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1880" w:type="dxa"/>
            <w:vAlign w:val="bottom"/>
          </w:tcPr>
          <w:p>
            <w:pPr>
              <w:ind w:left="320"/>
              <w:spacing w:after="0"/>
              <w:rPr>
                <w:sz w:val="20"/>
                <w:szCs w:val="20"/>
                <w:color w:val="auto"/>
              </w:rPr>
            </w:pPr>
            <w:r>
              <w:rPr>
                <w:rFonts w:ascii="Arial" w:cs="Arial" w:eastAsia="Arial" w:hAnsi="Arial"/>
                <w:sz w:val="14"/>
                <w:szCs w:val="14"/>
                <w:color w:val="auto"/>
              </w:rPr>
              <w:t>Accelerated filer</w:t>
            </w:r>
          </w:p>
        </w:tc>
      </w:tr>
      <w:tr>
        <w:trPr>
          <w:trHeight w:val="202"/>
        </w:trPr>
        <w:tc>
          <w:tcPr>
            <w:tcW w:w="3320" w:type="dxa"/>
            <w:vAlign w:val="bottom"/>
          </w:tcPr>
          <w:p>
            <w:pPr>
              <w:spacing w:after="0"/>
              <w:rPr>
                <w:sz w:val="20"/>
                <w:szCs w:val="20"/>
                <w:color w:val="auto"/>
              </w:rPr>
            </w:pPr>
            <w:r>
              <w:rPr>
                <w:rFonts w:ascii="Arial" w:cs="Arial" w:eastAsia="Arial" w:hAnsi="Arial"/>
                <w:sz w:val="14"/>
                <w:szCs w:val="14"/>
                <w:color w:val="auto"/>
              </w:rPr>
              <w:t>Non-accelerated filer</w:t>
            </w:r>
          </w:p>
        </w:tc>
        <w:tc>
          <w:tcPr>
            <w:tcW w:w="2180" w:type="dxa"/>
            <w:vAlign w:val="bottom"/>
          </w:tcPr>
          <w:p>
            <w:pPr>
              <w:ind w:left="17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1880" w:type="dxa"/>
            <w:vAlign w:val="bottom"/>
          </w:tcPr>
          <w:p>
            <w:pPr>
              <w:ind w:left="320"/>
              <w:spacing w:after="0"/>
              <w:rPr>
                <w:sz w:val="20"/>
                <w:szCs w:val="20"/>
                <w:color w:val="auto"/>
              </w:rPr>
            </w:pPr>
            <w:r>
              <w:rPr>
                <w:rFonts w:ascii="Arial" w:cs="Arial" w:eastAsia="Arial" w:hAnsi="Arial"/>
                <w:sz w:val="14"/>
                <w:szCs w:val="14"/>
                <w:color w:val="auto"/>
                <w:w w:val="92"/>
              </w:rPr>
              <w:t>Smaller reporting company</w:t>
            </w:r>
          </w:p>
        </w:tc>
      </w:tr>
      <w:tr>
        <w:trPr>
          <w:trHeight w:val="225"/>
        </w:trPr>
        <w:tc>
          <w:tcPr>
            <w:tcW w:w="33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80" w:type="dxa"/>
            <w:vAlign w:val="bottom"/>
          </w:tcPr>
          <w:p>
            <w:pPr>
              <w:ind w:left="17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18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38"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301" w:lineRule="exact"/>
        <w:rPr>
          <w:sz w:val="24"/>
          <w:szCs w:val="24"/>
          <w:color w:val="auto"/>
        </w:rPr>
      </w:pPr>
    </w:p>
    <w:p>
      <w:pPr>
        <w:sectPr>
          <w:pgSz w:w="11900" w:h="16838" w:orient="portrait"/>
          <w:cols w:equalWidth="0" w:num="2">
            <w:col w:w="10700" w:space="180"/>
            <w:col w:w="360"/>
          </w:cols>
          <w:pgMar w:left="320" w:top="508" w:right="339" w:bottom="1440" w:gutter="0" w:footer="0" w:header="0"/>
          <w:type w:val="continuous"/>
        </w:sect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73"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Arial Unicode MS" w:cs="Arial Unicode MS" w:eastAsia="Arial Unicode MS" w:hAnsi="Arial Unicode MS"/>
          <w:sz w:val="14"/>
          <w:szCs w:val="14"/>
          <w:color w:val="auto"/>
        </w:rPr>
        <w:t>☒</w:t>
      </w:r>
    </w:p>
    <w:p>
      <w:pPr>
        <w:spacing w:after="0" w:line="73"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73" w:lineRule="exact"/>
        <w:rPr>
          <w:sz w:val="24"/>
          <w:szCs w:val="24"/>
          <w:color w:val="auto"/>
        </w:rPr>
      </w:pPr>
    </w:p>
    <w:p>
      <w:pPr>
        <w:ind w:right="300"/>
        <w:spacing w:after="0" w:line="180"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59" w:lineRule="exact"/>
        <w:rPr>
          <w:sz w:val="24"/>
          <w:szCs w:val="24"/>
          <w:color w:val="auto"/>
        </w:rPr>
      </w:pPr>
    </w:p>
    <w:p>
      <w:pPr>
        <w:spacing w:after="0" w:line="188"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09" w:lineRule="exact"/>
        <w:rPr>
          <w:sz w:val="24"/>
          <w:szCs w:val="24"/>
          <w:color w:val="auto"/>
        </w:rPr>
      </w:pPr>
    </w:p>
    <w:p>
      <w:pPr>
        <w:ind w:right="680"/>
        <w:spacing w:after="0" w:line="252" w:lineRule="auto"/>
        <w:rPr>
          <w:sz w:val="20"/>
          <w:szCs w:val="20"/>
          <w:color w:val="auto"/>
        </w:rPr>
      </w:pPr>
      <w:r>
        <w:rPr>
          <w:rFonts w:ascii="Arial" w:cs="Arial" w:eastAsia="Arial" w:hAnsi="Arial"/>
          <w:sz w:val="14"/>
          <w:szCs w:val="14"/>
          <w:color w:val="auto"/>
        </w:rPr>
        <w:t>The aggregate market value of the common stock held by non-affiliates of the registrant as of the last business day of the registrant’s most recently completed second fiscal quarter was $1,915,177,508 based on the closing price on The Nasdaq Global Select Market on such date.</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Class</w:t>
            </w:r>
          </w:p>
        </w:tc>
        <w:tc>
          <w:tcPr>
            <w:tcW w:w="220" w:type="dxa"/>
            <w:vAlign w:val="bottom"/>
          </w:tcPr>
          <w:p>
            <w:pPr>
              <w:spacing w:after="0"/>
              <w:rPr>
                <w:sz w:val="15"/>
                <w:szCs w:val="15"/>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Outstanding Shares at February 10, 2023</w:t>
            </w:r>
          </w:p>
        </w:tc>
      </w:tr>
      <w:tr>
        <w:trPr>
          <w:trHeight w:val="164"/>
        </w:trPr>
        <w:tc>
          <w:tcPr>
            <w:tcW w:w="5520" w:type="dxa"/>
            <w:vAlign w:val="bottom"/>
          </w:tcPr>
          <w:p>
            <w:pPr>
              <w:jc w:val="center"/>
              <w:spacing w:after="0"/>
              <w:rPr>
                <w:sz w:val="20"/>
                <w:szCs w:val="20"/>
                <w:color w:val="auto"/>
              </w:rPr>
            </w:pPr>
            <w:r>
              <w:rPr>
                <w:rFonts w:ascii="Arial" w:cs="Arial" w:eastAsia="Arial" w:hAnsi="Arial"/>
                <w:sz w:val="14"/>
                <w:szCs w:val="14"/>
                <w:color w:val="auto"/>
                <w:w w:val="92"/>
              </w:rPr>
              <w:t>Common Stock, $0.001 par value per share</w:t>
            </w:r>
          </w:p>
        </w:tc>
        <w:tc>
          <w:tcPr>
            <w:tcW w:w="220" w:type="dxa"/>
            <w:vAlign w:val="bottom"/>
          </w:tcPr>
          <w:p>
            <w:pPr>
              <w:spacing w:after="0"/>
              <w:rPr>
                <w:sz w:val="14"/>
                <w:szCs w:val="14"/>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88"/>
              </w:rPr>
              <w:t>128,164,615 shares</w:t>
            </w:r>
          </w:p>
        </w:tc>
      </w:tr>
      <w:tr>
        <w:trPr>
          <w:trHeight w:val="182"/>
        </w:trPr>
        <w:tc>
          <w:tcPr>
            <w:tcW w:w="5520" w:type="dxa"/>
            <w:vAlign w:val="bottom"/>
          </w:tcPr>
          <w:p>
            <w:pPr>
              <w:jc w:val="center"/>
              <w:spacing w:after="0"/>
              <w:rPr>
                <w:sz w:val="20"/>
                <w:szCs w:val="20"/>
                <w:color w:val="auto"/>
              </w:rPr>
            </w:pPr>
            <w:r>
              <w:rPr>
                <w:rFonts w:ascii="Arial" w:cs="Arial" w:eastAsia="Arial" w:hAnsi="Arial"/>
                <w:sz w:val="14"/>
                <w:szCs w:val="14"/>
                <w:color w:val="auto"/>
                <w:w w:val="91"/>
              </w:rPr>
              <w:t>Class B common stock, $0.001 par value per share</w:t>
            </w:r>
          </w:p>
        </w:tc>
        <w:tc>
          <w:tcPr>
            <w:tcW w:w="220" w:type="dxa"/>
            <w:vAlign w:val="bottom"/>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color w:val="auto"/>
                <w:w w:val="91"/>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59055</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jc w:val="both"/>
        <w:ind w:right="20"/>
        <w:spacing w:after="0" w:line="252" w:lineRule="auto"/>
        <w:rPr>
          <w:sz w:val="20"/>
          <w:szCs w:val="20"/>
          <w:color w:val="auto"/>
        </w:rPr>
      </w:pPr>
      <w:r>
        <w:rPr>
          <w:rFonts w:ascii="Arial" w:cs="Arial" w:eastAsia="Arial" w:hAnsi="Arial"/>
          <w:sz w:val="14"/>
          <w:szCs w:val="14"/>
          <w:color w:val="auto"/>
        </w:rPr>
        <w:t>The registrant intends to file a proxy statement pursuant to Regulation 14A not later than 120 days after the close of the fiscal year ended December 31, 2022.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60" w:type="dxa"/>
            <w:vAlign w:val="bottom"/>
            <w:gridSpan w:val="11"/>
          </w:tcPr>
          <w:p>
            <w:pPr>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540" w:type="dxa"/>
            <w:vAlign w:val="bottom"/>
            <w:vMerge w:val="restart"/>
          </w:tcPr>
          <w:p>
            <w:pPr>
              <w:spacing w:after="0"/>
              <w:rPr>
                <w:sz w:val="20"/>
                <w:szCs w:val="20"/>
                <w:color w:val="auto"/>
              </w:rPr>
            </w:pPr>
            <w:r>
              <w:rPr>
                <w:rFonts w:ascii="Arial" w:cs="Arial" w:eastAsia="Arial" w:hAnsi="Arial"/>
                <w:sz w:val="18"/>
                <w:szCs w:val="18"/>
                <w:color w:val="0000FF"/>
                <w:w w:val="89"/>
              </w:rPr>
              <w:t>PART I</w:t>
            </w:r>
          </w:p>
        </w:tc>
        <w:tc>
          <w:tcPr>
            <w:tcW w:w="1060" w:type="dxa"/>
            <w:vAlign w:val="bottom"/>
            <w:gridSpan w:val="4"/>
            <w:vMerge w:val="restart"/>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40" w:type="dxa"/>
            <w:vAlign w:val="bottom"/>
            <w:tcBorders>
              <w:bottom w:val="single" w:sz="8" w:color="0000EE"/>
            </w:tcBorders>
            <w:vMerge w:val="continue"/>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w:t>
            </w:r>
          </w:p>
        </w:tc>
        <w:tc>
          <w:tcPr>
            <w:tcW w:w="8960" w:type="dxa"/>
            <w:vAlign w:val="bottom"/>
            <w:gridSpan w:val="24"/>
          </w:tcPr>
          <w:p>
            <w:pPr>
              <w:spacing w:after="0"/>
              <w:rPr>
                <w:sz w:val="20"/>
                <w:szCs w:val="20"/>
                <w:color w:val="auto"/>
              </w:rPr>
            </w:pPr>
            <w:r>
              <w:rPr>
                <w:rFonts w:ascii="Arial" w:cs="Arial" w:eastAsia="Arial" w:hAnsi="Arial"/>
                <w:sz w:val="18"/>
                <w:szCs w:val="18"/>
                <w:color w:val="0000FF"/>
              </w:rPr>
              <w:t>Business</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1A.</w:t>
            </w:r>
          </w:p>
        </w:tc>
        <w:tc>
          <w:tcPr>
            <w:tcW w:w="8960" w:type="dxa"/>
            <w:vAlign w:val="bottom"/>
            <w:gridSpan w:val="24"/>
          </w:tcPr>
          <w:p>
            <w:pPr>
              <w:spacing w:after="0"/>
              <w:rPr>
                <w:sz w:val="20"/>
                <w:szCs w:val="20"/>
                <w:color w:val="auto"/>
              </w:rPr>
            </w:pPr>
            <w:r>
              <w:rPr>
                <w:rFonts w:ascii="Arial" w:cs="Arial" w:eastAsia="Arial" w:hAnsi="Arial"/>
                <w:sz w:val="18"/>
                <w:szCs w:val="18"/>
                <w:color w:val="0000FF"/>
              </w:rPr>
              <w:t>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1B.</w:t>
            </w:r>
          </w:p>
        </w:tc>
        <w:tc>
          <w:tcPr>
            <w:tcW w:w="8960" w:type="dxa"/>
            <w:vAlign w:val="bottom"/>
            <w:gridSpan w:val="24"/>
          </w:tcPr>
          <w:p>
            <w:pPr>
              <w:spacing w:after="0"/>
              <w:rPr>
                <w:sz w:val="20"/>
                <w:szCs w:val="20"/>
                <w:color w:val="auto"/>
              </w:rPr>
            </w:pPr>
            <w:r>
              <w:rPr>
                <w:rFonts w:ascii="Arial" w:cs="Arial" w:eastAsia="Arial" w:hAnsi="Arial"/>
                <w:sz w:val="18"/>
                <w:szCs w:val="18"/>
                <w:color w:val="0000FF"/>
              </w:rPr>
              <w:t>Unresolved Staff Comments</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FF"/>
                <w:w w:val="87"/>
              </w:rPr>
              <w:t>Properties</w:t>
            </w:r>
          </w:p>
        </w:tc>
        <w:tc>
          <w:tcPr>
            <w:tcW w:w="1300" w:type="dxa"/>
            <w:vAlign w:val="bottom"/>
            <w:tcBorders>
              <w:top w:val="single" w:sz="8" w:color="0000EE"/>
            </w:tcBorders>
            <w:gridSpan w:val="7"/>
          </w:tcPr>
          <w:p>
            <w:pPr>
              <w:spacing w:after="0"/>
              <w:rPr>
                <w:sz w:val="24"/>
                <w:szCs w:val="24"/>
                <w:color w:val="auto"/>
              </w:rPr>
            </w:pPr>
          </w:p>
        </w:tc>
        <w:tc>
          <w:tcPr>
            <w:tcW w:w="692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88"/>
              </w:rPr>
              <w:t>Legal Proceedings</w:t>
            </w:r>
          </w:p>
        </w:tc>
        <w:tc>
          <w:tcPr>
            <w:tcW w:w="7620" w:type="dxa"/>
            <w:vAlign w:val="bottom"/>
            <w:gridSpan w:val="1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4.</w:t>
            </w:r>
          </w:p>
        </w:tc>
        <w:tc>
          <w:tcPr>
            <w:tcW w:w="896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71"/>
        </w:trPr>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FF"/>
                <w:w w:val="91"/>
              </w:rPr>
              <w:t>PART II</w:t>
            </w:r>
          </w:p>
        </w:tc>
        <w:tc>
          <w:tcPr>
            <w:tcW w:w="1000" w:type="dxa"/>
            <w:vAlign w:val="bottom"/>
            <w:gridSpan w:val="3"/>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5.</w:t>
            </w:r>
          </w:p>
        </w:tc>
        <w:tc>
          <w:tcPr>
            <w:tcW w:w="8960" w:type="dxa"/>
            <w:vAlign w:val="bottom"/>
            <w:gridSpan w:val="24"/>
            <w:vMerge w:val="restart"/>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960" w:type="dxa"/>
            <w:vAlign w:val="bottom"/>
            <w:gridSpan w:val="2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6.</w:t>
            </w:r>
          </w:p>
        </w:tc>
        <w:tc>
          <w:tcPr>
            <w:tcW w:w="160" w:type="dxa"/>
            <w:vAlign w:val="bottom"/>
            <w:tcBorders>
              <w:top w:val="single" w:sz="8" w:color="0000EE"/>
            </w:tcBorders>
          </w:tcPr>
          <w:p>
            <w:pPr>
              <w:spacing w:after="0"/>
              <w:rPr>
                <w:sz w:val="24"/>
                <w:szCs w:val="24"/>
                <w:color w:val="auto"/>
              </w:rPr>
            </w:pPr>
          </w:p>
        </w:tc>
        <w:tc>
          <w:tcPr>
            <w:tcW w:w="8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FF"/>
                <w:w w:val="89"/>
              </w:rPr>
              <w:t>[Reserved]</w:t>
            </w:r>
          </w:p>
        </w:tc>
        <w:tc>
          <w:tcPr>
            <w:tcW w:w="7100" w:type="dxa"/>
            <w:vAlign w:val="bottom"/>
            <w:tcBorders>
              <w:top w:val="single" w:sz="8" w:color="0000EE"/>
            </w:tcBorders>
            <w:gridSpan w:val="18"/>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50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60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562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48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9A.</w:t>
            </w:r>
          </w:p>
        </w:tc>
        <w:tc>
          <w:tcPr>
            <w:tcW w:w="18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88"/>
              </w:rPr>
              <w:t>Controls and Procedures</w:t>
            </w:r>
          </w:p>
        </w:tc>
        <w:tc>
          <w:tcPr>
            <w:tcW w:w="716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FF"/>
                <w:w w:val="92"/>
              </w:rPr>
              <w:t>Other Information</w:t>
            </w:r>
          </w:p>
        </w:tc>
        <w:tc>
          <w:tcPr>
            <w:tcW w:w="7640" w:type="dxa"/>
            <w:vAlign w:val="bottom"/>
            <w:gridSpan w:val="1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9C.</w:t>
            </w:r>
          </w:p>
        </w:tc>
        <w:tc>
          <w:tcPr>
            <w:tcW w:w="8960" w:type="dxa"/>
            <w:vAlign w:val="bottom"/>
            <w:gridSpan w:val="24"/>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71"/>
        </w:trPr>
        <w:tc>
          <w:tcPr>
            <w:tcW w:w="6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FF"/>
                <w:w w:val="94"/>
              </w:rPr>
              <w:t>PART III</w:t>
            </w:r>
          </w:p>
        </w:tc>
        <w:tc>
          <w:tcPr>
            <w:tcW w:w="940" w:type="dxa"/>
            <w:vAlign w:val="bottom"/>
            <w:gridSpan w:val="2"/>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486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11.</w:t>
            </w:r>
          </w:p>
        </w:tc>
        <w:tc>
          <w:tcPr>
            <w:tcW w:w="8960" w:type="dxa"/>
            <w:vAlign w:val="bottom"/>
            <w:gridSpan w:val="24"/>
          </w:tcPr>
          <w:p>
            <w:pPr>
              <w:spacing w:after="0"/>
              <w:rPr>
                <w:sz w:val="20"/>
                <w:szCs w:val="20"/>
                <w:color w:val="auto"/>
              </w:rPr>
            </w:pPr>
            <w:r>
              <w:rPr>
                <w:rFonts w:ascii="Arial" w:cs="Arial" w:eastAsia="Arial" w:hAnsi="Arial"/>
                <w:sz w:val="18"/>
                <w:szCs w:val="18"/>
                <w:color w:val="0000FF"/>
              </w:rPr>
              <w:t>Executive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600" w:type="dxa"/>
            <w:vAlign w:val="bottom"/>
            <w:gridSpan w:val="5"/>
            <w:vMerge w:val="restart"/>
          </w:tcPr>
          <w:p>
            <w:pPr>
              <w:ind w:left="440"/>
              <w:spacing w:after="0"/>
              <w:rPr>
                <w:sz w:val="20"/>
                <w:szCs w:val="20"/>
                <w:color w:val="auto"/>
              </w:rPr>
            </w:pPr>
            <w:r>
              <w:rPr>
                <w:rFonts w:ascii="Arial" w:cs="Arial" w:eastAsia="Arial" w:hAnsi="Arial"/>
                <w:sz w:val="18"/>
                <w:szCs w:val="18"/>
                <w:color w:val="auto"/>
              </w:rPr>
              <w:t>Item 12.</w:t>
            </w: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5"/>
            <w:vMerge w:val="continue"/>
          </w:tcPr>
          <w:p>
            <w:pPr>
              <w:spacing w:after="0"/>
              <w:rPr>
                <w:sz w:val="24"/>
                <w:szCs w:val="24"/>
                <w:color w:val="auto"/>
              </w:rPr>
            </w:pPr>
          </w:p>
        </w:tc>
        <w:tc>
          <w:tcPr>
            <w:tcW w:w="8960" w:type="dxa"/>
            <w:vAlign w:val="bottom"/>
            <w:gridSpan w:val="24"/>
            <w:vMerge w:val="restart"/>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960" w:type="dxa"/>
            <w:vAlign w:val="bottom"/>
            <w:gridSpan w:val="2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68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FF"/>
              </w:rPr>
              <w:t>Principal Accounting Fees and Services</w:t>
            </w:r>
          </w:p>
        </w:tc>
        <w:tc>
          <w:tcPr>
            <w:tcW w:w="352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71"/>
        </w:trPr>
        <w:tc>
          <w:tcPr>
            <w:tcW w:w="1600" w:type="dxa"/>
            <w:vAlign w:val="bottom"/>
            <w:gridSpan w:val="5"/>
          </w:tcPr>
          <w:p>
            <w:pPr>
              <w:spacing w:after="0"/>
              <w:rPr>
                <w:sz w:val="20"/>
                <w:szCs w:val="20"/>
                <w:color w:val="auto"/>
              </w:rPr>
            </w:pPr>
            <w:r>
              <w:rPr>
                <w:rFonts w:ascii="Arial" w:cs="Arial" w:eastAsia="Arial" w:hAnsi="Arial"/>
                <w:sz w:val="18"/>
                <w:szCs w:val="18"/>
                <w:color w:val="0000FF"/>
              </w:rPr>
              <w:t>PART IV</w:t>
            </w: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86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FF"/>
                <w:w w:val="90"/>
              </w:rPr>
              <w:t>Exhibit and Financial Statement Schedules</w:t>
            </w:r>
          </w:p>
        </w:tc>
        <w:tc>
          <w:tcPr>
            <w:tcW w:w="586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38"/>
        </w:trPr>
        <w:tc>
          <w:tcPr>
            <w:tcW w:w="1600" w:type="dxa"/>
            <w:vAlign w:val="bottom"/>
            <w:gridSpan w:val="5"/>
          </w:tcPr>
          <w:p>
            <w:pPr>
              <w:ind w:left="440"/>
              <w:spacing w:after="0"/>
              <w:rPr>
                <w:sz w:val="20"/>
                <w:szCs w:val="20"/>
                <w:color w:val="auto"/>
              </w:rPr>
            </w:pPr>
            <w:r>
              <w:rPr>
                <w:rFonts w:ascii="Arial" w:cs="Arial" w:eastAsia="Arial" w:hAnsi="Arial"/>
                <w:sz w:val="18"/>
                <w:szCs w:val="18"/>
                <w:color w:val="auto"/>
              </w:rPr>
              <w:t>Item 16.</w:t>
            </w:r>
          </w:p>
        </w:tc>
        <w:tc>
          <w:tcPr>
            <w:tcW w:w="8960" w:type="dxa"/>
            <w:vAlign w:val="bottom"/>
            <w:gridSpan w:val="24"/>
          </w:tcPr>
          <w:p>
            <w:pPr>
              <w:spacing w:after="0"/>
              <w:rPr>
                <w:sz w:val="20"/>
                <w:szCs w:val="20"/>
                <w:color w:val="auto"/>
              </w:rPr>
            </w:pPr>
            <w:r>
              <w:rPr>
                <w:rFonts w:ascii="Arial" w:cs="Arial" w:eastAsia="Arial" w:hAnsi="Arial"/>
                <w:sz w:val="18"/>
                <w:szCs w:val="18"/>
                <w:color w:val="0000FF"/>
              </w:rPr>
              <w:t>Form 10-K Summary</w:t>
            </w: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71"/>
        </w:trPr>
        <w:tc>
          <w:tcPr>
            <w:tcW w:w="1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w w:val="92"/>
              </w:rPr>
              <w:t>SIGNATURES</w:t>
            </w:r>
          </w:p>
        </w:tc>
        <w:tc>
          <w:tcPr>
            <w:tcW w:w="5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1" w:right="339" w:bottom="124" w:gutter="0" w:footer="0" w:header="0"/>
        </w:sectPr>
      </w:pPr>
    </w:p>
    <w:bookmarkStart w:id="2" w:name="page3"/>
    <w:bookmarkEnd w:id="2"/>
    <w:p>
      <w:pPr>
        <w:ind w:right="100" w:firstLine="749"/>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“Tripadvisor group,” “the Company,” “us,” “we” and “our” in this Annual Report on Form 10-K.</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“estimate,” “expect,” “intend,” “may,” “might,” “plan,” “project,” “target,”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7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Investors should also refer to our quarterly reports on Form 10-Q for future periods and current reports on Form 8-K as we file them with the U.S. Securities and Exchange Commission (the "SEC"), and to other materials we may furnish to the public from time to time through Current Reports on Form 8-K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Tripadvisor group operates as a family of brands with a purpose of connecting people to experiences worth sharing. Our vision is to be the world’s most trusted source for travel and experiences. The Company operates across three reportable segments: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70"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Tripadvisor Core’s purpose is to empower everyone to be a better traveler by serving as the world’s most trusted and essential travel guidance platform. Since Tripadvisor’s founding in 2000, the Tripadvisor brand has developed a relationship of trust and community with travelers and experience seekers by providing an online global platform for travelers to discover, generate, and share authentic user-generated content (“UGC”) in the form of ratings and reviews for destinations, points-of-interest (“POIs”), experiences, accommodations, restaurants, and cruises in over 40 countries and over 20 languages across the world. As of December 31, 2022, Tripadvisor offered more than 1 billion user-generated ratings and reviews on nearly 8 million experiences, accommodations, restaurants, airlines, and cruises. Tripadvisor’s online platform attracts one of the world’s largest travel audiences, with hundreds of millions of visitors in 2022.</w:t>
      </w:r>
    </w:p>
    <w:p>
      <w:pPr>
        <w:spacing w:after="0" w:line="193"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Viator’s purpose is to bring more wonder into the world—to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experience operators around the globe. Our online marketplace is comprehensive and easy-to-use, connecting millions of travelers to the world’s largest supply of bookable tours, activities and attractions—over 300,000 experiences from more than 50,000 operators as of December 31, 2022. Viator is a pure-play experiences online travel agency (“OTA”) singularly focused on the needs of both travelers and operators with the largest supply of bookable experiences available to travelers.</w:t>
      </w:r>
    </w:p>
    <w:p>
      <w:pPr>
        <w:spacing w:after="0" w:line="163"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TheFork’s purpose is to deliver happiness through amazing dining experiences. TheFork delivers on its purpose by providing an online marketplace that enables diners to discover and book online reservations at more than 55,000 restaurants in 12 countries, as of December 31, 2022, across the UK, western and central Europe, and Australia. TheFork has become an urban, gastronomic guide with a strong community that offers more than 20 million restaurant reviews.</w:t>
      </w:r>
    </w:p>
    <w:p>
      <w:pPr>
        <w:spacing w:after="0" w:line="185" w:lineRule="exact"/>
        <w:rPr>
          <w:sz w:val="20"/>
          <w:szCs w:val="20"/>
          <w:color w:val="auto"/>
        </w:rPr>
      </w:pPr>
    </w:p>
    <w:p>
      <w:pPr>
        <w:ind w:right="260" w:firstLine="509"/>
        <w:spacing w:after="0" w:line="296" w:lineRule="auto"/>
        <w:rPr>
          <w:sz w:val="20"/>
          <w:szCs w:val="20"/>
          <w:color w:val="auto"/>
        </w:rPr>
      </w:pPr>
      <w:r>
        <w:rPr>
          <w:rFonts w:ascii="Arial" w:cs="Arial" w:eastAsia="Arial" w:hAnsi="Arial"/>
          <w:sz w:val="16"/>
          <w:szCs w:val="16"/>
          <w:color w:val="auto"/>
        </w:rPr>
        <w:t>The COVID-19 pandemic had a significant negative impact on the travel and hospitality industries and, consequently, adversely and materially affected our business, results of operations, liquidity and financial condition during the years ended December 31, 2021 and 2020. In 2022, we generally experienced a travel demand recovery fueled by the continued easing of government restrictions globally and increasing consumer travel demand. We believe that consumers will continue to seek connection with others, discover new places, and experience new things through travel. We believe this sustained demand, combined with an ongoing need to make informed decisions, creates significant long-term growth opportunities for our business.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229"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We are one of the world’s largest online travel companies; however, our consolidated annual revenue in 2022 of nearly $1.5 billion represents less than one percent of total worldwide travel spending, which highlights the potential size of our global market opportunity. Phocuswright, an independent travel, tourism and hospitality research firm, estimated global travel spending, exclusive of experiences and dining, at approximately $1.6 trillion in 2020 prior to the onset of COVID-19. In December 2022 Phocuswright estimated global travel spending will reach approximately $1.4 trillion by 2024, with an expected increasing share booked through online channels each year.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 w:name="page5"/>
    <w:bookmarkEnd w:id="4"/>
    <w:p>
      <w:pPr>
        <w:ind w:right="20" w:firstLine="509"/>
        <w:spacing w:after="0" w:line="270" w:lineRule="auto"/>
        <w:rPr>
          <w:sz w:val="20"/>
          <w:szCs w:val="20"/>
          <w:color w:val="auto"/>
        </w:rPr>
      </w:pPr>
      <w:r>
        <w:rPr>
          <w:rFonts w:ascii="Arial" w:cs="Arial" w:eastAsia="Arial" w:hAnsi="Arial"/>
          <w:sz w:val="17"/>
          <w:szCs w:val="17"/>
          <w:color w:val="auto"/>
        </w:rPr>
        <w:t>We believe that we are a compelling leader in the global experiences industry and well positioned to capture increased share in a large and growing market that is estimated to reach more than $275 billion by 2025 according to Arival’s October 2022 report (the “Arival Report”), a leading research provider on the in-destination experiences industry. Moreover, we believe we are poised to benefit from increased online adoption in the global experiences industry. While online penetration in experiences remains nearly a third below other major travel categories, such as hotel accommodations, the anticipated total size of the online experiences market will continue to expand, and is expected to surpass pre-pandemic levels by 2023, according to the Arival Report, as travelers become increasingly more comfortable making last-minute bookings online, operators continue to shift online in order to more efficiently adhere to evolving pandemic regulations, and international travel returns. In addition, OTAs are the fastest growing channel in the travel experiences market and are expected to undergo significant growth going forward, with the OTA channel expected to experience a compounded annual growth rate (“CAGR”) of 62% from 2020 to 2025 according to the Arival Report.</w:t>
      </w:r>
    </w:p>
    <w:p>
      <w:pPr>
        <w:spacing w:after="0" w:line="178"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Based on information in Euromonitor's February 2022 report, a leading provider of global business intelligence, market research data and analysis, we estimate the full-service European restaurants industry may reach approximately $250 billion by 2025. In addition, based on this same data, this industry is exhibiting a similar trend as the experiences industry in terms of online adoption; the majority of restaurant reservation bookings still take place offline, but an increasing share is booked through online channels each year. We believe that we are still early in the global shift in consumer adoption towards booking experiences and restaurants online, which provides an exciting future market opportunity for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Tripadvisor group operates in a unique position in the travel and experiences ecosystem:</w:t>
      </w:r>
    </w:p>
    <w:p>
      <w:pPr>
        <w:spacing w:after="0" w:line="117" w:lineRule="exact"/>
        <w:rPr>
          <w:sz w:val="20"/>
          <w:szCs w:val="20"/>
          <w:color w:val="auto"/>
        </w:rPr>
      </w:pPr>
    </w:p>
    <w:p>
      <w:pPr>
        <w:ind w:left="1560" w:hanging="504"/>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global, and growing addressable markets including travel, experiences, and digital advertising;</w:t>
      </w:r>
    </w:p>
    <w:p>
      <w:pPr>
        <w:spacing w:after="0" w:line="23" w:lineRule="exact"/>
        <w:rPr>
          <w:rFonts w:ascii="Arial" w:cs="Arial" w:eastAsia="Arial" w:hAnsi="Arial"/>
          <w:sz w:val="18"/>
          <w:szCs w:val="18"/>
          <w:color w:val="auto"/>
        </w:rPr>
      </w:pPr>
    </w:p>
    <w:p>
      <w:pPr>
        <w:ind w:left="1560" w:hanging="504"/>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large, global, and engaged audience making meaningful contributions that reinforces a relationship of trust and community; and</w:t>
      </w:r>
    </w:p>
    <w:p>
      <w:pPr>
        <w:spacing w:after="0" w:line="31" w:lineRule="exact"/>
        <w:rPr>
          <w:rFonts w:ascii="Arial" w:cs="Arial" w:eastAsia="Arial" w:hAnsi="Arial"/>
          <w:sz w:val="16"/>
          <w:szCs w:val="16"/>
          <w:color w:val="auto"/>
        </w:rPr>
      </w:pPr>
    </w:p>
    <w:p>
      <w:pPr>
        <w:ind w:left="1560" w:right="40" w:hanging="504"/>
        <w:spacing w:after="0" w:line="255" w:lineRule="auto"/>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wealth of high-intent data that comes from serving our audience of travelers and experience seekers at different points along their journey - whether they are engaging on our platforms for inspiration on their next experience, planning a trip, or making a purchasing decision.</w:t>
      </w:r>
    </w:p>
    <w:p>
      <w:pPr>
        <w:spacing w:after="0" w:line="189"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The Tripadvisor group is united in a shared purpose and vision, but operate different value creation strategies for each segment. We manage priorities and levels of investment based upon factors that include the size and maturity of each segment, the size and maturity of the addressable market, growth opportunities, and competitive positioning, among other factors.</w:t>
      </w:r>
    </w:p>
    <w:p>
      <w:pPr>
        <w:spacing w:after="0" w:line="18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our Tripadvisor Core segment, we offer a compelling value proposition to both travelers and partners across a number of key categories that include accommodations, experiences, and media, among other categories. This value proposition is delivered through a collection of durable assets that we believe is difficult to replicate: a trusted brand, authentic UGC, a large community of contributors, and one of the largest global travel audiences. Our strategy in this segment is to leverage these core assets as well as our technology capabilities to provide travelers with a compelling user experience that helps travelers make the best decisions in each phase of their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We evaluate investment opportunities across data, product, marketing, and technology that we believe will improve the monetization of our audience through deeper engagement, which, in turn, we expect will drive more value to our partners.</w:t>
      </w:r>
    </w:p>
    <w:p>
      <w:pPr>
        <w:spacing w:after="0" w:line="178"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In our Viator and TheFork segments, we provide two-sided marketplaces that connect travelers and diners to operators of bookable experiences and restaurants, respectively. Within our Viator segment, we are investing in growth, future scale, and market share gains to accelerate our market leadership position, while improving booking unit economics that provide visibility to sustainable future profitability. This means driving awareness and higher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 w:name="page6"/>
    <w:bookmarkEnd w:id="5"/>
    <w:p>
      <w:pPr>
        <w:ind w:right="100"/>
        <w:spacing w:after="0" w:line="296" w:lineRule="auto"/>
        <w:rPr>
          <w:sz w:val="20"/>
          <w:szCs w:val="20"/>
          <w:color w:val="auto"/>
        </w:rPr>
      </w:pPr>
      <w:r>
        <w:rPr>
          <w:rFonts w:ascii="Arial" w:cs="Arial" w:eastAsia="Arial" w:hAnsi="Arial"/>
          <w:sz w:val="16"/>
          <w:szCs w:val="16"/>
          <w:color w:val="auto"/>
        </w:rPr>
        <w:t>quality audience engagement, which we believe will drive greater repeat behavior, more direct traffic, and translate into improved unit economics over time. Our investments on both sides of our marketplace, as well as in our core offerings, are intended to deliver a differentiated value proposition that will drive sustainable market leadership as our partners, operators, and travelers find themselves in an increasingly competitive marketplace environment. Similarly, in TheFork segment, we are also investing in growth, future scale, and market share gains. Our investments are focused on continuing to grow both our restaurant base and our diner base by offering innovative tools and features on our platform, and through continued awareness of our brand.</w:t>
      </w:r>
    </w:p>
    <w:p>
      <w:pPr>
        <w:spacing w:after="0" w:line="16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expect to drive growth across the Tripadvisor group through organic investment in data, product, marketing and technology to further enhance the value we deliver to travelers and partners across our brands, platforms, and reportable segments. In addition, we may accelerate growth inorganically by opportunistically pursuing strategic acquisitions.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manage our Tripadvisor Core segment primarily through the following revenue sources and related business models:</w:t>
      </w:r>
    </w:p>
    <w:p>
      <w:pPr>
        <w:spacing w:after="0" w:line="117" w:lineRule="exact"/>
        <w:rPr>
          <w:sz w:val="20"/>
          <w:szCs w:val="20"/>
          <w:color w:val="auto"/>
        </w:rPr>
      </w:pPr>
    </w:p>
    <w:p>
      <w:pPr>
        <w:ind w:left="1580" w:right="40" w:hanging="374"/>
        <w:spacing w:after="0" w:line="253" w:lineRule="auto"/>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Tripadvisor-branded Hotels Revenue. </w:t>
      </w:r>
      <w:r>
        <w:rPr>
          <w:rFonts w:ascii="Arial" w:cs="Arial" w:eastAsia="Arial" w:hAnsi="Arial"/>
          <w:sz w:val="18"/>
          <w:szCs w:val="18"/>
          <w:color w:val="auto"/>
        </w:rPr>
        <w:t>The largest source of Tripadvisor Core segment revenue is generated from click-based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on our hotel meta platform (formerly referred to as our hotel auction), which consists primarily of contextually-relevant booking links to partner websites, which predominantly include OTAs and hotels. Click-based advertising is generally priced on a cost-per-click (“CPC”) basis, with payments from partners determined by the number of clicks generated on a commerce link multiplied by the CPC rate for each particular click. CPC rates are determined in a dynamic, competitive auction bidding process. We also generate click-based advertising revenue on a cost-per-action (“CPA”) basis, with payments from partners determined by a contractual commission rate based on a traveler click generated on our platform that ultimately results in a hotel booking and stay via the partners’ websites.</w:t>
      </w:r>
    </w:p>
    <w:p>
      <w:pPr>
        <w:spacing w:after="0" w:line="196" w:lineRule="exact"/>
        <w:rPr>
          <w:rFonts w:ascii="Arial" w:cs="Arial" w:eastAsia="Arial" w:hAnsi="Arial"/>
          <w:sz w:val="18"/>
          <w:szCs w:val="18"/>
          <w:color w:val="auto"/>
        </w:rPr>
      </w:pPr>
    </w:p>
    <w:p>
      <w:pPr>
        <w:ind w:left="1580"/>
        <w:spacing w:after="0" w:line="279" w:lineRule="auto"/>
        <w:rPr>
          <w:rFonts w:ascii="Arial" w:cs="Arial" w:eastAsia="Arial" w:hAnsi="Arial"/>
          <w:sz w:val="18"/>
          <w:szCs w:val="18"/>
          <w:color w:val="auto"/>
        </w:rPr>
      </w:pPr>
      <w:r>
        <w:rPr>
          <w:rFonts w:ascii="Arial" w:cs="Arial" w:eastAsia="Arial" w:hAnsi="Arial"/>
          <w:sz w:val="17"/>
          <w:szCs w:val="17"/>
          <w:color w:val="auto"/>
        </w:rPr>
        <w:t>We provide additional business-to-business (“B2B”) offerings to hotels and related accommodation partners that deliver other unique opportunities to further promote, advertise, and operate their businesses as well as merchandise their inventory on our platform. These include a subscription-based advertising solution, with payments determined by a contractual fee and time duration, or other CPC-based advertising services through hotel sponsored placements on our platform.</w:t>
      </w:r>
    </w:p>
    <w:p>
      <w:pPr>
        <w:spacing w:after="0" w:line="61" w:lineRule="exact"/>
        <w:rPr>
          <w:rFonts w:ascii="Arial" w:cs="Arial" w:eastAsia="Arial" w:hAnsi="Arial"/>
          <w:sz w:val="18"/>
          <w:szCs w:val="18"/>
          <w:color w:val="auto"/>
        </w:rPr>
      </w:pPr>
    </w:p>
    <w:p>
      <w:pPr>
        <w:ind w:left="1580" w:right="260" w:hanging="374"/>
        <w:spacing w:after="0" w:line="256" w:lineRule="auto"/>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Tripadvisor-branded Display and Platform Revenue. </w:t>
      </w:r>
      <w:r>
        <w:rPr>
          <w:rFonts w:ascii="Arial" w:cs="Arial" w:eastAsia="Arial" w:hAnsi="Arial"/>
          <w:sz w:val="18"/>
          <w:szCs w:val="18"/>
          <w:color w:val="auto"/>
        </w:rPr>
        <w:t>We offer endemic and non-endemic advertisers unique opportunities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promote their brands primarily through display-based advertising placements across our brands on our platform. Our advertising clients are predominantly direct suppliers of hotels, airlines and cruises, as well as destination marketing organizations (“DMOs”), OTAs, and other travel related businesses. Display-based advertising placements are predominantly sold on a cost per thousand impressions (“CPM”) basis.</w:t>
      </w:r>
    </w:p>
    <w:p>
      <w:pPr>
        <w:spacing w:after="0" w:line="82" w:lineRule="exact"/>
        <w:rPr>
          <w:rFonts w:ascii="Arial" w:cs="Arial" w:eastAsia="Arial" w:hAnsi="Arial"/>
          <w:sz w:val="18"/>
          <w:szCs w:val="18"/>
          <w:color w:val="auto"/>
        </w:rPr>
      </w:pPr>
    </w:p>
    <w:p>
      <w:pPr>
        <w:ind w:left="1580" w:right="120" w:hanging="374"/>
        <w:spacing w:after="0" w:line="275" w:lineRule="auto"/>
        <w:tabs>
          <w:tab w:leader="none" w:pos="15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Tripadvisor Experiences and Dining Revenue. </w:t>
      </w:r>
      <w:r>
        <w:rPr>
          <w:rFonts w:ascii="Arial" w:cs="Arial" w:eastAsia="Arial" w:hAnsi="Arial"/>
          <w:sz w:val="17"/>
          <w:szCs w:val="17"/>
          <w:color w:val="auto"/>
        </w:rPr>
        <w:t>We merchandise, on the Tripadvisor platform, bookable experiences available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Viator and bookable dining reservations available on TheFork and earn affiliate marketing commission revenue on bookings that are driven by our platform, which are fulfilled by Viator and TheFork, respectively. These transactions generate intercompany (intersegment) revenue which is eliminated on a consolidated basis. The nature and economics of these transactions are consistent with the Viator segment and TheFork segment, as described below.</w:t>
      </w:r>
    </w:p>
    <w:p>
      <w:pPr>
        <w:spacing w:after="0" w:line="174" w:lineRule="exact"/>
        <w:rPr>
          <w:rFonts w:ascii="Arial" w:cs="Arial" w:eastAsia="Arial" w:hAnsi="Arial"/>
          <w:sz w:val="17"/>
          <w:szCs w:val="17"/>
          <w:color w:val="auto"/>
        </w:rPr>
      </w:pPr>
    </w:p>
    <w:p>
      <w:pPr>
        <w:ind w:left="1580" w:right="160"/>
        <w:spacing w:after="0" w:line="259" w:lineRule="auto"/>
        <w:rPr>
          <w:rFonts w:ascii="Arial" w:cs="Arial" w:eastAsia="Arial" w:hAnsi="Arial"/>
          <w:sz w:val="17"/>
          <w:szCs w:val="17"/>
          <w:color w:val="auto"/>
        </w:rPr>
      </w:pPr>
      <w:r>
        <w:rPr>
          <w:rFonts w:ascii="Arial" w:cs="Arial" w:eastAsia="Arial" w:hAnsi="Arial"/>
          <w:sz w:val="18"/>
          <w:szCs w:val="18"/>
          <w:color w:val="auto"/>
        </w:rPr>
        <w:t>We provide additional B2B offerings to restaurant partners that deliver other unique opportunities to further promote, advertise, and operate their businesses as well as merchandise their businesses on our platform. These offerings can be subscription-based, with payments determined by a contractual fee and time duration, or CPC-based advertising services through restaurant sponsored placements on our platform.</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 w:name="page7"/>
    <w:bookmarkEnd w:id="6"/>
    <w:p>
      <w:pPr>
        <w:ind w:left="1580" w:right="80" w:hanging="374"/>
        <w:spacing w:after="0" w:line="291" w:lineRule="auto"/>
        <w:tabs>
          <w:tab w:leader="none" w:pos="15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Revenue. </w:t>
      </w:r>
      <w:r>
        <w:rPr>
          <w:rFonts w:ascii="Arial" w:cs="Arial" w:eastAsia="Arial" w:hAnsi="Arial"/>
          <w:sz w:val="16"/>
          <w:szCs w:val="16"/>
          <w:color w:val="auto"/>
        </w:rPr>
        <w:t>We provide travelers additional offerings across various other travel categories, including alternative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accommodations (e.g., short-term vacation rentals), cruises, flights, and rental cars. We provide these offerings across a collection of brands that complement and reinforce our segment strategy of providing differentiated guidance that helps travelers reduce friction and make better decisions. Our alternative accommodation rentals platform (formerly referred to as vacation rentals) is a two-way marketplace that connect travelers with owners and operators of short-term rental properties, generating commission revenue from both the traveler and the property owner for each booking we facilitate across our branded platforms. Our cruise, flight, and rental cars offerings generate revenue primarily through click-based and display-based advertising, as described above.</w:t>
      </w:r>
    </w:p>
    <w:p>
      <w:pPr>
        <w:spacing w:after="0" w:line="16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Viator segment offers travelers a comprehensive online marketplace that provides access to over 300,000 experiences and over 50,000 experience operators. These experiences are instantly bookable online in over 190 countries. Our business model relies on the success of travelers and operators who join our marketplace and generate consistent bookings over time. As operators become more successful on our platform and as travelers return over time, we benefit from the recurring activity on our marketplace. We generate revenue through commissions for each booking transaction we facilitate directly and indirectly through our platform. Through Viator, we power traveler experience bookings on behalf of third-party distribution partner websites, including the Tripadvisor platform as well as many of the world’s major OTAs, airlines, hotels, online and offline travel agencies, and other prominent content and eCommerce brands. For the majority of experience bookings, we collect the full amount charged to the traveler at the time of booking and remit the operator’s portion after the booked experience occurs, which contributes to positive working capital before the traveler completes the experience.</w:t>
      </w:r>
    </w:p>
    <w:p>
      <w:pPr>
        <w:spacing w:after="0" w:line="19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TheFork segment offers travelers and diners a comprehensive online marketplace that provides access to more than 55,000 restaurants to discover and book reservations in 12 countries across the UK, western and central Europe, and Australia. We primarily generate revenue for each booking reservation we facilitate on our platform, calculated on a per seated diner fee basis and paid for by the restaurant partner. We also generate revenue on a subscription basis from restaurant partners by providing, for a fee, access to premium online reservation booking software and related services offerings to help them more effectively and efficiently manage their business.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 xml:space="preserve">Consumers'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 </w:t>
      </w:r>
      <w:r>
        <w:rPr>
          <w:rFonts w:ascii="Arial" w:cs="Arial" w:eastAsia="Arial" w:hAnsi="Arial"/>
          <w:sz w:val="17"/>
          <w:szCs w:val="17"/>
          <w:color w:val="231F20"/>
        </w:rPr>
        <w:t>In addition, during the first half of the year, experience bookings</w:t>
      </w:r>
      <w:r>
        <w:rPr>
          <w:rFonts w:ascii="Arial" w:cs="Arial" w:eastAsia="Arial" w:hAnsi="Arial"/>
          <w:sz w:val="17"/>
          <w:szCs w:val="17"/>
          <w:color w:val="auto"/>
        </w:rPr>
        <w:t xml:space="preserve"> </w:t>
      </w:r>
      <w:r>
        <w:rPr>
          <w:rFonts w:ascii="Arial" w:cs="Arial" w:eastAsia="Arial" w:hAnsi="Arial"/>
          <w:sz w:val="17"/>
          <w:szCs w:val="17"/>
          <w:color w:val="231F20"/>
        </w:rPr>
        <w:t>typically exceed the amount of completed experiences,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7"/>
          <w:szCs w:val="17"/>
          <w:color w:val="000000"/>
        </w:rPr>
        <w:t>.</w:t>
      </w:r>
    </w:p>
    <w:p>
      <w:pPr>
        <w:spacing w:after="0" w:line="176"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 xml:space="preserve">Certain </w:t>
      </w:r>
      <w:r>
        <w:rPr>
          <w:rFonts w:ascii="Arial" w:cs="Arial" w:eastAsia="Arial" w:hAnsi="Arial"/>
          <w:sz w:val="18"/>
          <w:szCs w:val="18"/>
          <w:color w:val="231F20"/>
        </w:rPr>
        <w:t>factors may impact our typical seasonal fluctuations, which may include any significant shifts in our business mix or adverse economic</w:t>
      </w:r>
      <w:r>
        <w:rPr>
          <w:rFonts w:ascii="Arial" w:cs="Arial" w:eastAsia="Arial" w:hAnsi="Arial"/>
          <w:sz w:val="18"/>
          <w:szCs w:val="18"/>
          <w:color w:val="auto"/>
        </w:rPr>
        <w:t xml:space="preserve"> </w:t>
      </w:r>
      <w:r>
        <w:rPr>
          <w:rFonts w:ascii="Arial" w:cs="Arial" w:eastAsia="Arial" w:hAnsi="Arial"/>
          <w:sz w:val="18"/>
          <w:szCs w:val="18"/>
          <w:color w:val="231F20"/>
        </w:rPr>
        <w:t xml:space="preserve">conditions that could result in future seasonal patterns that are different from historical trends. For example, the negative impact to </w:t>
      </w:r>
      <w:r>
        <w:rPr>
          <w:rFonts w:ascii="Arial" w:cs="Arial" w:eastAsia="Arial" w:hAnsi="Arial"/>
          <w:sz w:val="18"/>
          <w:szCs w:val="18"/>
          <w:color w:val="000000"/>
        </w:rPr>
        <w:t>our business from</w:t>
      </w:r>
      <w:r>
        <w:rPr>
          <w:rFonts w:ascii="Arial" w:cs="Arial" w:eastAsia="Arial" w:hAnsi="Arial"/>
          <w:sz w:val="18"/>
          <w:szCs w:val="18"/>
          <w:color w:val="231F20"/>
        </w:rPr>
        <w:t xml:space="preserve"> </w:t>
      </w:r>
      <w:r>
        <w:rPr>
          <w:rFonts w:ascii="Arial" w:cs="Arial" w:eastAsia="Arial" w:hAnsi="Arial"/>
          <w:sz w:val="18"/>
          <w:szCs w:val="18"/>
          <w:color w:val="000000"/>
        </w:rPr>
        <w:t>COVID-19 materially affected our historical trends at varying levels during t</w:t>
      </w:r>
      <w:r>
        <w:rPr>
          <w:rFonts w:ascii="Arial" w:cs="Arial" w:eastAsia="Arial" w:hAnsi="Arial"/>
          <w:sz w:val="18"/>
          <w:szCs w:val="18"/>
          <w:color w:val="231F20"/>
        </w:rPr>
        <w:t>he years ended December 31,</w:t>
      </w:r>
      <w:r>
        <w:rPr>
          <w:rFonts w:ascii="Arial" w:cs="Arial" w:eastAsia="Arial" w:hAnsi="Arial"/>
          <w:sz w:val="18"/>
          <w:szCs w:val="18"/>
          <w:color w:val="000000"/>
        </w:rPr>
        <w:t xml:space="preserve"> 2021 and 2020, while these trends significantly improved during t</w:t>
      </w:r>
      <w:r>
        <w:rPr>
          <w:rFonts w:ascii="Arial" w:cs="Arial" w:eastAsia="Arial" w:hAnsi="Arial"/>
          <w:sz w:val="18"/>
          <w:szCs w:val="18"/>
          <w:color w:val="231F20"/>
        </w:rPr>
        <w:t>he year ended December 31,</w:t>
      </w:r>
      <w:r>
        <w:rPr>
          <w:rFonts w:ascii="Arial" w:cs="Arial" w:eastAsia="Arial" w:hAnsi="Arial"/>
          <w:sz w:val="18"/>
          <w:szCs w:val="18"/>
          <w:color w:val="000000"/>
        </w:rPr>
        <w:t xml:space="preserve"> 2022, resulting in increased revenues, and working capital and operating cash flow more akin to typical historical seasonality trends.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We have established world-renowned, widely used, and recognized brands through the innovative and efficient implementation of marketing and promotional campaigns. Particularly, we believe we have been successful with the strategic use of a number of cost effective online and offline marketing channels to reach travelers and diners, including our own platform channels (i.e., websites and apps), online search engines (primarily Google), social media, email, media via public relations, partnerships, and content distribution. Our omni-channel marketing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 w:name="page8"/>
    <w:bookmarkEnd w:id="7"/>
    <w:p>
      <w:pPr>
        <w:ind w:right="20"/>
        <w:spacing w:after="0" w:line="291" w:lineRule="auto"/>
        <w:rPr>
          <w:sz w:val="20"/>
          <w:szCs w:val="20"/>
          <w:color w:val="auto"/>
        </w:rPr>
      </w:pPr>
      <w:r>
        <w:rPr>
          <w:rFonts w:ascii="Arial" w:cs="Arial" w:eastAsia="Arial" w:hAnsi="Arial"/>
          <w:sz w:val="16"/>
          <w:szCs w:val="16"/>
          <w:color w:val="auto"/>
        </w:rPr>
        <w:t>programs are intended to showcase the value of our industry-leading travel brands; increase user traffic; efficiently drive transactions and engagement; optimize ongoing traveler acquisition costs; and strategically position our brands in relation to one another as we continue to differentiate our offering versus those of our competitors. Our sustained scale and profitability depend on our continued ability to cost effectively maintain and increase the overall number of users engaged on our platforms and their subsequent transactions. We continue to focus on our ability to attract and engage new and repeat users and encourage users to directly visit our websites and apps. We have the ability to manage our marketing investments across our portfolio of brands to optimize results for the Company. Our relative flexibility enables us to make decisions on a brand-by-brand, market-by-market, travel segment and customer basis that we think are appropriate based on the relative growth opportunity, the expected returns and the competitive environment.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operate in a very competitive set of market environments that constantly evolve and change. Some of our current and potential competitors, listed below, have significantly more customers, data, and financial and other resources than we do, and may be able to leverage those strengths to compete more aggressively with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Across our three segments, we primarily compete, and in some cases partner, with the following businesses:</w:t>
      </w:r>
    </w:p>
    <w:p>
      <w:pPr>
        <w:spacing w:after="0" w:line="117" w:lineRule="exact"/>
        <w:rPr>
          <w:sz w:val="20"/>
          <w:szCs w:val="20"/>
          <w:color w:val="auto"/>
        </w:rPr>
      </w:pPr>
    </w:p>
    <w:p>
      <w:pPr>
        <w:ind w:left="1020" w:right="200" w:hanging="504"/>
        <w:spacing w:after="0" w:line="25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OTAs, such as Expedia, Booking Holdings, Airbnb, traveloka, Despegar, Trip.com, and their respective subsidiaries and operating companies;</w:t>
      </w: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Experiences OTAs, such as GetYourGuide, Klook, and TUI Musement;</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Hotel metasearch providers, such as trivago, Kayak and HotelsCombined;</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Online search, social media, and marketplace platforms for advertising spend, such as Google, Facebook, Twitter, Pinterest, and Snap;</w:t>
      </w:r>
    </w:p>
    <w:p>
      <w:pPr>
        <w:spacing w:after="0" w:line="20" w:lineRule="exact"/>
        <w:rPr>
          <w:rFonts w:ascii="Arial" w:cs="Arial" w:eastAsia="Arial" w:hAnsi="Arial"/>
          <w:sz w:val="17"/>
          <w:szCs w:val="17"/>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and regional travel, experiences, and restaurant brands seeking to promote direct bookings;</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Emerging online advertising businesses, such as ad-supported retail and entertainment platforms like Amazon, Spotify, and Walmart;</w:t>
      </w:r>
    </w:p>
    <w:p>
      <w:pPr>
        <w:spacing w:after="0" w:line="20" w:lineRule="exact"/>
        <w:rPr>
          <w:rFonts w:ascii="Arial" w:cs="Arial" w:eastAsia="Arial" w:hAnsi="Arial"/>
          <w:sz w:val="17"/>
          <w:szCs w:val="17"/>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Traditional offline travel agencies; and</w:t>
      </w:r>
    </w:p>
    <w:p>
      <w:pPr>
        <w:spacing w:after="0" w:line="8"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Global and regional restaurant technology providers for reservation management and related services, such as OpenTable, Resy, and 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Relationships</w:t>
      </w:r>
    </w:p>
    <w:p>
      <w:pPr>
        <w:spacing w:after="0" w:line="22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have commercial relationships with a majority of the world’s leading OTAs, as well as thousands of other travel partners, pursuant to which these companies primarily purchase traveler leads from us, generally on a click-based advertising basis. Although these relationships are memorialized in agreements, many of these agreements are for limited terms or are terminable at will or on short notice. As a result, we seek to ensure the mutual success of these relationships.</w:t>
      </w:r>
    </w:p>
    <w:p>
      <w:pPr>
        <w:spacing w:after="0" w:line="185"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For the years ended December 31, 2022, 2021 and 2020, our two most significant travel partners were Expedia (and its subsidiaries) and Booking (and its subsidiaries), each of which accounted for 10% or more of our consolidated revenue and together accounted for approximately 35%, 34% and 25% of our consolidated revenue, respectively. Nearly all of this concentration of revenue is recorded in our Tripadvisor Core segment during these reporting periods. Additionally, our business is dependent on relationships with third-party service operators that we rely on to fulfill service obligations to our customers where we are the merchant of record, such as our experience providers and vacation rental owners. However, no single operator’s inventory resulted in more than 10% of our revenue on a consolidated basis or at a reportable segment level in any period presented.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 w:name="page9"/>
    <w:bookmarkEnd w:id="8"/>
    <w:p>
      <w:pPr>
        <w:ind w:right="440"/>
        <w:spacing w:after="0" w:line="277" w:lineRule="auto"/>
        <w:rPr>
          <w:sz w:val="20"/>
          <w:szCs w:val="20"/>
          <w:color w:val="auto"/>
        </w:rPr>
      </w:pPr>
      <w:r>
        <w:rPr>
          <w:rFonts w:ascii="Arial" w:cs="Arial" w:eastAsia="Arial" w:hAnsi="Arial"/>
          <w:sz w:val="18"/>
          <w:szCs w:val="18"/>
          <w:color w:val="auto"/>
        </w:rPr>
        <w:t>and warehousing technologies. We make significant investments in product and feature development, data management, personalization technologies, scalable infrastructures, networking, data warehousing, and search engine technologies.</w:t>
      </w:r>
    </w:p>
    <w:p>
      <w:pPr>
        <w:spacing w:after="0" w:line="169" w:lineRule="exact"/>
        <w:rPr>
          <w:sz w:val="20"/>
          <w:szCs w:val="20"/>
          <w:color w:val="auto"/>
        </w:rPr>
      </w:pPr>
    </w:p>
    <w:p>
      <w:pPr>
        <w:ind w:right="320" w:firstLine="509"/>
        <w:spacing w:after="0" w:line="270" w:lineRule="auto"/>
        <w:rPr>
          <w:sz w:val="20"/>
          <w:szCs w:val="20"/>
          <w:color w:val="auto"/>
        </w:rPr>
      </w:pPr>
      <w:r>
        <w:rPr>
          <w:rFonts w:ascii="Arial" w:cs="Arial" w:eastAsia="Arial" w:hAnsi="Arial"/>
          <w:sz w:val="17"/>
          <w:szCs w:val="17"/>
          <w:color w:val="auto"/>
        </w:rPr>
        <w:t>Our systems infrastructure for Tripadvisor-branded websites is in a "hybrid-cloud" configuration in which parts of it are housed at a colocation facility and managed by our operations team, while the rest is hosted on Amazon Web Services. Our infrastructure installations have multiple communication links as well as continuous monitoring and engineering support. The co-location facility is protected with both network-level and application-level defenses, using well known commercial solutions specifically tailored for such purposes. We make use of Amazon Web Services availability zones to provide redundancy for the cloud portions of our infrastructure. Substantially all of our software components, data, and content are replicated in multiple data centers and development centers, as well as backed up at offsite locations. Our systems are monitored and protected through multiple layers of security. Several of our individual subsidiaries and businesses have their own technology teams to support business growth while leveraging common assets, tools and processes for scale across the group.</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360" w:firstLine="509"/>
        <w:spacing w:after="0" w:line="279" w:lineRule="auto"/>
        <w:rPr>
          <w:sz w:val="20"/>
          <w:szCs w:val="20"/>
          <w:color w:val="auto"/>
        </w:rPr>
      </w:pPr>
      <w:r>
        <w:rPr>
          <w:rFonts w:ascii="Arial" w:cs="Arial" w:eastAsia="Arial" w:hAnsi="Arial"/>
          <w:sz w:val="17"/>
          <w:szCs w:val="17"/>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We have acquired some of our intellectual property rights through licenses and content agreements with third parties and these arrangements may place restrictions on the use of our intellectual property.</w:t>
      </w:r>
    </w:p>
    <w:p>
      <w:pPr>
        <w:spacing w:after="0" w:line="170"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protect our intellectual property by relying on our terms of use, confidentiality agreements and contractual provisions, as well as on international, national, federal, state and common law rights. We protect our brands by pursuing the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191"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183"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 connection with our copyrightable content, we post and institute procedures under the U.S. Digital Millennium Copyright Act and similar “host privilege” statutes worldwide to gain immunity from copyright liability for photographs, text and other content loaded on our platform by consumers. However, differences between statutes, limitations on immunity, political and regulatory efforts to amend relevant statutes, and moderation efforts in the many jurisdictions in which we operate may affect our ability to claim immunity.</w:t>
      </w:r>
    </w:p>
    <w:p>
      <w:pPr>
        <w:spacing w:after="0" w:line="185"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From time to time, we may be subject to legal proceedings and claims in the ordinary course of our business, including claims of alleged infringement by us of the trademarks, copyrights, patents, and other intellectual property rights of third parties. In addition, litigation may be necessary in the future to enforce our intellectual property rights, protect our trade secrets or determine the validity and scope of proprietary rights claimed by others. Any such litigation, regardless of outcome or merit, could result in substantial costs and diversion of management and technical resources, any of which could materially harm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We are subject to a number of laws and regulations that affect companies conducting business on the internet as well as some relating to the travel industry, the provision of travel services and the vacation rental industry. As we continue to expand the reach of our brands into additional international markets and expand our product offerings, we are increasingly subject to additional laws and regulations. This includes laws and regulations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 w:name="page10"/>
    <w:bookmarkEnd w:id="9"/>
    <w:p>
      <w:pPr>
        <w:ind w:right="80"/>
        <w:spacing w:after="0" w:line="256" w:lineRule="auto"/>
        <w:rPr>
          <w:sz w:val="20"/>
          <w:szCs w:val="20"/>
          <w:color w:val="auto"/>
        </w:rPr>
      </w:pPr>
      <w:r>
        <w:rPr>
          <w:rFonts w:ascii="Arial" w:cs="Arial" w:eastAsia="Arial" w:hAnsi="Arial"/>
          <w:sz w:val="18"/>
          <w:szCs w:val="18"/>
          <w:color w:val="auto"/>
        </w:rPr>
        <w:t>regarding privacy and data protection, libel and defamation, content, intellectual property, distribution, electronic contracts and other communications, consumer protection, taxation, online payment services and competition, among others. These laws and regulations are constantly evolving and can be subject to significant change. Many of these laws and regulations are being tested in courts, and could be interpreted by regulators and courts in ways that could harm our business. In addition, the application and interpretation of these laws and regulations is often uncertain, particularly in the new and rapidly-evolving industry in which we operate.</w:t>
      </w:r>
    </w:p>
    <w:p>
      <w:pPr>
        <w:spacing w:after="0" w:line="19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In addition, we provide advertising data and information and conduct marketing activities that are subject to consumer protection laws that regulate unfair and deceptive practices, domestically and internationally, including, in some countries, pricing display requirements, licensing and registration requirements and industry specific value-added tax regimes. The U.S. (as well as individual states), the E.U. (as well as member states) and other countries have adopted legislation that regulates certain aspects of the internet, including online editorial and user-generated content, data privacy, behavioral targeting and online advertising, taxation, and liability for third-party activities. It is difficult to accurately predict how such legislation will be interpreted and applied or whether new taxes or regulations will be imposed on our services, and whether or how we might be affected. Increased regulation of the internet could increase the cost of doing business or otherwise materially adversely affect our business, financial condition or operating results.</w:t>
      </w:r>
    </w:p>
    <w:p>
      <w:pPr>
        <w:spacing w:after="0" w:line="164"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We are subject to laws that require protection of user privacy and user data. As our business has evolved, we have begun to receive and store a greater volume of personally identifiable data. This data is increasingly subject to laws and regulations in numerous jurisdictions around the world. For example, the E.U., in May 2018, adopted the General Data Protection Regulation, or GDPR, which requires companies, including ours, to meet enhanced requirements regarding the handling and storage of personal data. In January 2020, the State of California adopted the Consumer Privacy Protection Act which also enhances privacy rights and consumer protection for residents of California. In addition, several U.S. states have adopted similar laws or are currently evaluating their own laws and regulations. The enactment, interpretation and application of these laws is still in a state of flux.</w:t>
      </w:r>
    </w:p>
    <w:p>
      <w:pPr>
        <w:spacing w:after="0" w:line="16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231F20"/>
        </w:rPr>
        <w:t>Compliance with these laws, rules and regulations has not had, and is not expected to have, a material effect on our business, results of operations and financial condition. However, there are, and will likely continue to be, an increasing number of laws and regulations pertaining to the internet and online commerce and/or information retrieved from or transmitted over the internet, online editorial and user-generated content, user privacy, behavioral targeting and online advertising, liability for third-party activities. Likewise, the SEC, Department of Justice (“DOJ”) and Office of Foreign Assets Controls (“OFAC”), as well as foreign regulatory authorities, have continued to increase the enforcement of economic sanctions and trade regulations, anti-money laundering, and anti-corruption laws, across industries. As regulations continue to evolve and regulatory oversight continues to increase, we cannot guarantee that our programs and policies will be deemed compliant by all applicable regulatory authorities.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Equity Ownership and Voting Control</w:t>
      </w:r>
    </w:p>
    <w:p>
      <w:pPr>
        <w:spacing w:after="0" w:line="121"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Tripadvisor was founded in February 2000. In April 2004, Tripadvisor was acquired by IAC/InterActiveCorp, or IAC. In August 2005, IAC spun-off its portfolio of travel brands, including Tripadvisor, into Expedia, at the time a separate newly-formed Delaware corporation. On December 20, 2011 Expedia completed a spin-off of Tripadvisor into a separate publicly-traded Delaware corporation. We refer to this second spin-off transaction as the “Spin-Off.” Following the Spin-Off, on December 21, 2011, Tripadvisor began trading on The Nasdaq Global Select Market, or Nasdaq, as an independent public company under the trading symbol “TRIP.”</w:t>
      </w:r>
    </w:p>
    <w:p>
      <w:pPr>
        <w:spacing w:after="0" w:line="19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64"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Spin-Off, effective August 27, 2014, LTRIP became a separate, publicly traded company holding 100% of Liberty’s interest in Tripadvisor.</w:t>
      </w:r>
    </w:p>
    <w:p>
      <w:pPr>
        <w:spacing w:after="0" w:line="22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As a result of these transactions, and as of December 31, 2022, LTRIP beneficially owned approximately 16.4 million shares of our common stock and 12.8 million shares of our Class B common stock, which constitute nearly 13% of the outstanding shares of common stock and 100% of the outstanding shares of Class B common stock. Assuming the conversion of all of LTRIP’s shares of Class B common stock into common stock, LTRIP would beneficially own nearly 21% of the outstanding common stock. Because each share of Class B common stock is entitled to ten votes per share and each share of common stock is entitled to one vote per share, LTRIP may be deemed to beneficially own equity securities representing approximately 56% of our voting power.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 Culture and Employees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December 31, 2022, the Company had approximately 3,100 employees. Approximately 55%, 35%, and 10%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Talent Acquisition and Development</w:t>
      </w:r>
    </w:p>
    <w:p>
      <w:pPr>
        <w:spacing w:after="0" w:line="225" w:lineRule="exact"/>
        <w:rPr>
          <w:sz w:val="20"/>
          <w:szCs w:val="20"/>
          <w:color w:val="auto"/>
        </w:rPr>
      </w:pPr>
    </w:p>
    <w:p>
      <w:pPr>
        <w:ind w:right="340" w:firstLine="509"/>
        <w:spacing w:after="0" w:line="256" w:lineRule="auto"/>
        <w:rPr>
          <w:sz w:val="20"/>
          <w:szCs w:val="20"/>
          <w:color w:val="auto"/>
        </w:rPr>
      </w:pPr>
      <w:r>
        <w:rPr>
          <w:rFonts w:ascii="Arial" w:cs="Arial" w:eastAsia="Arial" w:hAnsi="Arial"/>
          <w:sz w:val="18"/>
          <w:szCs w:val="18"/>
          <w:color w:val="auto"/>
        </w:rPr>
        <w:t>We believe our employees are essential to our success and that the Company’s success depends on our ability to attract, develop and retain key talent. The skills, experience and industry knowledge of key employees significantly benefit our operations and performance. Competition for qualified personnel is intense, particularly for software engineers, computer scientists, and other technical staff, and constrained labor markets have increased competition for personnel across other parts of our business. The Company's management and Board of Directors oversee various initiatives for talent acquisition, retention and development.</w:t>
      </w:r>
    </w:p>
    <w:p>
      <w:pPr>
        <w:spacing w:after="0" w:line="19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Our talent philosophy is to both develop talent from within and to strategically recruit key external talent. This approach has yielded a deep understanding, among our employee base, of our business, our products, and our customers, while adding new employees and ideas in support of our continuous improvement mindset. Our overall talent acquisition and retention strategy is designed to attract and retain diverse and qualified candidates to enable the success of the Company and achievement of our performance goals. We recruit the best people for the job without regard to gender, ethnicity or other protected traits and it is our policy to comply fully with all domestic, foreign and local laws relating to discrimination in the workplace. Our talent acquisition team uses internal and external resources to recruit highly skilled and talented workers, and we encourage employee referrals for open positions.</w:t>
      </w:r>
    </w:p>
    <w:p>
      <w:pPr>
        <w:spacing w:after="0" w:line="163"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We support and develop our employees through global training and development programs that build and strengthen employees’ leadership and professional skills. Leadership development includes programs for new leaders as well as programs designed to support more experienced leaders. We also partner with external training organizations to help provide current and future workers with the knowledge and skills they need to succeed.</w:t>
      </w:r>
    </w:p>
    <w:p>
      <w:pPr>
        <w:spacing w:after="0" w:line="148"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It is important that our employees represent a mix of experiences and backgrounds in order to make our company stronger, more innovative and more inclusive. Inclusion is one of our core values, and we have programs in place to promote diversity and inclusion. Our diversity and inclusion initiatives support our goal that everyone throughout the Company is engaged in creating an inclusive workplace. We support inclusion through training on topics including Unconscious Bias and Inclusive Leadership. We also support a network of active Employee Resource Groups reflecting many dimensions of diversity across the Company.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i w:val="1"/>
          <w:iCs w:val="1"/>
          <w:color w:val="auto"/>
        </w:rPr>
        <w:t>Total Rewards</w:t>
      </w:r>
    </w:p>
    <w:p>
      <w:pPr>
        <w:spacing w:after="0" w:line="22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As part of our compensation philosophy, we believe that we must offer and maintain market competitive total rewards programs for our employees in order to attract, motivate and retain superior talent. These programs not only include base wages and incentives in support of our pay for performance culture, but also health, welfare, and retirement benefits.</w:t>
      </w:r>
    </w:p>
    <w:p>
      <w:pPr>
        <w:spacing w:after="0" w:line="18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design our benefit programs to meet the needs of our employees’ health while managing program costs for escalation rates at or below industry trend factors. Our programs include but are not limited to wellness, mental health services, telemedicine, and partnerships with service providers that support diverse family-care need solutions. We continuously refine, develop and implement proactive health care strategies and solutions that allow us to enhance employee health and well-being while curbing costs.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Health and Safety</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222222"/>
        </w:rPr>
        <w:t>The health and safety of our employees is of utmost importance to us. We conduct regular self-assessments and audits to ensure compliance with our health and safety guidelines and regulatory requirements.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We maintain a corporate website at ir.tripadvisor.com. Except as explicitly noted, the information on our website, as well as the websites of our various brands, is not incorporated by reference in this Annual Report on Form 10-K, or in any other filings with, or in any information furnished or submitted to, the SEC.</w:t>
      </w:r>
    </w:p>
    <w:p>
      <w:pPr>
        <w:spacing w:after="0" w:line="183"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On our Investor Relations website (http://ir.tripadvisor.com/investor-relations), we provide our Annual Reports on Form 10-K, Quarterly Reports on Form 10-Q and Current Reports on Form 8-K, and amendments to these reports free of charge. These reports are available on our website as soon as reasonably practicable after we electronically file or furnish these reports to the SEC or publish through press releases, public conference calls and certain webcasts. All documents filed electronically with the SEC (including reports, proxy and information statements and other information) are also available at www.sec.gov. Investors and others should be aware that we use our investor relations website (http://ir.tripadvisor.com/investor-relations) to announce material financial information to our investors as well as communicate with the public about our company, our results of operations and other information.</w:t>
      </w:r>
    </w:p>
    <w:p>
      <w:pPr>
        <w:spacing w:after="0" w:line="163" w:lineRule="exact"/>
        <w:rPr>
          <w:sz w:val="20"/>
          <w:szCs w:val="20"/>
          <w:color w:val="auto"/>
        </w:rPr>
      </w:pPr>
    </w:p>
    <w:p>
      <w:pPr>
        <w:jc w:val="both"/>
        <w:ind w:right="500" w:firstLine="509"/>
        <w:spacing w:after="0" w:line="263" w:lineRule="auto"/>
        <w:rPr>
          <w:sz w:val="20"/>
          <w:szCs w:val="20"/>
          <w:color w:val="auto"/>
        </w:rPr>
      </w:pPr>
      <w:r>
        <w:rPr>
          <w:rFonts w:ascii="Arial" w:cs="Arial" w:eastAsia="Arial" w:hAnsi="Arial"/>
          <w:sz w:val="18"/>
          <w:szCs w:val="18"/>
          <w:color w:val="auto"/>
        </w:rPr>
        <w:t>We post our code of business conduct and ethics, which applies to all employees, including all executive officers, senior financial officers and directors, on our corporate website at www.tripadvisor.com. We intend to disclose any waivers of the code of ethics for our executive officers, senior financial officers or directors, on our corporate website.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and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21"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b w:val="1"/>
          <w:bCs w:val="1"/>
          <w:i w:val="1"/>
          <w:iCs w:val="1"/>
          <w:color w:val="auto"/>
        </w:rPr>
        <w:t xml:space="preserve">Weak economic conditions, including those that cause declines or disruptions in the travel industry or reduce consumer discretionary spending have had a material adverse impact on the Company’s business and financial performance. </w:t>
      </w:r>
      <w:r>
        <w:rPr>
          <w:rFonts w:ascii="Arial" w:cs="Arial" w:eastAsia="Arial" w:hAnsi="Arial"/>
          <w:sz w:val="17"/>
          <w:szCs w:val="17"/>
          <w:color w:val="231F20"/>
        </w:rPr>
        <w:t>Our business and financial performance are affected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31F20"/>
        </w:rPr>
        <w:t>health of the worldwide travel industry. Events beyond our control, such as pandemics, unusual or extreme weather or natural disasters (whether caused by climate change or otherwise), travel-related health concerns, restrictions related to travel, trade or immigration policies, wars, sources of political uncertainty, foreign policy changes, regional hostilities, imposition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 w:name="page13"/>
    <w:bookmarkEnd w:id="12"/>
    <w:p>
      <w:pPr>
        <w:ind w:right="180"/>
        <w:spacing w:after="0" w:line="263" w:lineRule="auto"/>
        <w:rPr>
          <w:sz w:val="20"/>
          <w:szCs w:val="20"/>
          <w:color w:val="auto"/>
        </w:rPr>
      </w:pPr>
      <w:r>
        <w:rPr>
          <w:rFonts w:ascii="Arial" w:cs="Arial" w:eastAsia="Arial" w:hAnsi="Arial"/>
          <w:sz w:val="18"/>
          <w:szCs w:val="18"/>
          <w:color w:val="231F20"/>
        </w:rPr>
        <w:t>of taxes or surcharges by regulatory authorities, labor unrest or travel-related accidents, can disrupt travel globally or otherwise result in declines in travel demand. For example, the COVID-19 pandemic caused significant disruption in the travel industry and resulted in a material adverse impact on our business.</w:t>
      </w:r>
    </w:p>
    <w:p>
      <w:pPr>
        <w:spacing w:after="0" w:line="75"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231F20"/>
        </w:rPr>
        <w:t>In addition, the uncertainty of macro-economic factors and their impact on consumer behavior makes it more difficult to forecast industry and consumer trends, which in turn could adversely affect our ability to effectively manage our business. Our financial performance is also subject to global economic conditions and their impact on levels of discretionary consumer spending. Sales of travel services tend to decline or grow more slowly during economic downturns and times of inflation when consumers engage in less discretionary spending, are concerned about unemployment or economic weakness, have reduced access to credit or experience other concerns that reduce their ability or willingness to travel. Leisure travel, which accounts for a substantial majority of our current business, is particularly dependent on discretionary consumer spending levels</w:t>
      </w:r>
      <w:r>
        <w:rPr>
          <w:rFonts w:ascii="Arial" w:cs="Arial" w:eastAsia="Arial" w:hAnsi="Arial"/>
          <w:sz w:val="16"/>
          <w:szCs w:val="16"/>
          <w:color w:val="000000"/>
        </w:rPr>
        <w:t>.</w:t>
      </w:r>
    </w:p>
    <w:p>
      <w:pPr>
        <w:spacing w:after="0" w:line="5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b w:val="1"/>
          <w:bCs w:val="1"/>
          <w:i w:val="1"/>
          <w:iCs w:val="1"/>
          <w:color w:val="auto"/>
        </w:rPr>
        <w:t xml:space="preserve">If we are unable to continue to attract a significant amount of visitors to our platform, to cost-effectively convert these visitors into revenue-generating customers and to continue to engage consumers, our business and financial performance could be harmed. </w:t>
      </w:r>
      <w:r>
        <w:rPr>
          <w:rFonts w:ascii="Arial" w:cs="Arial" w:eastAsia="Arial" w:hAnsi="Arial"/>
          <w:sz w:val="16"/>
          <w:szCs w:val="16"/>
          <w:color w:val="auto"/>
        </w:rPr>
        <w:t>Our traffic and user engagement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could be adversely affected by a number of factors including, but not limited to, inability to provide quality content, inventory or supply to our consumers; declines or inefficiencies in traffic acquisition and reduced awareness of our brands. Certain of our competitors have advertising campaigns expressly designed to drive traffic directly to their websites, and these campaigns may negatively impact traffic to our platform. There can be no assurances that we will continue to provide content and products in a manner that meets rapidly changing demand. Any failure to obtain and manage content and products in a cost-effective manner that will engage consumers, or any failure to provide content and products that are perceived as useful, reliable and trustworthy, could adversely affect user experiences and their repeat behavior, reduce traffic to our platform and negatively impact our business and financial performance.</w:t>
      </w:r>
    </w:p>
    <w:p>
      <w:pPr>
        <w:spacing w:after="0" w:line="55"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b w:val="1"/>
          <w:bCs w:val="1"/>
          <w:i w:val="1"/>
          <w:iCs w:val="1"/>
          <w:color w:val="auto"/>
        </w:rPr>
        <w:t xml:space="preserve">We rely on internet search engines and application marketplaces to drive traffic to our platform, certain providers of which offer products and services that compete directly with ours. If we are unable to drive traffic cost-effectively, traffic to our platform could decline and our business would be negatively affected. </w:t>
      </w:r>
      <w:r>
        <w:rPr>
          <w:rFonts w:ascii="Arial" w:cs="Arial" w:eastAsia="Arial" w:hAnsi="Arial"/>
          <w:sz w:val="16"/>
          <w:szCs w:val="16"/>
          <w:color w:val="auto"/>
        </w:rPr>
        <w:t>The number of consumers we attract to our platform is due in large part to how and where information from, and links to,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displayed on search engine results pages, or SERPs. The display, including rankings, of search results can be affected by a number of factors, many of which are not in our control. Search engines frequently change the logic that determines the placement and display of the results of a user’s search, such that the purchased or algorithmic placement of links to our platform can be negatively affected. A search engine could alter its search algorithms or results causing our websites to place lower in search query results. For example, Google, a significant source of traffic to our platform, frequently promotes its own competing products in its search results, which has negatively impacted placement of references to our company and our platform on the SERP. If a major search engine changes its algorithms in a manner that negatively affects the search engine ranking of our websites or those of our travel partners, or if competitive dynamics impact the cost or effectiveness of Search Engine Optimization (“SEO”) or Search Engine Marketing (“SEM”) in a negative manner, our business and financial performance would be adversely affected. Furthermore, our failure to successfully manage our SEO and SEM strategies and/or other traffic acquisition strategies could result in a substantial decrease in traffic to our platform, as well as increased costs to the extent we replace free traffic with paid traffic.</w:t>
      </w:r>
    </w:p>
    <w:p>
      <w:pPr>
        <w:spacing w:after="0" w:line="6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also rely on application marketplaces, or app stores such as Apple’s App Store and Google’s Play, to drive downloads of our apps. In the future, Apple, Google or other marketplace operators may make changes that make access to our products more difficult or may limit our access to information that would restrict our ability to provide the best user experience. For example, Google has entered various aspects of the online travel market, including by establishing a flight metasearch product and hotel metasearch product as well as reservation functionality. Our apps may receive unfavorable treatment compared to the promotion and placement of competing apps, such as the order in which they appear within marketplaces. In addition, Apple has announced new features that limit who has access to consumer data, including location information. Similarly, if problems arise in our relationships with providers of application marketplaces, traffic to our platform and our user growth could be harmed.</w:t>
      </w:r>
    </w:p>
    <w:p>
      <w:pPr>
        <w:spacing w:after="0" w:line="7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b w:val="1"/>
          <w:bCs w:val="1"/>
          <w:i w:val="1"/>
          <w:iCs w:val="1"/>
          <w:color w:val="auto"/>
        </w:rPr>
        <w:t xml:space="preserve">We derive a substantial portion of our revenue from advertising and any significant reduction in spending by advertisers on our platform could harm our business. </w:t>
      </w:r>
      <w:r>
        <w:rPr>
          <w:rFonts w:ascii="Arial" w:cs="Arial" w:eastAsia="Arial" w:hAnsi="Arial"/>
          <w:sz w:val="18"/>
          <w:szCs w:val="18"/>
          <w:color w:val="auto"/>
        </w:rPr>
        <w:t>Our ability to grow advertising revenue with our existing or new travel partners is dependent in large part on our ability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to them relative to other alternatives. Our ability to provide value to our travel partners depends on a number of factors, including, but not limited to, the following:</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ind w:left="1020" w:hanging="36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increase or maintain user engagement;</w:t>
      </w:r>
    </w:p>
    <w:p>
      <w:pPr>
        <w:spacing w:after="0" w:line="23" w:lineRule="exact"/>
        <w:rPr>
          <w:rFonts w:ascii="Arial" w:cs="Arial" w:eastAsia="Arial" w:hAnsi="Arial"/>
          <w:sz w:val="18"/>
          <w:szCs w:val="18"/>
          <w:color w:val="auto"/>
        </w:rPr>
      </w:pPr>
    </w:p>
    <w:p>
      <w:pPr>
        <w:ind w:left="1020" w:hanging="36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increase or maintain the quantity and quality of ads shown to consumers;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our ad measurement tools;</w:t>
      </w:r>
    </w:p>
    <w:p>
      <w:pPr>
        <w:spacing w:after="0" w:line="8" w:lineRule="exact"/>
        <w:rPr>
          <w:rFonts w:ascii="Arial" w:cs="Arial" w:eastAsia="Arial" w:hAnsi="Arial"/>
          <w:sz w:val="18"/>
          <w:szCs w:val="18"/>
          <w:color w:val="auto"/>
        </w:rPr>
      </w:pPr>
    </w:p>
    <w:p>
      <w:pPr>
        <w:ind w:left="1020" w:right="540" w:hanging="368"/>
        <w:spacing w:after="0" w:line="25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advertising and the extent to which it generates sales leads, customers, bookings or financial results on a cost-effective basis;</w:t>
      </w:r>
    </w:p>
    <w:p>
      <w:pPr>
        <w:ind w:left="1020" w:right="160" w:hanging="368"/>
        <w:spacing w:after="0" w:line="25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competitiveness of our products, traffic quality, perception of our platform, and availability and accuracy of analytics and measurement solutions to demonstrate our value; and</w:t>
      </w:r>
    </w:p>
    <w:p>
      <w:pPr>
        <w:ind w:left="1020" w:hanging="368"/>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Adverse government actions or legal developments relating to advertising, including limitations on our ability to deliver targeted advertising.</w:t>
      </w:r>
    </w:p>
    <w:p>
      <w:pPr>
        <w:spacing w:after="0" w:line="125"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Any of these or other factors could result in a reduction in demand for our ads, which may reduce the prices we receive for our ads, or cause marketers to stop advertising with us altogether, any of which would negatively affect our revenue and financial results.</w:t>
      </w:r>
    </w:p>
    <w:p>
      <w:pPr>
        <w:spacing w:after="0" w:line="6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Click-based advertising revenue accounts for the majority of our advertising revenue. Our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advertising revenue which would, in turn, have an adverse effect on our business and financial results.</w:t>
      </w:r>
    </w:p>
    <w:p>
      <w:pPr>
        <w:spacing w:after="0" w:line="77"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b w:val="1"/>
          <w:bCs w:val="1"/>
          <w:i w:val="1"/>
          <w:iCs w:val="1"/>
          <w:color w:val="auto"/>
        </w:rPr>
        <w:t xml:space="preserve">We rely on a relatively small number of significant travel partners and any reduction in spending by or loss of these partners could seriously harm our business. </w:t>
      </w:r>
      <w:r>
        <w:rPr>
          <w:rFonts w:ascii="Arial" w:cs="Arial" w:eastAsia="Arial" w:hAnsi="Arial"/>
          <w:sz w:val="18"/>
          <w:szCs w:val="18"/>
          <w:color w:val="auto"/>
        </w:rPr>
        <w:t>For the year ended December 31, 2022, our two most significant travel partners, Expedia and Booking (and their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accounted for a combined 35% of total revenue, with most of this revenue recorded within our Tripadvisor Core segment. If any of our significant travel partners were to cease or significantly curtail advertising on our platform, we could experience a rapid decline in our revenue over a relatively short period of time which would have a material impact on our business.</w:t>
      </w:r>
    </w:p>
    <w:p>
      <w:pPr>
        <w:spacing w:after="0" w:line="8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b w:val="1"/>
          <w:bCs w:val="1"/>
          <w:i w:val="1"/>
          <w:iCs w:val="1"/>
          <w:color w:val="auto"/>
        </w:rPr>
        <w:t xml:space="preserve">Our business depends on strong brands and any failure to maintain, protect or enhance our brands could hurt our ability to retain and expand our base of consumers and partners, the frequency with which consumers utilize our products and services and our ability to attract partners.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maintain and protect our brands depends, in part, on our ability to maintain consumer trust in our products and services and in the quality, integrity, reliability and usefulness of the content and other information found on our platform. If consumers do not view the content on our platform to be useful and reliable, they may seek other sources to obtain the information they are looking for and may not return to our platform as often or at all. We dedicate significant resources to protecting the quality of our content, primarily through our content guidelines, computer algorithms and human moderators that are focused on identifying and removing inappropriate, unreliable or deceptive content.</w:t>
      </w:r>
    </w:p>
    <w:p>
      <w:pPr>
        <w:spacing w:after="0" w:line="73" w:lineRule="exact"/>
        <w:rPr>
          <w:sz w:val="20"/>
          <w:szCs w:val="20"/>
          <w:color w:val="auto"/>
        </w:rPr>
      </w:pPr>
    </w:p>
    <w:p>
      <w:pPr>
        <w:ind w:right="80" w:firstLine="494"/>
        <w:spacing w:after="0" w:line="271" w:lineRule="auto"/>
        <w:rPr>
          <w:sz w:val="20"/>
          <w:szCs w:val="20"/>
          <w:color w:val="auto"/>
        </w:rPr>
      </w:pPr>
      <w:r>
        <w:rPr>
          <w:rFonts w:ascii="Arial" w:cs="Arial" w:eastAsia="Arial" w:hAnsi="Arial"/>
          <w:sz w:val="17"/>
          <w:szCs w:val="17"/>
          <w:color w:val="auto"/>
        </w:rPr>
        <w:t>Media, legal, or regulatory scrutiny of our user content, advertising practices, and other issues may adversely affect our reputation and brand. Negative publicity about our company, including our content, technology and business practices, could diminish our reputation and confidence in our brand, thereby negatively affecting the use of our products and our financial performance. For example, in the past, certain media outlets have alleged that we have improperly filtered or screened reviews, that we have not properly verified reviews, or that we manipulate reviews, ranking and ratings in favor of our advertisers. We expend significant resources to ensure the integrity of our reviews and to ensure that the most relevant reviews are available to our consumers; we do not establish rankings and ratings in favor of our advertisers. Regulatory inquiries or investigations require management time and attention and could result in further negative publicity, regardless of their merits or ultimate outcomes.</w:t>
      </w:r>
    </w:p>
    <w:p>
      <w:pPr>
        <w:spacing w:after="0" w:line="73"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could adversely affect our reputation with our consumers and our partners. Such negative publicity also could have an adverse effect on the size, engagement, and loyalty of our user base and result in decreased revenue.</w:t>
      </w:r>
    </w:p>
    <w:p>
      <w:pPr>
        <w:spacing w:after="0" w:line="75" w:lineRule="exact"/>
        <w:rPr>
          <w:sz w:val="20"/>
          <w:szCs w:val="20"/>
          <w:color w:val="auto"/>
        </w:rPr>
      </w:pPr>
    </w:p>
    <w:p>
      <w:pPr>
        <w:ind w:right="120" w:firstLine="554"/>
        <w:spacing w:after="0" w:line="273" w:lineRule="auto"/>
        <w:rPr>
          <w:sz w:val="20"/>
          <w:szCs w:val="20"/>
          <w:color w:val="auto"/>
        </w:rPr>
      </w:pPr>
      <w:r>
        <w:rPr>
          <w:rFonts w:ascii="Arial" w:cs="Arial" w:eastAsia="Arial" w:hAnsi="Arial"/>
          <w:sz w:val="17"/>
          <w:szCs w:val="17"/>
          <w:b w:val="1"/>
          <w:bCs w:val="1"/>
          <w:i w:val="1"/>
          <w:iCs w:val="1"/>
          <w:color w:val="auto"/>
        </w:rPr>
        <w:t xml:space="preserve">If we are unable to offer compelling products and services on mobile devices or continue to operate effectively on these platforms, our business may be adversely affected. </w:t>
      </w:r>
      <w:r>
        <w:rPr>
          <w:rFonts w:ascii="Arial" w:cs="Arial" w:eastAsia="Arial" w:hAnsi="Arial"/>
          <w:sz w:val="17"/>
          <w:szCs w:val="17"/>
          <w:color w:val="auto"/>
        </w:rPr>
        <w:t>Widespread adoption of mobile devices has driven substantial online traffic and commerce to mobile platforms.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utilized on mobile phone devices, have historically monetized at a significantly lower rate than desktops and advertising opportunities are more limited on these devices. Additionally, consumer purchasing patterns differ on these devices. For example, accommodation reservations made on a mobile device are generally for shorter lengths of stay and are not made as far in advance. We expect that the ways in which consumers engage with our platform will continue to change as consumers increasingly engage via alternative devices.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right="40" w:firstLine="509"/>
        <w:spacing w:after="0" w:line="296" w:lineRule="auto"/>
        <w:rPr>
          <w:sz w:val="20"/>
          <w:szCs w:val="20"/>
          <w:color w:val="auto"/>
        </w:rPr>
      </w:pPr>
      <w:r>
        <w:rPr>
          <w:rFonts w:ascii="Arial" w:cs="Arial" w:eastAsia="Arial" w:hAnsi="Arial"/>
          <w:sz w:val="16"/>
          <w:szCs w:val="16"/>
          <w:color w:val="auto"/>
        </w:rPr>
        <w:t>It is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and we may need to devote significant resources to the creation, support and maintenance of competitive new products. If we are unable to continue to rapidly innovate and create appealing, user-friendly and differentiated offerings and efficiently and effectively advertise on these platforms, we could lose market share and our business, future growth and financial results could be adversely affected.</w:t>
      </w:r>
    </w:p>
    <w:p>
      <w:pPr>
        <w:spacing w:after="0" w:line="52"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Our success will also depend on the interoperability of our products with a range of technologies, systems, networks and standards and our ability to create, maintain and develop relationships with key participants in related industries, some of which may be our competitors. For example, Apple’s iPhone and Google’s Android are the leading smartphones in the world and our products need to synergistically function on their operating systems in order to create a positive user experience on those devices. Yet, Apple continues to announce and implement new privacy features that limit the amount of information we can access about our users operating on the Apple iPhone operating system.</w:t>
      </w:r>
    </w:p>
    <w:p>
      <w:pPr>
        <w:spacing w:after="0" w:line="67"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do not include our products in their devices, make changes that degrade the functionality of our products, give preferential treatment to competitive products or prevent us from delivering advertising, our user growth and financial results may be harmed.</w:t>
      </w:r>
    </w:p>
    <w:p>
      <w:pPr>
        <w:spacing w:after="0" w:line="83"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b w:val="1"/>
          <w:bCs w:val="1"/>
          <w:i w:val="1"/>
          <w:iCs w:val="1"/>
          <w:color w:val="auto"/>
        </w:rPr>
        <w:t xml:space="preserve">Any continued or future declines or disruptions in the economy and industries in which we operate could adversely affect our businesses, financial performance and the market price of our common stock. </w:t>
      </w:r>
      <w:r>
        <w:rPr>
          <w:rFonts w:ascii="Arial" w:cs="Arial" w:eastAsia="Arial" w:hAnsi="Arial"/>
          <w:sz w:val="16"/>
          <w:szCs w:val="16"/>
          <w:color w:val="auto"/>
        </w:rPr>
        <w:t>Sales of travel and/or leisure products tend to decline or grow more slowly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downturns when consumers engage in less discretionary spending, are concerned about unemployment or economic weakness, have reduced access to credit or experience other concerns that reduce their ability or willingness to travel. The uncertainty of macro-economic factors and their impact on consumer behavior makes it more difficult to forecast industry and consumer trends and the timing and degree of their impact on our markets and business, which in turn could adversely affect our ability to effectively manage our business. Economic downturn and adverse market conditions may also negatively impact our partners, our partners’ access to capital, cost of capital and ability to meet liquidity needs. These challenges faced in a prolonged economic downturn or deterioration in the travel industry could adversely impact our business, financial performance and share price. The extent and duration of such impacts remain largely uncertain and dependent on future developments that cannot be accurately predicted at this time.</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global economy may be adversely impacted by events beyond our control including actual or threatened terrorism, regional hostilities or instability, natural disasters, political instability and health concerns (including epidemics or pandemics), significant increases in energy costs, tightening of credit markets and declines in consumer confidence. For example, the COVID-19 pandemic had a material impact on the travel industry, our company and our financial performance. In addition, in response to the COVID-19 pandemic, much of our work force began working remotely and continue to work remotely. Working remotely can give rise to cybersecurity issues, training and compliance issues, or create operational or other challenges as we adjust to a fully-remote workforce, any of which could harm our business.</w:t>
      </w:r>
    </w:p>
    <w:p>
      <w:pPr>
        <w:spacing w:after="0" w:line="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b w:val="1"/>
          <w:bCs w:val="1"/>
          <w:i w:val="1"/>
          <w:iCs w:val="1"/>
          <w:color w:val="auto"/>
        </w:rPr>
        <w:t xml:space="preserve">We operate in a competitive global environment and our failure to compete effectively could reduce our market share and harm our financial performance. </w:t>
      </w:r>
      <w:r>
        <w:rPr>
          <w:rFonts w:ascii="Arial" w:cs="Arial" w:eastAsia="Arial" w:hAnsi="Arial"/>
          <w:sz w:val="18"/>
          <w:szCs w:val="18"/>
          <w:color w:val="auto"/>
        </w:rPr>
        <w:t>We compete with different types of companies in the various markets and geographies where we operate, including large and small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travel and leisure space as well as broader service providers. We face competition for content, consumers, advertisers, online travel search and price comparison services and online reservations. We compete globally with both online and offline, established and emerging, providers of travel, lodging, experiences and restaurant reservation and related services. Current and new competitors can launch new services at a relatively low cost. More specifically:</w:t>
      </w:r>
    </w:p>
    <w:p>
      <w:pPr>
        <w:spacing w:after="0" w:line="83" w:lineRule="exact"/>
        <w:rPr>
          <w:sz w:val="20"/>
          <w:szCs w:val="20"/>
          <w:color w:val="auto"/>
        </w:rPr>
      </w:pPr>
    </w:p>
    <w:p>
      <w:pPr>
        <w:ind w:left="1020" w:right="200" w:hanging="368"/>
        <w:spacing w:after="0" w:line="25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OTAs, such as Expedia, Booking Holdings, Airbnb, traveloka, Despegar, Trip.com, and their respective subsidiaries and operating companies;</w:t>
      </w:r>
    </w:p>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Experiences OTAs, such as GetYourGuide, Klook, and TUI Musement;</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Hotel metasearch providers, such as trivago, Kayak and HotelsCombined;</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5" w:name="page16"/>
    <w:bookmarkEnd w:id="15"/>
    <w:p>
      <w:pPr>
        <w:ind w:left="1020" w:hanging="36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Online search, social media, and marketplace platforms for advertising spend, such as Google, Facebook, Twitter, Pinterest, and Snap;</w:t>
      </w:r>
    </w:p>
    <w:p>
      <w:pPr>
        <w:spacing w:after="0" w:line="34" w:lineRule="exact"/>
        <w:rPr>
          <w:rFonts w:ascii="Arial" w:cs="Arial" w:eastAsia="Arial" w:hAnsi="Arial"/>
          <w:sz w:val="17"/>
          <w:szCs w:val="17"/>
          <w:color w:val="auto"/>
        </w:rPr>
      </w:pPr>
    </w:p>
    <w:p>
      <w:pPr>
        <w:ind w:left="1020" w:hanging="36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and regional travel, experiences, and restaurant brands seeking to promote direct bookings;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Emerging online advertising businesses, such as ad-supported retail and entertainment platforms like Amazon, Spotify, and Walmart;</w:t>
      </w:r>
    </w:p>
    <w:p>
      <w:pPr>
        <w:spacing w:after="0" w:line="20" w:lineRule="exact"/>
        <w:rPr>
          <w:rFonts w:ascii="Arial" w:cs="Arial" w:eastAsia="Arial" w:hAnsi="Arial"/>
          <w:sz w:val="17"/>
          <w:szCs w:val="17"/>
          <w:color w:val="auto"/>
        </w:rPr>
      </w:pPr>
    </w:p>
    <w:p>
      <w:pPr>
        <w:ind w:left="1020" w:hanging="36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Traditional offline travel agencies; and</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Global and regional restaurant technology providers for reservation management and related services, such as OpenTable, Resy, and Tock.</w:t>
      </w:r>
    </w:p>
    <w:p>
      <w:pPr>
        <w:spacing w:after="0" w:line="125"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There has been a proliferation of new channels through which service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offer a variety of online services and, in some cases, are willing to make little or no profit on a transaction, or offer travel services at a loss, in order to gain market share. Many of our competitors have significantly greater financial, technical, marketing and other resources and have more expertise in developing online commerce and facilitating internet traffic as well as larger client bases. They also have the ability to leverage other aspects of their business to enable them to compete more effectively.</w:t>
      </w:r>
    </w:p>
    <w:p>
      <w:pPr>
        <w:spacing w:after="0" w:line="55" w:lineRule="exact"/>
        <w:rPr>
          <w:sz w:val="20"/>
          <w:szCs w:val="20"/>
          <w:color w:val="auto"/>
        </w:rPr>
      </w:pPr>
    </w:p>
    <w:p>
      <w:pPr>
        <w:jc w:val="both"/>
        <w:ind w:right="280" w:firstLine="509"/>
        <w:spacing w:after="0" w:line="286" w:lineRule="auto"/>
        <w:rPr>
          <w:sz w:val="20"/>
          <w:szCs w:val="20"/>
          <w:color w:val="auto"/>
        </w:rPr>
      </w:pPr>
      <w:r>
        <w:rPr>
          <w:rFonts w:ascii="Arial" w:cs="Arial" w:eastAsia="Arial" w:hAnsi="Arial"/>
          <w:sz w:val="17"/>
          <w:szCs w:val="17"/>
          <w:color w:val="auto"/>
        </w:rPr>
        <w:t>In addition, Google and other large, established companies with substantial resources and expertise have launched travel or travel-related search, metasearch and/or reservation booking services and may create additional inroads into online travel. Many of our competitors continue to expand their voice and artificial intelligence capabilities, which may provide them with a competitive advantage in travel.</w:t>
      </w:r>
    </w:p>
    <w:p>
      <w:pPr>
        <w:spacing w:after="0" w:line="56"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compete with certain companies that we also do business with, including certain of our travel partners and related parties. The consolidation of our competitors and travel partners may affect our relative competitiveness and our travel partner relationships. Competition and consolidation could result in higher traffic acquisition costs, reduced margins on our advertising services, loss of market share, reduced customer traffic to our platform and reduced advertising by travel companies on our platform.</w:t>
      </w:r>
    </w:p>
    <w:p>
      <w:pPr>
        <w:spacing w:after="0" w:line="7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b w:val="1"/>
          <w:bCs w:val="1"/>
          <w:i w:val="1"/>
          <w:iCs w:val="1"/>
          <w:color w:val="auto"/>
        </w:rPr>
        <w:t xml:space="preserve">We rely on information technology to operate our business and remain competitive, and any failure to adapt to technological developments or industry trends could harm our businesses. </w:t>
      </w:r>
      <w:r>
        <w:rPr>
          <w:rFonts w:ascii="Arial" w:cs="Arial" w:eastAsia="Arial" w:hAnsi="Arial"/>
          <w:sz w:val="17"/>
          <w:szCs w:val="17"/>
          <w:color w:val="auto"/>
        </w:rPr>
        <w:t>Our future success depends on our ability to continuously improve and upgrade our systems and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 </w:t>
      </w:r>
      <w:r>
        <w:rPr>
          <w:rFonts w:ascii="Arial" w:cs="Arial" w:eastAsia="Arial" w:hAnsi="Arial"/>
          <w:sz w:val="17"/>
          <w:szCs w:val="17"/>
          <w:color w:val="231F20"/>
        </w:rPr>
        <w:t>Our future success will also depend on our ability to adapt to emerging</w:t>
      </w:r>
      <w:r>
        <w:rPr>
          <w:rFonts w:ascii="Arial" w:cs="Arial" w:eastAsia="Arial" w:hAnsi="Arial"/>
          <w:sz w:val="17"/>
          <w:szCs w:val="17"/>
          <w:color w:val="auto"/>
        </w:rPr>
        <w:t xml:space="preserve"> </w:t>
      </w:r>
      <w:r>
        <w:rPr>
          <w:rFonts w:ascii="Arial" w:cs="Arial" w:eastAsia="Arial" w:hAnsi="Arial"/>
          <w:sz w:val="17"/>
          <w:szCs w:val="17"/>
          <w:color w:val="231F20"/>
        </w:rPr>
        <w:t xml:space="preserve">technologies such as tokenization; new authentication technologies, such as biometrics, distributed ledger and blockchain technologies; new and emerging payment methods, such as Alipay, Paytm and WeChat Pay; artificial intelligence; virtual and augmented reality; and cloud technologies. </w:t>
      </w:r>
      <w:r>
        <w:rPr>
          <w:rFonts w:ascii="Arial" w:cs="Arial" w:eastAsia="Arial" w:hAnsi="Arial"/>
          <w:sz w:val="17"/>
          <w:szCs w:val="17"/>
          <w:color w:val="000000"/>
        </w:rPr>
        <w:t>The emergence of</w:t>
      </w:r>
      <w:r>
        <w:rPr>
          <w:rFonts w:ascii="Arial" w:cs="Arial" w:eastAsia="Arial" w:hAnsi="Arial"/>
          <w:sz w:val="17"/>
          <w:szCs w:val="17"/>
          <w:color w:val="231F20"/>
        </w:rPr>
        <w:t xml:space="preserve"> </w:t>
      </w:r>
      <w:r>
        <w:rPr>
          <w:rFonts w:ascii="Arial" w:cs="Arial" w:eastAsia="Arial" w:hAnsi="Arial"/>
          <w:sz w:val="17"/>
          <w:szCs w:val="17"/>
          <w:color w:val="000000"/>
        </w:rPr>
        <w:t>alternative or new devices and the emergence of niche competitors who may be able to optimize products, services or strategies for such platforms will require additional investment in technology. New developments in other areas could also make it easier for competitors to enter our markets due to lower up-front technology costs.</w:t>
      </w:r>
    </w:p>
    <w:p>
      <w:pPr>
        <w:spacing w:after="0" w:line="7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b w:val="1"/>
          <w:bCs w:val="1"/>
          <w:i w:val="1"/>
          <w:iCs w:val="1"/>
          <w:color w:val="auto"/>
        </w:rPr>
        <w:t xml:space="preserve">If we are unable to adapt to the evolving demands of our customers, we may not remain competitive, and our business and financial performance could suffer. </w:t>
      </w:r>
      <w:r>
        <w:rPr>
          <w:rFonts w:ascii="Arial" w:cs="Arial" w:eastAsia="Arial" w:hAnsi="Arial"/>
          <w:sz w:val="18"/>
          <w:szCs w:val="18"/>
          <w:color w:val="auto"/>
        </w:rPr>
        <w:t>Our competitors are continually developing innovations in services and features. As a result, we are continually working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the user experience on our platform in order to engage our consumers and drive user traffic and conversion rates for our partners and provide our business partners with the tools they need to succeed. We have invested, and expect to continue to invest, significant resources in developing and marketing these innovations. We can give no assurances that the changes we make will yield the benefits we expect and will not have unintended or adverse impacts. If we are unable to continue offering innovative products and services and quality features that customers want to use, existing customers may become dissatisfied and use competitors’ offerings and we may be unable to attract additional customers, which could adversely affect our business and financial performance.</w:t>
      </w:r>
    </w:p>
    <w:p>
      <w:pPr>
        <w:spacing w:after="0" w:line="88"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b w:val="1"/>
          <w:bCs w:val="1"/>
          <w:i w:val="1"/>
          <w:iCs w:val="1"/>
          <w:color w:val="auto"/>
        </w:rPr>
        <w:t xml:space="preserve">Our dedication to making the consumer experience our highest priority may cause us to prioritize rapid innovation and consumer experience over short-term financial results. </w:t>
      </w:r>
      <w:r>
        <w:rPr>
          <w:rFonts w:ascii="Arial" w:cs="Arial" w:eastAsia="Arial" w:hAnsi="Arial"/>
          <w:sz w:val="18"/>
          <w:szCs w:val="18"/>
          <w:color w:val="auto"/>
        </w:rPr>
        <w:t>We strive to create the best experience for our consumers. We believe that in doing so we will increase our traffic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(i.e., visitors converting into</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6" w:name="page17"/>
    <w:bookmarkEnd w:id="16"/>
    <w:p>
      <w:pPr>
        <w:ind w:right="100"/>
        <w:spacing w:after="0" w:line="301" w:lineRule="auto"/>
        <w:rPr>
          <w:sz w:val="20"/>
          <w:szCs w:val="20"/>
          <w:color w:val="auto"/>
        </w:rPr>
      </w:pPr>
      <w:r>
        <w:rPr>
          <w:rFonts w:ascii="Arial" w:cs="Arial" w:eastAsia="Arial" w:hAnsi="Arial"/>
          <w:sz w:val="16"/>
          <w:szCs w:val="16"/>
          <w:color w:val="auto"/>
        </w:rPr>
        <w:t>clicks and/or bookings), revenue and financial performance. We have taken actions in the past, and may continue to take actions in the future, that have the effect of reducing our short-term financial results if we believe the actions benefit the overall consumer experience. These decisions may not produce the long-term benefits we expect, new or enhanced products may fail to engage consumers and/or we may be unsuccessful in our efforts to monetize these initiatives, in which case our relationships with consumers and partners, and our business and financial performance could be harmed.</w:t>
      </w:r>
    </w:p>
    <w:p>
      <w:pPr>
        <w:spacing w:after="0" w:line="4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b w:val="1"/>
          <w:bCs w:val="1"/>
          <w:i w:val="1"/>
          <w:iCs w:val="1"/>
          <w:color w:val="auto"/>
        </w:rPr>
        <w:t xml:space="preserve">We are dependent upon the quality of traffic in our network to provide value to our partners, and any failure in our ability to deliver quality traffic and/or the metrics to demonstrate the value of the traffic could have a material and adverse impact on the value of our platform to our partners and adversely affect our revenue. </w:t>
      </w:r>
      <w:r>
        <w:rPr>
          <w:rFonts w:ascii="Arial" w:cs="Arial" w:eastAsia="Arial" w:hAnsi="Arial"/>
          <w:sz w:val="17"/>
          <w:szCs w:val="17"/>
          <w:color w:val="auto"/>
        </w:rPr>
        <w:t>We use technology and processes to monitor the quality of the internet traffic that we deliver to our partners and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metrics to demonstrate the quality of that traffic and identify low quality clicks such as non-human processes, including robots, spiders, the mechanical automation of clicking and other types of invalid clicks or click fraud. Even with such monitoring in place, there is a risk that a certain amount of low-quality traffic will be delivered to such online advertisers. Such low-quality or invalid traffic may be detrimental to our relationships with partners and could adversely affect our advertising pricing and revenue.</w:t>
      </w:r>
    </w:p>
    <w:p>
      <w:pPr>
        <w:spacing w:after="0" w:line="73"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b w:val="1"/>
          <w:bCs w:val="1"/>
          <w:i w:val="1"/>
          <w:iCs w:val="1"/>
          <w:color w:val="auto"/>
        </w:rPr>
        <w:t xml:space="preserve">We rely on assumptions and estimates and data to calculate certain of our key metrics, and real or perceived inaccuracies in such metrics may harm our reputation and negatively affect our business. </w:t>
      </w:r>
      <w:r>
        <w:rPr>
          <w:rFonts w:ascii="Arial" w:cs="Arial" w:eastAsia="Arial" w:hAnsi="Arial"/>
          <w:sz w:val="16"/>
          <w:szCs w:val="16"/>
          <w:color w:val="auto"/>
        </w:rPr>
        <w:t>Certain metrics are key to our business; as both the industry in which we operate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continue to evolve, so too might the metrics by which we evaluate our businesses. While the calculation of the metrics we use is based on what we believe to be reasonable estimates, our internal tools are not independently verified by a third-party and have a number of limitations;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our platform. As such, the calculations of our unique users may not accurately reflect the number of people actually visiting our platform. If the internal tools we use to track these metrics under-count or over-count performance or contain algorithm or other technical errors, the data we report may not be accurate. We continue to improve upon our tools and methodologies to capture data; however, the improvement of our tools and methodologies could cause inconsistency between current data and previously reported data, which could confuse investors or lead to questions about the integrity of our data. Finally, we may, in the future, identify new or other metrics that enable us to more accurately evaluate our business. Accordingly, investors should not place undue reliance on these metrics.</w:t>
      </w:r>
    </w:p>
    <w:p>
      <w:pPr>
        <w:spacing w:after="0" w:line="66"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b w:val="1"/>
          <w:bCs w:val="1"/>
          <w:i w:val="1"/>
          <w:iCs w:val="1"/>
          <w:color w:val="auto"/>
        </w:rPr>
        <w:t xml:space="preserve">Our future success depends on the performance of our key employees and our ability to attract and retain senior management and highly skilled personnel. </w:t>
      </w:r>
      <w:r>
        <w:rPr>
          <w:rFonts w:ascii="Arial" w:cs="Arial" w:eastAsia="Arial" w:hAnsi="Arial"/>
          <w:sz w:val="16"/>
          <w:szCs w:val="16"/>
          <w:color w:val="auto"/>
        </w:rPr>
        <w:t>In particular, we are highly dependent on the services of our leadership team for the development of and our execution on our vision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In 2022, we made several changes to our senior management team, including those serving as our Chief Executive Officer and President and our Chief Financial Officer and adding several senior leaders. Our future performance will depend, in part, on the successful integration of these new senior level executives into their roles. If we do not successfully manage these additions, it could be viewed negatively by our investors, employees, and partners, and could have an adverse impact on our business and results of operations. We also heavily rely on the continued service and performance of our senior management team, which provides leadership, contributes to the core areas of our business and helps us to efficiently execute on mission, vision and strategic initiatives. If we are unable to retain members of our senior management team, including our executive leadership, we may not be able to manage our business effectively and, as a result, our business and operating results could be harmed. If the senior management team fails to work together effectively and to execute our plans and strategies on a timely basis, then our business and future growth prospects could be harmed.</w:t>
      </w:r>
    </w:p>
    <w:p>
      <w:pPr>
        <w:spacing w:after="0" w:line="5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success of our operations and the quality of our services are also highly dependent on our ability to attract and retain skilled personnel. For employees, we compete with companies that have far greater financial resources than we do as well as companies that promise short-term growth opportunities and/or other benefits. If we do not succeed in attracting well-qualified employees or retaining or motivating existing employees, our business would be adversely affected.</w:t>
      </w:r>
    </w:p>
    <w:p>
      <w:pPr>
        <w:spacing w:after="0" w:line="7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b w:val="1"/>
          <w:bCs w:val="1"/>
          <w:i w:val="1"/>
          <w:iCs w:val="1"/>
          <w:color w:val="auto"/>
        </w:rPr>
        <w:t xml:space="preserve">Acquisitions, investments, significant commercial arrangements and/or new business strategies could present new challenges and risks and disrupt our ongoing business. </w:t>
      </w:r>
      <w:r>
        <w:rPr>
          <w:rFonts w:ascii="Arial" w:cs="Arial" w:eastAsia="Arial" w:hAnsi="Arial"/>
          <w:sz w:val="18"/>
          <w:szCs w:val="18"/>
          <w:color w:val="auto"/>
        </w:rPr>
        <w:t>We have acquired, invested in and/or entered into significant commercial arrangements with a number of businesses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and our future growth may</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ind w:right="620"/>
        <w:spacing w:after="0" w:line="277" w:lineRule="auto"/>
        <w:rPr>
          <w:sz w:val="20"/>
          <w:szCs w:val="20"/>
          <w:color w:val="auto"/>
        </w:rPr>
      </w:pPr>
      <w:r>
        <w:rPr>
          <w:rFonts w:ascii="Arial" w:cs="Arial" w:eastAsia="Arial" w:hAnsi="Arial"/>
          <w:sz w:val="18"/>
          <w:szCs w:val="18"/>
          <w:color w:val="auto"/>
        </w:rPr>
        <w:t>depend, in part, on future acquisitions, investments, commercial arrangements and/or changes in business strategies. Such endeavors may involve significant risks and uncertainties, including, but not limited to, the following:</w:t>
      </w:r>
    </w:p>
    <w:p>
      <w:pPr>
        <w:spacing w:after="0" w:line="62" w:lineRule="exact"/>
        <w:rPr>
          <w:sz w:val="20"/>
          <w:szCs w:val="20"/>
          <w:color w:val="auto"/>
        </w:rPr>
      </w:pPr>
    </w:p>
    <w:p>
      <w:pPr>
        <w:ind w:left="1020" w:hanging="368"/>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incurred to identify, pursue and fund these endeavors that may or may not be successful and may limit other potential uses of cash;</w:t>
      </w:r>
    </w:p>
    <w:p>
      <w:pPr>
        <w:spacing w:after="0" w:line="46" w:lineRule="exact"/>
        <w:rPr>
          <w:rFonts w:ascii="Arial" w:cs="Arial" w:eastAsia="Arial" w:hAnsi="Arial"/>
          <w:sz w:val="16"/>
          <w:szCs w:val="16"/>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or personnel;</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Assumption of debt and liabilities, including costs associated with litigation, cybersecurity risks, and other claims;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any such strategy or target to achieve anticipated objectives, revenues or earnings;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management or operational control and heightened reputational risk with respect to minority investments;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Entrance into markets in which we have no prior experience;</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 and</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market reaction to the transaction.</w:t>
      </w:r>
    </w:p>
    <w:p>
      <w:pPr>
        <w:spacing w:after="0" w:line="102"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We have in the past invested, and may in the future invest, in privately-held companies. Such investments are inherently risky and our ability to liquidate any such investments is typically difficult. Valuations of such privately-held companies are inherently complex and uncertain due to the lack of liquid market for the companies’ securities. We cannot assure you that these investments will be successful or that such endeavors will result in the realization of the synergies, cost savings and innovation that may be possible within a reasonable period of time, if at all. We could lose the full amount of our investments; any impairment of our investments could have a material adverse effect on our financial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b w:val="1"/>
          <w:bCs w:val="1"/>
          <w:i w:val="1"/>
          <w:iCs w:val="1"/>
          <w:color w:val="auto"/>
        </w:rPr>
        <w:t xml:space="preserve">We are a global company that operates in many different jurisdictions inside and outside the U.S. and these operations expose us to additional risks. </w:t>
      </w:r>
      <w:r>
        <w:rPr>
          <w:rFonts w:ascii="Arial" w:cs="Arial" w:eastAsia="Arial" w:hAnsi="Arial"/>
          <w:sz w:val="18"/>
          <w:szCs w:val="18"/>
          <w:color w:val="auto"/>
        </w:rPr>
        <w:t>Many regions have different economic conditions, languages, currencies, legislation, regulatory environments, levels of political stability, levels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expectations, and use of the internet for commerce. We are subject to risks typical of global businesses, including, but not limited to, the following:</w:t>
      </w:r>
    </w:p>
    <w:p>
      <w:pPr>
        <w:spacing w:after="0" w:line="77" w:lineRule="exact"/>
        <w:rPr>
          <w:sz w:val="20"/>
          <w:szCs w:val="20"/>
          <w:color w:val="auto"/>
        </w:rPr>
      </w:pPr>
    </w:p>
    <w:p>
      <w:pPr>
        <w:ind w:left="1020" w:right="520" w:hanging="368"/>
        <w:spacing w:after="0" w:line="25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but not limited to, laws and regulations regarding data privacy, labor and employment, advertising, anti-competition and tax;</w:t>
      </w: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repatriation of cash and on investments in operations;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or laws involving economic or trade prohibitions or sanctions; and</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10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strategy includes continued expansion in existing markets and potentially new markets. In addition to the risks mentioned above, international markets have strong local competitors with established brands and travel service providers or relationships that may make expansion in certain markets difficult and costly and take more time than anticipated. In some markets,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existing and potentially new markets and effectively managing that expansion, our business and financial results could be adversely affected.</w:t>
      </w:r>
    </w:p>
    <w:p>
      <w:pPr>
        <w:spacing w:after="0" w:line="73"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b w:val="1"/>
          <w:bCs w:val="1"/>
          <w:i w:val="1"/>
          <w:iCs w:val="1"/>
          <w:color w:val="auto"/>
        </w:rPr>
        <w:t>We are regularly subject to claims, lawsuits, government investigations, and other proceedings which may result in adverse outcomes and, regardless of the outcome, result in legal costs, diversion of management</w:t>
      </w:r>
    </w:p>
    <w:p>
      <w:pPr>
        <w:spacing w:after="0" w:line="1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18" w:name="page19"/>
    <w:bookmarkEnd w:id="18"/>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resources, injunctions or damage awards, and other negative results. </w:t>
      </w:r>
      <w:r>
        <w:rPr>
          <w:rFonts w:ascii="Arial" w:cs="Arial" w:eastAsia="Arial" w:hAnsi="Arial"/>
          <w:sz w:val="18"/>
          <w:szCs w:val="18"/>
          <w:color w:val="auto"/>
        </w:rPr>
        <w:t>It is possible that a resolution of one or more such proceedings could result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damages, fines or penalties that could adversely affect our business, financial results or financial position. These proceedings could also result in reputational harm, criminal sanctions or consent decrees, the release of confidential information or orders preventing us from offering certain features, functionalities, products, or services, requiring a change in our business practices. Any of these consequences could adversely affect our business and financial results.</w:t>
      </w:r>
    </w:p>
    <w:p>
      <w:pPr>
        <w:spacing w:after="0" w:line="83"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b w:val="1"/>
          <w:bCs w:val="1"/>
          <w:i w:val="1"/>
          <w:iCs w:val="1"/>
          <w:color w:val="auto"/>
        </w:rPr>
        <w:t xml:space="preserve">A failure to comply with existing or new laws, rules and regulations or changes to such laws, rules and regulations and other legal uncertainties may adversely affect our business or financial results. </w:t>
      </w:r>
      <w:r>
        <w:rPr>
          <w:rFonts w:ascii="Arial" w:cs="Arial" w:eastAsia="Arial" w:hAnsi="Arial"/>
          <w:sz w:val="16"/>
          <w:szCs w:val="16"/>
          <w:color w:val="auto"/>
        </w:rPr>
        <w:t>Our business and financial results could be adversely affected by unfavorable changes in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interpretations of existing laws, rules and regulations or the promulgation of new laws, rules and regulations applicable to us and our business, including, but not limited to, those relating to internet and online commerce, internet advertising, consumer protection, intermediary liability and data security and privacy. These laws continue to evolve. For example, there is, and will likely continue to be, an increasing number of laws and regulations pertaining to internet and online commerce and liability for information retrieved from or transmitted over the internet, online editorial and user-generated content, user privacy, behavioral targeting and online advertising and liability for third-party activities. Likewise, the SEC, DOJ and OFAC, as well as foreign regulatory authorities, have continued to increase the enforcement of economic sanctions and trade regulations, anti-money laundering, and anti-corruption laws, across industries. Operating in this dynamic regulatory environment requires significant management attention and financial resources. As regulations continue to evolve and regulatory oversight continues to increase, we cannot guarantee that our programs and policies will be deemed compliant by all applicable regulatory authorities. The failure of our businesses to comply with these laws and regulations could result in fines and/or proceedings against us by governmental agencies, regulatory authorities, courts and/or consumers, which, if material, could adversely affect our business and financial results.</w:t>
      </w:r>
    </w:p>
    <w:p>
      <w:pPr>
        <w:spacing w:after="0" w:line="66"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The promulgation of new laws, rules and regulations, or new interpretations of existing laws, rules and regulations, could require us to change certain aspects of our business, operations and relationships to ensure compliance, which could decrease demand for services, reduce revenues, increase costs and/or subject the Company to additional liabilities. For example, many jurisdictions have adopted, and many jurisdictions are considering adopting, privacy rights and consumer protections for their residents, which legislation will continue to change the landscape for the use and protection of data and could increase the cost and complexity of delivering our services. Unfavorable changes could limit marketing methods and capabilities, decrease demand for products and services, impede development of new products, require significant management time, increase costs and/or subject us to additional liabilities. Violations of these laws and regulations could result in penalties, criminal sanctions and/or negative publicity against us, our officers or our employees and/or restrictions on the conduct of our business.</w:t>
      </w:r>
    </w:p>
    <w:p>
      <w:pPr>
        <w:spacing w:after="0" w:line="75"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b w:val="1"/>
          <w:bCs w:val="1"/>
          <w:i w:val="1"/>
          <w:iCs w:val="1"/>
          <w:color w:val="auto"/>
        </w:rPr>
        <w:t xml:space="preserve">We face risks related to our intellectual property. </w:t>
      </w:r>
      <w:r>
        <w:rPr>
          <w:rFonts w:ascii="Arial" w:cs="Arial" w:eastAsia="Arial" w:hAnsi="Arial"/>
          <w:sz w:val="17"/>
          <w:szCs w:val="17"/>
          <w:color w:val="auto"/>
        </w:rPr>
        <w:t>We rely on content, brands and technology, much of which is proprietary. We protect our content,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brands and technology by, among other things, a combination of maintenance and enforcement of registered and unregistered intellectual property rights (e.g. trademarks, copyrights and trade secrets), technological solutions and contractual protections. Even with these precautions, it may be possible for another party to copy or otherwise obtain and use our intellectual property, without authorization or to independently develop similar content, brands or technology. Any misappropriation or violation of our rights could have a material adverse effect on our business.</w:t>
      </w:r>
    </w:p>
    <w:p>
      <w:pPr>
        <w:spacing w:after="0" w:line="6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Effective intellectual property protection may not be available in every jurisdiction in which our platform or services are made available and policing unauthorized use of our intellectual property is difficult and expensive. Therefore, in certain jurisdictions, we may be unable to adequately protect our intellectual property against unauthorized third-party copying or use. We cannot be sure that the steps we have taken will prevent misappropriation or infringement of our intellectual property. Furthermore, we may need to go to court or other tribunals in order to enforce our rights or scope of the proprietary rights of others. These proceedings might result in substantial costs and diversion of resources and management attention, and we cannot accurately predict the likelihood of success in such proceedings. Our failure to protect our intellectual property in an effective manner could have a material adverse effect on our business.</w:t>
      </w:r>
    </w:p>
    <w:p>
      <w:pPr>
        <w:spacing w:after="0" w:line="85"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We currently license some of the intellectual property displayed on our platform from third parties. As we continue to introduce new services that incorporate new intellectual property, we may be required or elect to license additional intellectual property. We cannot be sure that such licenses will be available on commercially reasonable terms, if at all.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ind w:firstLine="509"/>
        <w:spacing w:after="0" w:line="271" w:lineRule="auto"/>
        <w:rPr>
          <w:sz w:val="20"/>
          <w:szCs w:val="20"/>
          <w:color w:val="auto"/>
        </w:rPr>
      </w:pPr>
      <w:r>
        <w:rPr>
          <w:rFonts w:ascii="Arial" w:cs="Arial" w:eastAsia="Arial" w:hAnsi="Arial"/>
          <w:sz w:val="17"/>
          <w:szCs w:val="17"/>
          <w:color w:val="auto"/>
        </w:rPr>
        <w:t>From time to time, in the ordinary course of our business, we have been subject to, and are currently subject to, legal proceedings and claims relating to third-party intellectual property rights, and we expect that third parties will continue to assert intellectual property claims against us, particularly as we expand the complexity and scope of our platform and services. Successful intellectual property claims against us could result in significant monetary liability or prevent us from operating our business, or portions of our business, or require us to change business practices or develop non-infringing intellectual property, which could require significant effort and expense. In addition, resolution of claims may require us to obtain releases or licenses to use intellectual property rights belonging to third-parties, which may be expensive to procure, or possibly to cease using those rights altogether. Any of these events could have a material adverse effect on our business, results of operations and financial condition.</w:t>
      </w:r>
    </w:p>
    <w:p>
      <w:pPr>
        <w:spacing w:after="0" w:line="73"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b w:val="1"/>
          <w:bCs w:val="1"/>
          <w:i w:val="1"/>
          <w:iCs w:val="1"/>
          <w:color w:val="212529"/>
        </w:rPr>
        <w:t>Increased focus on our environmental, social, and governance ("ESG") responsibilities have and will likely continue to result in additional costs and risks, and may adversely impact our reputation, employee retention, and willingness of customers and partners to do business with us</w:t>
      </w:r>
      <w:r>
        <w:rPr>
          <w:rFonts w:ascii="Arial" w:cs="Arial" w:eastAsia="Arial" w:hAnsi="Arial"/>
          <w:sz w:val="16"/>
          <w:szCs w:val="16"/>
          <w:b w:val="1"/>
          <w:bCs w:val="1"/>
          <w:i w:val="1"/>
          <w:iCs w:val="1"/>
          <w:color w:val="000000"/>
        </w:rPr>
        <w:t>.</w:t>
      </w:r>
      <w:r>
        <w:rPr>
          <w:rFonts w:ascii="Arial" w:cs="Arial" w:eastAsia="Arial" w:hAnsi="Arial"/>
          <w:sz w:val="16"/>
          <w:szCs w:val="16"/>
          <w:b w:val="1"/>
          <w:bCs w:val="1"/>
          <w:i w:val="1"/>
          <w:iCs w:val="1"/>
          <w:color w:val="212529"/>
        </w:rPr>
        <w:t xml:space="preserve"> </w:t>
      </w:r>
      <w:r>
        <w:rPr>
          <w:rFonts w:ascii="Arial" w:cs="Arial" w:eastAsia="Arial" w:hAnsi="Arial"/>
          <w:sz w:val="16"/>
          <w:szCs w:val="16"/>
          <w:color w:val="000000"/>
        </w:rPr>
        <w:t>Institutional,</w:t>
      </w:r>
      <w:r>
        <w:rPr>
          <w:rFonts w:ascii="Arial" w:cs="Arial" w:eastAsia="Arial" w:hAnsi="Arial"/>
          <w:sz w:val="16"/>
          <w:szCs w:val="16"/>
          <w:b w:val="1"/>
          <w:bCs w:val="1"/>
          <w:i w:val="1"/>
          <w:iCs w:val="1"/>
          <w:color w:val="212529"/>
        </w:rPr>
        <w:t xml:space="preserve"> </w:t>
      </w:r>
      <w:r>
        <w:rPr>
          <w:rFonts w:ascii="Arial" w:cs="Arial" w:eastAsia="Arial" w:hAnsi="Arial"/>
          <w:sz w:val="16"/>
          <w:szCs w:val="16"/>
          <w:color w:val="000000"/>
        </w:rPr>
        <w:t>individual, and other investors, proxy advisory services, regulatory authorities, consumers and other stakeholders are increasingly focused on ESG practices of companies. The standards for tracking and reporting on ESG matters and disclosure frameworks are relatively new, have not been harmonized, and continue to evolve. Ensuring there are systems and processes in place to comply with the various ESG tracking and reporting obligations may require management time and expense. As we look to respond to evolving standards for identifying, measuring, and reporting ESG metrics, our efforts may result in a significant increase in costs and may nonetheless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 actions by stockholders or stakeholders.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Data Security and Privacy</w:t>
      </w:r>
    </w:p>
    <w:p>
      <w:pPr>
        <w:spacing w:after="0" w:line="1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b w:val="1"/>
          <w:bCs w:val="1"/>
          <w:i w:val="1"/>
          <w:iCs w:val="1"/>
          <w:color w:val="auto"/>
        </w:rPr>
        <w:t xml:space="preserve">Our processing, storage and use of personal information and other data subjects us to additional laws and regulations. Failure to comply with those laws and regulations could give rise to liabilities. </w:t>
      </w:r>
      <w:r>
        <w:rPr>
          <w:rFonts w:ascii="Arial" w:cs="Arial" w:eastAsia="Arial" w:hAnsi="Arial"/>
          <w:sz w:val="17"/>
          <w:szCs w:val="17"/>
          <w:color w:val="auto"/>
        </w:rPr>
        <w:t>The security of data when engaging in electronic commerce is essential to maintaining consumer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service provider confidence in our services. We are subject to a variety of laws in the U.S. and abroad regarding privacy and the storing, sharing, use, processing, disclosure and protection of personal information, the scope of which are changing, subject to differing interpretations, and may be inconsistent between countries or conflict with other existing laws. The regulatory framework for privacy issues worldwide is currently in flux and is likely to remain so for the foreseeable future. In addition, practices regarding the collection, use, storage, transmission and security of personal information by companies operating over the internet have recently come under increased public scrutiny.</w:t>
      </w:r>
    </w:p>
    <w:p>
      <w:pPr>
        <w:spacing w:after="0" w:line="73"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Implementing and complying with these laws and regulations may be more costly or take longer than we anticipate, or could otherwise affect our operations. Any failure or perceived failure by us to comply with our privacy and information security policies, privacy-related obligations to consumers or other third parties, or privacy-related legal obligations, may result in litigation or governmental enforcement actions that could harm our reputation and cause our consumers and partners to lose trust in us, any of which could have an adverse effect on our business, brand, market share and financial results.</w:t>
      </w:r>
    </w:p>
    <w:p>
      <w:pPr>
        <w:spacing w:after="0" w:line="4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b w:val="1"/>
          <w:bCs w:val="1"/>
          <w:i w:val="1"/>
          <w:iCs w:val="1"/>
          <w:color w:val="auto"/>
        </w:rPr>
        <w:t xml:space="preserve">We are subject to risks associated with processing credit card and other payment transactions and failure to manage those risks may subject us to fines, penalties and/or additional costs and could have a negative impact on our business. </w:t>
      </w:r>
      <w:r>
        <w:rPr>
          <w:rFonts w:ascii="Arial" w:cs="Arial" w:eastAsia="Arial" w:hAnsi="Arial"/>
          <w:sz w:val="17"/>
          <w:szCs w:val="17"/>
          <w:color w:val="auto"/>
        </w:rPr>
        <w:t>We accept payments from consumers and our business partners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a variety of methods, including credit, debit and invoicing. We are susceptible to fraudulent activity and cybercrime generally and with respect to this payment facilitation activity. We rely on third parties to provide certain payment methods and payment processing services and our business could be disrupted if these companies become unwilling or unable to provide these services to us. We are subject to laws, regulations and compliance requirements relating to payments, international money transfers, privacy and information security and money laundering, including obligations to implement enhanced authentication processes. We are also subject to payment card association operating rules, including data security rules, certification requirements, and rules governing electronic funds transfers, which could change or be reinterpreted to make it difficult or impossible for us to comply. These laws, regulations and/or requirements result in significant costs. If we fail to comply or if our data security systems are breached or compromised, we may be liable for card issuing banks’ costs, subject to fines, penalties and higher transaction fees, and/or lose our ability to accept credit and debit card payments, process electronic funds transfers, or facilitate other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right="620"/>
        <w:spacing w:after="0" w:line="277" w:lineRule="auto"/>
        <w:rPr>
          <w:sz w:val="20"/>
          <w:szCs w:val="20"/>
          <w:color w:val="auto"/>
        </w:rPr>
      </w:pPr>
      <w:r>
        <w:rPr>
          <w:rFonts w:ascii="Arial" w:cs="Arial" w:eastAsia="Arial" w:hAnsi="Arial"/>
          <w:sz w:val="18"/>
          <w:szCs w:val="18"/>
          <w:color w:val="auto"/>
        </w:rPr>
        <w:t>types of online payments. In addition, for certain payment methods, including credit and debit cards, we pay interchange and other fees, which may increase over time and raise our operating costs and lower profitability.</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Additionally, our marketplace activities in the U.K. and Europe require us to obtain or operate under a payment institution license under the Payment Services Directive Two (“PSD2”). PSD2 requires a license to perform certain defined “payment services” in a European Economic Area (“EEA”) member state. Conditions for obtaining and complying with the license include minimum capital requirements, establishment of procedures for safeguarding funds, and certain governance and reporting requirements. Certain obligations relating to internal controls and the conduct of business, in particular, consumer disclosure requirements and certain rules regarding the timing and settlement of payments, must be met. We have obtained a payment institution license in the U.K. As a result of Brexit, we are no longer able to passport our U.K. license to the EEA. Although work on our EU application is underway and we anticipate submitting our application in the first half of 2023, we may not receive the EU license on a timely basis if at all.</w:t>
      </w:r>
    </w:p>
    <w:p>
      <w:pPr>
        <w:spacing w:after="0" w:line="5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It is possible that we could become subject to regulatory enforcement or other proceedings in those states or other jurisdictions with money transmission, or other similar statutes or regulatory requirements, including an EEA member state, related to the handling or moving of money, which could in turn have a significant impact on our business, even if we were to ultimately prevail in such proceedings. If we are ultimately deemed to be in violation of one or more money transmitter or other similar statutes or regulatory requirements related to the handling or moving of money in the U.S., the EEA or other jurisdictions, we may be subject to the imposition of fines or restrictions on our business, our ability to offer some or all of our services in the relevant jurisdiction may be suspended, and we may be subject to civil or criminal liability and our business, results of operations and financial position could be materially adversely affected.</w:t>
      </w:r>
    </w:p>
    <w:p>
      <w:pPr>
        <w:spacing w:after="0" w:line="85" w:lineRule="exact"/>
        <w:rPr>
          <w:sz w:val="20"/>
          <w:szCs w:val="20"/>
          <w:color w:val="auto"/>
        </w:rPr>
      </w:pPr>
    </w:p>
    <w:p>
      <w:pPr>
        <w:ind w:right="140" w:firstLine="509"/>
        <w:spacing w:after="0" w:line="287" w:lineRule="auto"/>
        <w:rPr>
          <w:sz w:val="20"/>
          <w:szCs w:val="20"/>
          <w:color w:val="auto"/>
        </w:rPr>
      </w:pPr>
      <w:r>
        <w:rPr>
          <w:rFonts w:ascii="Arial" w:cs="Arial" w:eastAsia="Arial" w:hAnsi="Arial"/>
          <w:sz w:val="16"/>
          <w:szCs w:val="16"/>
          <w:b w:val="1"/>
          <w:bCs w:val="1"/>
          <w:i w:val="1"/>
          <w:iCs w:val="1"/>
          <w:color w:val="auto"/>
        </w:rPr>
        <w:t xml:space="preserve">System security issues, data protection breaches, cyberattacks and system outage issues could disrupt our operations or services provided to our consumers, and any such disruption could damage our reputation and adversely affect our business, financial results and share price. </w:t>
      </w:r>
      <w:r>
        <w:rPr>
          <w:rFonts w:ascii="Arial" w:cs="Arial" w:eastAsia="Arial" w:hAnsi="Arial"/>
          <w:sz w:val="16"/>
          <w:szCs w:val="16"/>
          <w:color w:val="auto"/>
        </w:rPr>
        <w:t>Our reputation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ability to attract, retain and service our consumers and partners is dependent upon the reliable performance and security of our computer systems and those of third parties we utilize in our operations. Significant security issues, data breaches, cyberattacks and outages, interruptions or delays, in our systems or third-party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partners, could expose us, our consumers and partners to a risk of loss or misuse of this information, damage our brand and reputation or otherwise harm our business and financial performance and could result in government enforcement actions and litigation and potential liability for us.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61"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Computer programmers and hackers also may be able to develop and deploy viruses, worms, ransomware and other malicious software programs that attack our products or otherwise exploit any vulnerabilities in our systems,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 Failure to adequately protect against attacks or intrusions, whether for our own systems or systems of vendors, could expose us to security breaches that could have an adverse impact on our financial performance.</w:t>
      </w:r>
    </w:p>
    <w:p>
      <w:pPr>
        <w:spacing w:after="0" w:line="57"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Much of our business is conducted with third-party partners and vendors. A security breach at such third-party could be perceived by consumers as a security breach of our systems and could result in negative publicity or reputational damage, expose us to risk of loss or litigation and subject us to regulatory penalties and sanctions. In addition, such incidents may also result in a decline in our user base and client base or engagement levels.</w:t>
      </w:r>
    </w:p>
    <w:p>
      <w:pPr>
        <w:spacing w:after="0" w:line="40"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Media coverage of data breaches and public exposure of consumer data rights has increased, in part because of the rise of enforcement actions, investigations and lawsuits. Similarly, the increase in privacy activist groups is likely to give rise to further scrutiny, investigative actions and publicity. Security breaches could result in negative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right="100"/>
        <w:spacing w:after="0" w:line="301" w:lineRule="auto"/>
        <w:rPr>
          <w:sz w:val="20"/>
          <w:szCs w:val="20"/>
          <w:color w:val="auto"/>
        </w:rPr>
      </w:pPr>
      <w:r>
        <w:rPr>
          <w:rFonts w:ascii="Arial" w:cs="Arial" w:eastAsia="Arial" w:hAnsi="Arial"/>
          <w:sz w:val="16"/>
          <w:szCs w:val="16"/>
          <w:color w:val="auto"/>
        </w:rPr>
        <w:t>publicity, damage to reputation, exposure to risk of loss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consumers to lose confidence in our data security, which would have a negative effect on the value of our brand.</w:t>
      </w:r>
    </w:p>
    <w:p>
      <w:pPr>
        <w:spacing w:after="0" w:line="4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b w:val="1"/>
          <w:bCs w:val="1"/>
          <w:i w:val="1"/>
          <w:iCs w:val="1"/>
          <w:color w:val="auto"/>
        </w:rPr>
        <w:t xml:space="preserve">Evolving regulations, guidance and practices on the use of "cookies" and similar tracking technologies could negatively impact the way we do business. </w:t>
      </w:r>
      <w:r>
        <w:rPr>
          <w:rFonts w:ascii="Arial" w:cs="Arial" w:eastAsia="Arial" w:hAnsi="Arial"/>
          <w:sz w:val="17"/>
          <w:szCs w:val="17"/>
          <w:color w:val="auto"/>
        </w:rPr>
        <w:t>Cookies and similar technologies are common tools used by websites and apps, including ours, to store or gather information, improve site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improve and personalize the customer experience, market to consumers and increase conversion. Companies such as Apple and Google have introduced new policies governing developers’ use of cookies and similar tracking technologies, including enhanced disclosure and opt in requirements. Similarly, many states and countries have adopted data protection laws and regulations governing the use of cookies and other similar tracking technologies by websites and app developers. Such regulations could limit our ability to serve certain customers in the manner we currently do, including with respect to retargeting or personalized advertising, impair our ability to improve and optimize performance on our platform, negatively affect a consumer's experience using our platform, which, in turn, could negatively impact our business.</w:t>
      </w:r>
    </w:p>
    <w:p>
      <w:pPr>
        <w:spacing w:after="0" w:line="75"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Equally, privacy has been the impetus behind a move towards a cookie-less online ecosystem which poses a potential risk to our online behavioral advertising strategy.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Matters</w:t>
      </w:r>
    </w:p>
    <w:p>
      <w:pPr>
        <w:spacing w:after="0" w:line="121" w:lineRule="exact"/>
        <w:rPr>
          <w:sz w:val="20"/>
          <w:szCs w:val="20"/>
          <w:color w:val="auto"/>
        </w:rPr>
      </w:pPr>
    </w:p>
    <w:p>
      <w:pPr>
        <w:ind w:right="200" w:firstLine="509"/>
        <w:spacing w:after="0" w:line="307" w:lineRule="auto"/>
        <w:rPr>
          <w:sz w:val="20"/>
          <w:szCs w:val="20"/>
          <w:color w:val="auto"/>
        </w:rPr>
      </w:pPr>
      <w:r>
        <w:rPr>
          <w:rFonts w:ascii="Arial" w:cs="Arial" w:eastAsia="Arial" w:hAnsi="Arial"/>
          <w:sz w:val="17"/>
          <w:szCs w:val="17"/>
          <w:b w:val="1"/>
          <w:bCs w:val="1"/>
          <w:i w:val="1"/>
          <w:iCs w:val="1"/>
          <w:color w:val="auto"/>
        </w:rPr>
        <w:t xml:space="preserve">Our financial results are difficult to forecast; they have fluctuated in the past and will likely fluctuate in the future. </w:t>
      </w:r>
      <w:r>
        <w:rPr>
          <w:rFonts w:ascii="Arial" w:cs="Arial" w:eastAsia="Arial" w:hAnsi="Arial"/>
          <w:sz w:val="17"/>
          <w:szCs w:val="17"/>
          <w:color w:val="auto"/>
        </w:rPr>
        <w:t>Our financial results in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given quarter can be influenced by numerous factors, many of which we are unable to predict or are outside of our control, including:</w:t>
      </w:r>
    </w:p>
    <w:p>
      <w:pPr>
        <w:spacing w:after="0" w:line="39" w:lineRule="exact"/>
        <w:rPr>
          <w:sz w:val="20"/>
          <w:szCs w:val="20"/>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grow our consumer base and to increase user engagement;</w:t>
      </w:r>
    </w:p>
    <w:p>
      <w:pPr>
        <w:spacing w:after="0" w:line="23"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Increases in marketing, sales and other expenses that we will incur to grow and expand our operations and to remain competitive;</w:t>
      </w:r>
    </w:p>
    <w:p>
      <w:pPr>
        <w:spacing w:after="0" w:line="20" w:lineRule="exact"/>
        <w:rPr>
          <w:rFonts w:ascii="Arial" w:cs="Arial" w:eastAsia="Arial" w:hAnsi="Arial"/>
          <w:sz w:val="17"/>
          <w:szCs w:val="17"/>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global or regional events or other factors;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or engagement by regulators;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laws, which may significantly affect our tax rates and taxes due;</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Tax obligations that may arise from resolutions of tax examinations that may materially differ from the amounts we have anticipated;</w:t>
      </w:r>
    </w:p>
    <w:p>
      <w:pPr>
        <w:spacing w:after="0" w:line="20" w:lineRule="exact"/>
        <w:rPr>
          <w:rFonts w:ascii="Arial" w:cs="Arial" w:eastAsia="Arial" w:hAnsi="Arial"/>
          <w:sz w:val="17"/>
          <w:szCs w:val="17"/>
          <w:color w:val="auto"/>
        </w:rPr>
      </w:pPr>
    </w:p>
    <w:p>
      <w:pPr>
        <w:ind w:left="1020" w:hanging="368"/>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31" w:lineRule="exact"/>
        <w:rPr>
          <w:rFonts w:ascii="Arial" w:cs="Arial" w:eastAsia="Arial" w:hAnsi="Arial"/>
          <w:sz w:val="16"/>
          <w:szCs w:val="16"/>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GAAP; and</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you should not rely upon our quarterly financial results as indicators of future performance.</w:t>
      </w:r>
    </w:p>
    <w:p>
      <w:pPr>
        <w:spacing w:after="0" w:line="117" w:lineRule="exact"/>
        <w:rPr>
          <w:sz w:val="20"/>
          <w:szCs w:val="20"/>
          <w:color w:val="auto"/>
        </w:rPr>
      </w:pPr>
    </w:p>
    <w:p>
      <w:pPr>
        <w:ind w:firstLine="644"/>
        <w:spacing w:after="0" w:line="293" w:lineRule="auto"/>
        <w:rPr>
          <w:sz w:val="20"/>
          <w:szCs w:val="20"/>
          <w:color w:val="auto"/>
        </w:rPr>
      </w:pPr>
      <w:r>
        <w:rPr>
          <w:rFonts w:ascii="Arial" w:cs="Arial" w:eastAsia="Arial" w:hAnsi="Arial"/>
          <w:sz w:val="16"/>
          <w:szCs w:val="16"/>
          <w:b w:val="1"/>
          <w:bCs w:val="1"/>
          <w:i w:val="1"/>
          <w:iCs w:val="1"/>
          <w:color w:val="auto"/>
        </w:rPr>
        <w:t xml:space="preserve">If we are unable to successfully maintain effective internal control over financial reporting, investors may lose confidence in our reported financial information and our business and our share price may be adversely impacted. </w:t>
      </w:r>
      <w:r>
        <w:rPr>
          <w:rFonts w:ascii="Arial" w:cs="Arial" w:eastAsia="Arial" w:hAnsi="Arial"/>
          <w:sz w:val="16"/>
          <w:szCs w:val="16"/>
          <w:color w:val="auto"/>
        </w:rPr>
        <w:t>As a public company, we are required to maintain internal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over financial reporting and our management is required to evaluate the effectiveness of our internal control over financial reporting as of the end of each fiscal year. If we are not successful in maintaining effective internal control over financial reporting, there could be inaccuracies or omissions in the financial information we file with the SEC. Additionally, even if there are no inaccuracies or omissions, we could be required to publicly disclose our management’s conclusion that our internal control over financial reporting or disclosure controls and procedures are not effective. These events could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2" w:name="page23"/>
    <w:bookmarkEnd w:id="22"/>
    <w:p>
      <w:pPr>
        <w:jc w:val="both"/>
        <w:ind w:right="20"/>
        <w:spacing w:after="0" w:line="286" w:lineRule="auto"/>
        <w:rPr>
          <w:sz w:val="20"/>
          <w:szCs w:val="20"/>
          <w:color w:val="auto"/>
        </w:rPr>
      </w:pPr>
      <w:r>
        <w:rPr>
          <w:rFonts w:ascii="Arial" w:cs="Arial" w:eastAsia="Arial" w:hAnsi="Arial"/>
          <w:sz w:val="17"/>
          <w:szCs w:val="17"/>
          <w:color w:val="auto"/>
        </w:rPr>
        <w:t>cause investors to lose confidence in our reported financial information, result in increased costs to remediate any deficiencies, attract regulatory scrutiny or lawsuits that could be costly to resolve and distract management’s attention, limit our ability to access the capital markets, adversely impact our stock price, or cause our stock to be delisted from The Nasdaq or any other securities exchange on which we are then listed.</w:t>
      </w:r>
    </w:p>
    <w:p>
      <w:pPr>
        <w:spacing w:after="0" w:line="56" w:lineRule="exact"/>
        <w:rPr>
          <w:sz w:val="20"/>
          <w:szCs w:val="20"/>
          <w:color w:val="auto"/>
        </w:rPr>
      </w:pPr>
    </w:p>
    <w:p>
      <w:pPr>
        <w:jc w:val="both"/>
        <w:ind w:right="20" w:firstLine="644"/>
        <w:spacing w:after="0" w:line="258" w:lineRule="auto"/>
        <w:rPr>
          <w:sz w:val="20"/>
          <w:szCs w:val="20"/>
          <w:color w:val="auto"/>
        </w:rPr>
      </w:pPr>
      <w:r>
        <w:rPr>
          <w:rFonts w:ascii="Arial" w:cs="Arial" w:eastAsia="Arial" w:hAnsi="Arial"/>
          <w:sz w:val="18"/>
          <w:szCs w:val="18"/>
          <w:b w:val="1"/>
          <w:bCs w:val="1"/>
          <w:i w:val="1"/>
          <w:iCs w:val="1"/>
          <w:color w:val="auto"/>
        </w:rPr>
        <w:t xml:space="preserve">We have indebtedness which could adversely affect our business and financial condition. </w:t>
      </w:r>
      <w:r>
        <w:rPr>
          <w:rFonts w:ascii="Arial" w:cs="Arial" w:eastAsia="Arial" w:hAnsi="Arial"/>
          <w:sz w:val="18"/>
          <w:szCs w:val="18"/>
          <w:color w:val="auto"/>
        </w:rPr>
        <w:t>With respect to the 2025 Senior Notes and 2026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we are subject to risks relating to our existing or potential indebtedness that include:</w:t>
      </w:r>
    </w:p>
    <w:p>
      <w:pPr>
        <w:spacing w:after="0" w:line="1" w:lineRule="exact"/>
        <w:rPr>
          <w:sz w:val="20"/>
          <w:szCs w:val="20"/>
          <w:color w:val="auto"/>
        </w:rPr>
      </w:pPr>
    </w:p>
    <w:p>
      <w:pPr>
        <w:ind w:left="1020" w:right="540" w:hanging="368"/>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 to dedicate a portion of our cash flow to principal and interest payments, thereby reducing the availability of cash to fund working capital, capital expenditures, acquisitions and investments and other general corporate purposes;</w:t>
      </w:r>
    </w:p>
    <w:p>
      <w:pPr>
        <w:ind w:left="1020" w:hanging="36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to optimally capitalize and manage the cash flow for our businesses;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competitive disadvantage compared to our competitors that have less debt;</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our ability to borrow additional funds on acceptable terms or at all; and</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increased interest rates to the extent our outstanding debt is subject to variable rates of interest.</w:t>
      </w:r>
    </w:p>
    <w:p>
      <w:pPr>
        <w:spacing w:after="0" w:line="102" w:lineRule="exact"/>
        <w:rPr>
          <w:sz w:val="20"/>
          <w:szCs w:val="20"/>
          <w:color w:val="auto"/>
        </w:rPr>
      </w:pPr>
    </w:p>
    <w:p>
      <w:pPr>
        <w:ind w:right="40" w:firstLine="509"/>
        <w:spacing w:after="0" w:line="341" w:lineRule="auto"/>
        <w:rPr>
          <w:sz w:val="20"/>
          <w:szCs w:val="20"/>
          <w:color w:val="auto"/>
        </w:rPr>
      </w:pPr>
      <w:r>
        <w:rPr>
          <w:rFonts w:ascii="Arial" w:cs="Arial" w:eastAsia="Arial" w:hAnsi="Arial"/>
          <w:sz w:val="16"/>
          <w:szCs w:val="16"/>
          <w:b w:val="1"/>
          <w:bCs w:val="1"/>
          <w:i w:val="1"/>
          <w:iCs w:val="1"/>
          <w:color w:val="auto"/>
        </w:rPr>
        <w:t xml:space="preserve">Failure to comply with the various covenants contained in our Credit Agreement and the 2025 Indenture could have a material adverse effect on our business. </w:t>
      </w:r>
      <w:r>
        <w:rPr>
          <w:rFonts w:ascii="Arial" w:cs="Arial" w:eastAsia="Arial" w:hAnsi="Arial"/>
          <w:sz w:val="16"/>
          <w:szCs w:val="16"/>
          <w:color w:val="auto"/>
        </w:rPr>
        <w:t>The various covenants contained in the Credit Agreement and 2025 Indenture include those that limit our ability to, among other things:</w:t>
      </w:r>
    </w:p>
    <w:p>
      <w:pPr>
        <w:spacing w:after="0" w:line="17" w:lineRule="exact"/>
        <w:rPr>
          <w:sz w:val="20"/>
          <w:szCs w:val="20"/>
          <w:color w:val="auto"/>
        </w:rPr>
      </w:pPr>
    </w:p>
    <w:p>
      <w:pPr>
        <w:ind w:left="1020" w:hanging="36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23" w:lineRule="exact"/>
        <w:rPr>
          <w:rFonts w:ascii="Arial" w:cs="Arial" w:eastAsia="Arial" w:hAnsi="Arial"/>
          <w:sz w:val="18"/>
          <w:szCs w:val="18"/>
          <w:color w:val="auto"/>
        </w:rPr>
      </w:pPr>
    </w:p>
    <w:p>
      <w:pPr>
        <w:ind w:left="1020" w:hanging="36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 share repurchases;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10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These covenants may limit our ability to optimally operate our business. Any failure to comply with the restrictions of our Credit Facility or our 2025 Senior Notes and 2026 Senior Notes may result in an event of default under the agreements governing such debt instruments and such default may allow the creditors to accelerate the debt incurred thereunder. In addition, lenders under the Credit Facility may be able to terminate any commitments they had made to supply us with further funds.</w:t>
      </w:r>
    </w:p>
    <w:p>
      <w:pPr>
        <w:spacing w:after="0" w:line="77"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b w:val="1"/>
          <w:bCs w:val="1"/>
          <w:i w:val="1"/>
          <w:iCs w:val="1"/>
          <w:color w:val="auto"/>
        </w:rPr>
        <w:t xml:space="preserve">We are subject to risks relating to our 2026 Senior Notes. </w:t>
      </w:r>
      <w:r>
        <w:rPr>
          <w:rFonts w:ascii="Arial" w:cs="Arial" w:eastAsia="Arial" w:hAnsi="Arial"/>
          <w:sz w:val="18"/>
          <w:szCs w:val="18"/>
          <w:color w:val="auto"/>
        </w:rPr>
        <w:t>If any of the conditions to the conversion of the 2026 Senior Notes is satisfied, then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under applicable accounting standards to reclassify the liability carrying value of the 2026 Senior Notes as a current, rather than a long-term, liability, thereby materially reducing our reported working capital. This reclassification could be required even if no noteholders exchange their 2026 Senior Notes. Holders of our 2026 Senior Notes may convert the 2026 Senior Notes after the occurrence of certain dates or events. Settlement of the 2026 Senior Notes could adversely affect our liquidity.</w:t>
      </w:r>
    </w:p>
    <w:p>
      <w:pPr>
        <w:spacing w:after="0" w:line="83"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b w:val="1"/>
          <w:bCs w:val="1"/>
          <w:i w:val="1"/>
          <w:iCs w:val="1"/>
          <w:color w:val="auto"/>
        </w:rPr>
        <w:t xml:space="preserve">We are subject to risks relating to the Capped Calls. </w:t>
      </w:r>
      <w:r>
        <w:rPr>
          <w:rFonts w:ascii="Arial" w:cs="Arial" w:eastAsia="Arial" w:hAnsi="Arial"/>
          <w:sz w:val="17"/>
          <w:szCs w:val="17"/>
          <w:color w:val="auto"/>
        </w:rPr>
        <w:t>In connection with the issuance of the 2026 Senior Notes, we entered into privately negotiated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capped call transactions (the “Capped Calls”) to reduce potential dilution to our common stock and/or offset cash payments we must make in excess of the principal amount, in each case, upon any conversion of the 2026 Senior Notes, with such offset subject to a cap. We are subject to the risk that one or more of the hedge counterparties may default under the Capped Calls.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75"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b w:val="1"/>
          <w:bCs w:val="1"/>
          <w:i w:val="1"/>
          <w:iCs w:val="1"/>
          <w:color w:val="auto"/>
        </w:rPr>
        <w:t xml:space="preserve">We may have future capital needs and may not be able to obtain additional financing on acceptable terms. </w:t>
      </w:r>
      <w:r>
        <w:rPr>
          <w:rFonts w:ascii="Arial" w:cs="Arial" w:eastAsia="Arial" w:hAnsi="Arial"/>
          <w:sz w:val="18"/>
          <w:szCs w:val="18"/>
          <w:color w:val="auto"/>
        </w:rPr>
        <w:t>Pursuant to the Credit Facility,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agreed to pledge substantially all of our assets, including the equity interests of our subsidiaries. This agreement also includes restrictive covenants that may limit our ability to secure additional financing in the future on favorable terms, if at all. Our ability to secure additional financing will also depend upon our future operating performance, which is subject to then prevailing general economic and credit market conditions, and financial, business and other factors, many of which are beyond our control.</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Risks Related to Tax Matters</w:t>
      </w:r>
    </w:p>
    <w:p>
      <w:pPr>
        <w:spacing w:after="0" w:line="121"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b w:val="1"/>
          <w:bCs w:val="1"/>
          <w:i w:val="1"/>
          <w:iCs w:val="1"/>
          <w:color w:val="auto"/>
        </w:rPr>
        <w:t xml:space="preserve">Our effective income tax rate is impacted by a number of factors that could have a material impact on our financial results and could increase the volatility of those results. </w:t>
      </w:r>
      <w:r>
        <w:rPr>
          <w:rFonts w:ascii="Arial" w:cs="Arial" w:eastAsia="Arial" w:hAnsi="Arial"/>
          <w:sz w:val="16"/>
          <w:szCs w:val="16"/>
          <w:color w:val="auto"/>
        </w:rPr>
        <w:t>Due to the global nature of our business, we are subject to income taxes in the U.S. and other foreign jurisdictions.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 we incur taxable income in certain jurisdictions but incur losses in other jurisdictions, we generally cannot offset the income from one jurisdiction with the loss from another. This lack of flexibility could affect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 Our future income tax rates could be affected by a number of matters outside of our control, including but not limited to changes in the mix of earnings in countries with differing statutory tax rates, changes in the valuation of deferred tax assets or accounting for share-based compensation. If our effective income tax rates were to increase, our financial results and cash flows would be adversely affected.</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b w:val="1"/>
          <w:bCs w:val="1"/>
          <w:i w:val="1"/>
          <w:iCs w:val="1"/>
          <w:color w:val="auto"/>
        </w:rPr>
        <w:t xml:space="preserve">Application of U.S. state and local or international tax laws, changes in tax laws or tax rulings, or the examination of our tax positions, could materially affect our financial position and results of operations. </w:t>
      </w:r>
      <w:r>
        <w:rPr>
          <w:rFonts w:ascii="Arial" w:cs="Arial" w:eastAsia="Arial" w:hAnsi="Arial"/>
          <w:sz w:val="17"/>
          <w:szCs w:val="17"/>
          <w:color w:val="auto"/>
        </w:rPr>
        <w:t>As an international business, we are subject to income taxes and non-income-based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U.S. and various other international jurisdictions. Tax laws are subject to change as new laws are passed and new interpretations of the laws are issued or applied. Due to economic and political conditions, tax rates and tax regimes may be subject to significant change and the tax benefits that we intend to eventually derive could be undermined due to changing tax laws. Governments are increasingly focused on ways to increase tax revenues, which has contributed to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 Any changes to international tax laws or any additional reporting requirements may increase the complexity and costs associated with tax compliance and adversely affect our cash flows and results of operations.</w:t>
      </w:r>
    </w:p>
    <w:p>
      <w:pPr>
        <w:spacing w:after="0" w:line="7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Over the last several years, the Organization for Economic Cooperation and Development (“OECD”) has been working on a Base Erosion and Profit Shifting Project to address the tax challenges arising from digitalization. The OECD/G20 Inclusive Framework has issued various guidelines, policy notes, and proposals that if adopted could result in an overhaul of the international taxation system under which our current tax obligations are determined. In October 2021, more than 130 countries tentatively signed on to a framework,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 taxes. As this framework is subject to further negotiation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such as France, Italy, Spain, and the U.K., will continue to impose these revenue-based taxes until implementation of the consensus framework. During the years ended December 31, 2022, 2021 and 2020, we recorded $9 million, $1 million and $2 million, respectively, of digital service tax to general and administrative expense on our consolidated statements of operations.</w:t>
      </w:r>
    </w:p>
    <w:p>
      <w:pPr>
        <w:spacing w:after="0" w:line="7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are routinely under audit by federal, state and foreign taxing authorities. The ultimate outcome of these examinations (including the Internal Revenue Service (“IRS") audit described below) cannot be predicted with certainty but could be materially different from our income tax provisions and accruals and could have a material effect on our results of operations or cash flows in the period or periods for which that determination is made. Should the IRS or other taxing authorities assess additional taxes as a result of examinations, we may be required to record charges to our results of operations, which could harm our operating results and financial condition.</w:t>
      </w:r>
    </w:p>
    <w:p>
      <w:pPr>
        <w:spacing w:after="0" w:line="83" w:lineRule="exact"/>
        <w:rPr>
          <w:sz w:val="20"/>
          <w:szCs w:val="20"/>
          <w:color w:val="auto"/>
        </w:rPr>
      </w:pPr>
    </w:p>
    <w:p>
      <w:pPr>
        <w:ind w:right="200" w:firstLine="494"/>
        <w:spacing w:after="0" w:line="275" w:lineRule="auto"/>
        <w:rPr>
          <w:sz w:val="20"/>
          <w:szCs w:val="20"/>
          <w:color w:val="auto"/>
        </w:rPr>
      </w:pPr>
      <w:r>
        <w:rPr>
          <w:rFonts w:ascii="Arial" w:cs="Arial" w:eastAsia="Arial" w:hAnsi="Arial"/>
          <w:sz w:val="17"/>
          <w:szCs w:val="17"/>
          <w:b w:val="1"/>
          <w:bCs w:val="1"/>
          <w:i w:val="1"/>
          <w:iCs w:val="1"/>
          <w:color w:val="auto"/>
        </w:rPr>
        <w:t xml:space="preserve">Changes in the tax treatment of companies engaged in e-commerce may adversely affect the commercial use of our platform and our financial results. </w:t>
      </w:r>
      <w:r>
        <w:rPr>
          <w:rFonts w:ascii="Arial" w:cs="Arial" w:eastAsia="Arial" w:hAnsi="Arial"/>
          <w:sz w:val="17"/>
          <w:szCs w:val="17"/>
          <w:color w:val="auto"/>
        </w:rPr>
        <w:t>Tax authorities at the international, federal, state and local levels are currently reviewing the appropriate treatment of companies engaged in e-commerce and it is possible that various jurisdictions may attempt to levy additional or new sales, income or other taxes relating to our activities. For example, Congress is considering various approaches to legislation that would require companies engaged in e-commerce to collect sales tax on internet revenue and a growing number of U.S. states and certain foreign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ind w:right="40"/>
        <w:spacing w:after="0" w:line="288" w:lineRule="auto"/>
        <w:rPr>
          <w:sz w:val="20"/>
          <w:szCs w:val="20"/>
          <w:color w:val="auto"/>
        </w:rPr>
      </w:pPr>
      <w:r>
        <w:rPr>
          <w:rFonts w:ascii="Arial" w:cs="Arial" w:eastAsia="Arial" w:hAnsi="Arial"/>
          <w:sz w:val="16"/>
          <w:szCs w:val="16"/>
          <w:color w:val="auto"/>
        </w:rPr>
        <w:t>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Also, as described in more detail above, certain U.S. states and countries in which we do business have enacted or proposed digital services tax initiatives.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however,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results and financial condition.</w:t>
      </w:r>
    </w:p>
    <w:p>
      <w:pPr>
        <w:spacing w:after="0" w:line="63" w:lineRule="exact"/>
        <w:rPr>
          <w:sz w:val="20"/>
          <w:szCs w:val="20"/>
          <w:color w:val="auto"/>
        </w:rPr>
      </w:pPr>
    </w:p>
    <w:p>
      <w:pPr>
        <w:ind w:right="80" w:firstLine="494"/>
        <w:spacing w:after="0" w:line="269" w:lineRule="auto"/>
        <w:rPr>
          <w:sz w:val="20"/>
          <w:szCs w:val="20"/>
          <w:color w:val="auto"/>
        </w:rPr>
      </w:pPr>
      <w:r>
        <w:rPr>
          <w:rFonts w:ascii="Arial" w:cs="Arial" w:eastAsia="Arial" w:hAnsi="Arial"/>
          <w:sz w:val="17"/>
          <w:szCs w:val="17"/>
          <w:b w:val="1"/>
          <w:bCs w:val="1"/>
          <w:i w:val="1"/>
          <w:iCs w:val="1"/>
          <w:color w:val="auto"/>
        </w:rPr>
        <w:t xml:space="preserve">Taxing authorities may successfully assert that we should have collected or in the future should collect sales and use, occupancy, VAT or similar taxes, and we could be subject to liability with respect to past or future sales, which could adversely affect our operating results. </w:t>
      </w:r>
      <w:r>
        <w:rPr>
          <w:rFonts w:ascii="Arial" w:cs="Arial" w:eastAsia="Arial" w:hAnsi="Arial"/>
          <w:sz w:val="17"/>
          <w:szCs w:val="17"/>
          <w:color w:val="auto"/>
        </w:rPr>
        <w:t>We do not collect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In the event of an adverse outcome, we could face assessments,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74"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b w:val="1"/>
          <w:bCs w:val="1"/>
          <w:i w:val="1"/>
          <w:iCs w:val="1"/>
          <w:color w:val="auto"/>
        </w:rPr>
        <w:t xml:space="preserve">We continue to be subject to significant potential tax liabilities in connection with the Spin-Off. </w:t>
      </w:r>
      <w:r>
        <w:rPr>
          <w:rFonts w:ascii="Arial" w:cs="Arial" w:eastAsia="Arial" w:hAnsi="Arial"/>
          <w:sz w:val="16"/>
          <w:szCs w:val="16"/>
          <w:color w:val="auto"/>
        </w:rPr>
        <w:t>Under the Tax Sharing Agreement between 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short-period 2011 tax years and, in connection with that audit, have received Notices of Proposed Adjustment from the IRS which would result in an increase in our worldwide income tax expense. We have requested competent authority assistance under the Mutual Agreement Procedure (“MAP”) for tax years 2009 through 2011. The outcome of these matters or any other audits could subject us to significant tax liabilities. In January 2023, we received a final notice regarding a MAP settlement for the 2009 through 2011 tax years which we accepted in February 2023. In the first quarter of 2023, we will record additional tax expense as a discrete item, inclusive of interest, in an estimated range of $25 million to $35 million specifically related to this settlement.</w:t>
      </w:r>
    </w:p>
    <w:p>
      <w:pPr>
        <w:spacing w:after="0" w:line="58"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b w:val="1"/>
          <w:bCs w:val="1"/>
          <w:i w:val="1"/>
          <w:iCs w:val="1"/>
          <w:color w:val="auto"/>
        </w:rPr>
        <w:t xml:space="preserve">We face risks associated with fluctuations in foreign currency exchange rates. </w:t>
      </w:r>
      <w:r>
        <w:rPr>
          <w:rFonts w:ascii="Arial" w:cs="Arial" w:eastAsia="Arial" w:hAnsi="Arial"/>
          <w:sz w:val="16"/>
          <w:szCs w:val="16"/>
          <w:color w:val="auto"/>
        </w:rPr>
        <w:t>As a result, we face exposure to movements in foreign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rates including, but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revenue growth in future periods.</w:t>
      </w:r>
    </w:p>
    <w:p>
      <w:pPr>
        <w:spacing w:after="0" w:line="5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In the event of severe volatility in exchange rates, the impact of these exposures can increase and the impact on results of operations can be more pronounced. In addition, the current environment and the increasingly global nature of our business have made hedging these exposures more complex. We hedge certain short-term foreign currency exposures with the purchase of forward exchange contracts. These forward exchange contracts only help mitigate the impact of changes in foreign currency rates that occur during the term of the related contract period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carry risks of counter-party failure. There can be no assurance that our forward exchange contracts will have their intended effects.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b w:val="1"/>
          <w:bCs w:val="1"/>
          <w:i w:val="1"/>
          <w:iCs w:val="1"/>
          <w:color w:val="auto"/>
        </w:rPr>
        <w:t xml:space="preserve">Liberty TripAdvisor Holdings, Inc. currently is a controlling stockholder. </w:t>
      </w:r>
      <w:r>
        <w:rPr>
          <w:rFonts w:ascii="Arial" w:cs="Arial" w:eastAsia="Arial" w:hAnsi="Arial"/>
          <w:sz w:val="16"/>
          <w:szCs w:val="16"/>
          <w:color w:val="auto"/>
        </w:rPr>
        <w:t>Liberty TripAdvisor Holdings, Inc., or LTRIP, effectively controls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outcome of all matters submitted to a vote or for the consent of our stockholders (other than with respect to the election by the holders of our common stock of 25% of the members of our Board of Directors and matters as to which Delaware law requires separate class votes). Our Chairman, Gregory Maffei, and Director Albert Rosenthaler, also serve as officers and directors of LTRIP. LTRIP may have interests that differ from those of our other stockholders and may vote in a way with which our other stockholders may not agree or that may be adverse to other stockholders’ interests. LTRIP is not restricted from investing in other businesses related to our business. LTRIP’s control of us, as well as the provisions of our organizational documents and Delaware law, may discourage or prevent a change of control that might otherwise be beneficial, which may reduce the market price of our common stock.</w:t>
      </w:r>
    </w:p>
    <w:p>
      <w:pPr>
        <w:spacing w:after="0" w:line="57"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b w:val="1"/>
          <w:bCs w:val="1"/>
          <w:i w:val="1"/>
          <w:iCs w:val="1"/>
          <w:color w:val="auto"/>
        </w:rPr>
        <w:t xml:space="preserve">The market price and trading volume of our common stock has experienced, and could continue to experience in the future, substantial volatility. </w:t>
      </w:r>
      <w:r>
        <w:rPr>
          <w:rFonts w:ascii="Arial" w:cs="Arial" w:eastAsia="Arial" w:hAnsi="Arial"/>
          <w:sz w:val="18"/>
          <w:szCs w:val="18"/>
          <w:color w:val="auto"/>
        </w:rPr>
        <w:t>The market price of our common stock is affected by a number of factors, including:</w:t>
      </w:r>
    </w:p>
    <w:p>
      <w:pPr>
        <w:spacing w:after="0" w:line="62" w:lineRule="exact"/>
        <w:rPr>
          <w:sz w:val="20"/>
          <w:szCs w:val="20"/>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3"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Repurchases of our common stock;</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other factors.</w:t>
      </w:r>
    </w:p>
    <w:p>
      <w:pPr>
        <w:spacing w:after="0" w:line="102"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In the past, the stock market has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4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b w:val="1"/>
          <w:bCs w:val="1"/>
          <w:i w:val="1"/>
          <w:iCs w:val="1"/>
          <w:color w:val="auto"/>
        </w:rPr>
        <w:t xml:space="preserve">We are currently relying on the “controlled company” exemption under Nasdaq Stock Market Listing Rules, pursuant to which “controlled companies” are exempt from certain corporate governance requirements otherwise applicable under Nasdaq listing rules. </w:t>
      </w:r>
      <w:r>
        <w:rPr>
          <w:rFonts w:ascii="Arial" w:cs="Arial" w:eastAsia="Arial" w:hAnsi="Arial"/>
          <w:sz w:val="17"/>
          <w:szCs w:val="17"/>
          <w:color w:val="auto"/>
        </w:rPr>
        <w:t>The Nasdaq Stock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Listing Rules exempt “controlled companies,” or companies of which more than 50% of the voting power is held by an individual, a group or another company, from certain corporate governance requirements. We currently rely on the controlled company exemption for certain of the above requirements, including the requirement that director nominees be selected or recommended to the Board of Directors by a majority of its independent directors or by a nominating committee that is composed entirely of independent directors.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7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b w:val="1"/>
          <w:bCs w:val="1"/>
          <w:i w:val="1"/>
          <w:iCs w:val="1"/>
          <w:color w:val="auto"/>
        </w:rPr>
        <w:t xml:space="preserve">We do not pay regular quarterly or annual cash dividends on our stock. </w:t>
      </w:r>
      <w:r>
        <w:rPr>
          <w:rFonts w:ascii="Arial" w:cs="Arial" w:eastAsia="Arial" w:hAnsi="Arial"/>
          <w:sz w:val="18"/>
          <w:szCs w:val="18"/>
          <w:color w:val="auto"/>
        </w:rPr>
        <w:t>Any determination to pay dividends is at the discretion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will 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w:t>
      </w:r>
    </w:p>
    <w:p>
      <w:pPr>
        <w:spacing w:after="0" w:line="7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b w:val="1"/>
          <w:bCs w:val="1"/>
          <w:i w:val="1"/>
          <w:iCs w:val="1"/>
          <w:color w:val="auto"/>
        </w:rPr>
        <w:t xml:space="preserve">Future sales of shares of our common stock in the public market, or the perception that such sales may occur, may depress our stock price. </w:t>
      </w:r>
      <w:r>
        <w:rPr>
          <w:rFonts w:ascii="Arial" w:cs="Arial" w:eastAsia="Arial" w:hAnsi="Arial"/>
          <w:sz w:val="18"/>
          <w:szCs w:val="18"/>
          <w:color w:val="auto"/>
        </w:rPr>
        <w:t>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securities. In addition, certain stockholders have rights, subject to some conditions, to require us to file registration statements covering their shares or to include their shares in registration statements that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color w:val="auto"/>
        </w:rPr>
        <w:t>we may file for ourselves or other stockholders. A decline in the price of shares of our common stock might impede our ability to raise capital through the issuance of additional shares of our common stock or other equity securities.</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20" w:hanging="36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23" w:lineRule="exact"/>
        <w:rPr>
          <w:rFonts w:ascii="Arial" w:cs="Arial" w:eastAsia="Arial" w:hAnsi="Arial"/>
          <w:sz w:val="18"/>
          <w:szCs w:val="18"/>
          <w:color w:val="auto"/>
        </w:rPr>
      </w:pPr>
    </w:p>
    <w:p>
      <w:pPr>
        <w:ind w:left="1020" w:right="620" w:hanging="368"/>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ind w:left="1020" w:hanging="36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Prohibition of our stockholders to fill board vacancies or call special stockholder meetings; and</w:t>
      </w:r>
    </w:p>
    <w:p>
      <w:pPr>
        <w:spacing w:after="0" w:line="8" w:lineRule="exact"/>
        <w:rPr>
          <w:rFonts w:ascii="Arial" w:cs="Arial" w:eastAsia="Arial" w:hAnsi="Arial"/>
          <w:sz w:val="18"/>
          <w:szCs w:val="18"/>
          <w:color w:val="auto"/>
        </w:rPr>
      </w:pPr>
    </w:p>
    <w:p>
      <w:pPr>
        <w:ind w:left="1020" w:hanging="36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who may call special meetings of stockholders.</w:t>
      </w:r>
    </w:p>
    <w:p>
      <w:pPr>
        <w:spacing w:after="0" w:line="10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As of December 31, 2022, we do not own any real estate. We lease approximately 280,000 square feet of office space for our corporate headquarters in Needham, Massachusetts (the “Headquarters Lease”). The Headquarters Lease, has an expiration date of December 2030, with an option to extend the lease term for two consecutive terms of five years each. We also lease an aggregate of approximately 400,000 square feet of office space at approximately 30 locations across North America, Europe, Asia Pacific and South America, in cities such as New York, London, Sydney, Barcelona, Buenos Aires and Paris, primarily used as sales offices, subsidiary headquarters, and for international operations, pursuant to leases with various expiration dates. We believe that our current facilities are adequate for our current operations and that additional leased space can be obtained on reasonable terms if needed.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 xml:space="preserve">Refer to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the consolidated financial statements in Part II, Item 8 of this Annual Report on Form 10-K, for further information on our legal proceedings. For an additional discussion of certain risks associated with legal proceedings, see “Risk Factors” in Part I, Item 1A of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6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40" w:firstLine="509"/>
        <w:spacing w:after="0" w:line="341" w:lineRule="auto"/>
        <w:rPr>
          <w:sz w:val="20"/>
          <w:szCs w:val="20"/>
          <w:color w:val="auto"/>
        </w:rPr>
      </w:pPr>
      <w:r>
        <w:rPr>
          <w:rFonts w:ascii="Arial" w:cs="Arial" w:eastAsia="Arial" w:hAnsi="Arial"/>
          <w:sz w:val="16"/>
          <w:szCs w:val="16"/>
          <w:color w:val="auto"/>
        </w:rPr>
        <w:t>Our common stock is quoted on The Nasdaq Global Select Market under the ticker symbol “TRIP.” Our Class B common stock is not listed and there is no established public trading market for that security. As of February 10, 2023, all of our Class B common stock was held by LTRIP.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Comparison Graph</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following graph provides a comparison of the total stockholder return from December 31, 2017 to December 31, 2022, of an investment of $100 in cash on December 31, 2017 for Tripadvisor, Inc. common stock and an investment of $100 in cash on December 31, 2017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52705</wp:posOffset>
            </wp:positionV>
            <wp:extent cx="5342890" cy="4443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2890" cy="444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8" w:name="page29"/>
    <w:bookmarkEnd w:id="28"/>
    <w:p>
      <w:pPr>
        <w:ind w:right="700" w:firstLine="509"/>
        <w:spacing w:after="0" w:line="277" w:lineRule="auto"/>
        <w:rPr>
          <w:sz w:val="20"/>
          <w:szCs w:val="20"/>
          <w:color w:val="auto"/>
        </w:rPr>
      </w:pPr>
      <w:r>
        <w:rPr>
          <w:rFonts w:ascii="Arial" w:cs="Arial" w:eastAsia="Arial" w:hAnsi="Arial"/>
          <w:sz w:val="18"/>
          <w:szCs w:val="18"/>
          <w:i w:val="1"/>
          <w:iCs w:val="1"/>
          <w:color w:val="auto"/>
        </w:rPr>
        <w:t>This performance comparison graph is not “soliciting material,” is not deemed filed with the SEC and is not deemed to be incorporated by reference into any filing of Tripadvisor, Inc. under the Securities Act or any filing under the Exchange Act.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As of February 10, 2023, there were 128,164,615 outstanding shares of our common stock held by 1,803 stockholders of record, and 12,799,999 outstanding shares of our Class B common stock held by one stockholder of record: LTRIP.</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did not declare or pay any dividends during the years ended December 31, 2022, 2021, or 2020.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In addition, our ability to pay dividends was also limited by the terms of our Credit Agreement and our 2025 Indenture.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2023 Proxy Statement, which proxy statement will be filed with the SEC not later than 120 days after the close of our fiscal year ended December 31,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500" w:firstLine="509"/>
        <w:spacing w:after="0" w:line="307" w:lineRule="auto"/>
        <w:rPr>
          <w:sz w:val="20"/>
          <w:szCs w:val="20"/>
          <w:color w:val="auto"/>
        </w:rPr>
      </w:pPr>
      <w:r>
        <w:rPr>
          <w:rFonts w:ascii="Arial" w:cs="Arial" w:eastAsia="Arial" w:hAnsi="Arial"/>
          <w:sz w:val="17"/>
          <w:szCs w:val="17"/>
          <w:color w:val="auto"/>
        </w:rPr>
        <w:t>During the quarter ended December 31, 2022, we did not issue or sell any shares of our common stock, Class B common stock or other equity securities pursuant to unregistered transactions in reliance upon an exemption from the registration requirements of the Securities Act.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During the quarter ended December 31, 2022, we did not repurchase any shares of our common stock under our existing share repurchase program. As of December 31, 2022, we had $75 million remaining available to repurchase shares of our common stock under our previously authorized share repurchase program.</w:t>
      </w:r>
    </w:p>
    <w:p>
      <w:pPr>
        <w:spacing w:after="0" w:line="183"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 xml:space="preserve">While the Board of Directors has not suspended or terminated the share repurchase program, the terms of our Credit Agreement limit the Company from engaging in share repurchases and the terms of our 2025 Indenture related to our 2025 Senior Notes impose certain limitations and restrictions on share repurchases. In addition, the Inflation Reduction Act of 2022 imposes a 1% excise tax on certain corporate stock buybacks. Refer to “Note 9: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 Item 8 of this Annual Report on Form 10-K for further information about our Credit Agreement and our 2025 Indenture.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36" w:lineRule="exact"/>
        <w:rPr>
          <w:sz w:val="20"/>
          <w:szCs w:val="20"/>
          <w:color w:val="auto"/>
        </w:rPr>
      </w:pPr>
    </w:p>
    <w:p>
      <w:pPr>
        <w:ind w:right="120" w:firstLine="509"/>
        <w:spacing w:after="0" w:line="307" w:lineRule="auto"/>
        <w:rPr>
          <w:sz w:val="20"/>
          <w:szCs w:val="20"/>
          <w:color w:val="auto"/>
        </w:rPr>
      </w:pPr>
      <w:r>
        <w:rPr>
          <w:rFonts w:ascii="Arial" w:cs="Arial" w:eastAsia="Arial" w:hAnsi="Arial"/>
          <w:sz w:val="17"/>
          <w:szCs w:val="17"/>
          <w:color w:val="auto"/>
        </w:rPr>
        <w:t>The following discussion and analysis provides information concerning our results of operations and financial condition. This discussion should be read in conjunction with our accompanying consolidated financial statements and the notes in Item 8 of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Tripadvisor group operates as a family of brands with a purpose of connecting people to experiences worth sharing. Our vision is to be the world’s most trusted source for travel and experiences. The Company operates across three reportable segments: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7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Tripadvisor Core’s purpose is to empower everyone to be a better traveler by serving as the world’s most trusted and essential travel guidance platform. Since Tripadvisor’s founding in 2000, the Tripadvisor brand has developed a relationship of trust and community with travelers and experience seekers by providing an online global platform for travelers to discover, generate, and share authentic UGC in the form of ratings and reviews for destinations, POIs, experiences, accommodations, restaurants, and cruises in over 40 countries and over 20 languages across the world. As of December 31, 2022, Tripadvisor offered more than 1 billion user-generated ratings and reviews on nearly 8 million experiences, accommodations, restaurants, airlines, and cruises. Tripadvisor’s online platform attracts one of the world’s largest travel audiences, with hundreds of millions of visitors in 2022.</w:t>
      </w:r>
    </w:p>
    <w:p>
      <w:pPr>
        <w:spacing w:after="0" w:line="163"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Viator’s purpose is to bring more wonder into the world—to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experience operators around the globe. Our online marketplace is comprehensive and easy-to-use, connecting millions of travelers to the world’s largest supply of bookable tours, activities and attractions—over 300,000 experiences from more than 50,000 operators as of December 31, 2022. Viator is a pure-play experiences OTA singularly focused on the needs of both travelers and operators with the largest supply of bookable experiences available to travelers.</w:t>
      </w:r>
    </w:p>
    <w:p>
      <w:pPr>
        <w:spacing w:after="0" w:line="1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TheFork’s purpose is to deliver happiness through amazing dining experiences. TheFork delivers on its purpose by providing an online marketplace that enables diners to discover and book online reservations at more than 55,000 restaurants in 12 countries, as of December 31, 2022, across the UK, western and central Europe, and Australia. TheFork has become an urban, gastronomic guide with a strong community that offers more than 20 million restaurant reviews.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online travel industry in which we operate is large, highly dynamic and competitive. We describe below the impact on our business from COVID-19, other current trends affecting our business and reportable segments, including key drivers of our financial results, and uncertainties that may impact our ability to execute on our objectives and strategies.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The COVID-19 pandemic had a significant negative impact on the global economy and the travel, leisure, hospitality and restaurant industries in particular beginning in 2020. Since the beginning of the pandemic, the pervasiveness and severity of travel restrictions and stay-at-home directives have varied by country and state; however, as of December 31, 2022, most of the countries in which we operate had eased or completely lifted such restrictions. While the COVID-19 pandemic negatively and materially affected our results for the years ended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ind w:right="40"/>
        <w:spacing w:after="0" w:line="255" w:lineRule="auto"/>
        <w:rPr>
          <w:sz w:val="20"/>
          <w:szCs w:val="20"/>
          <w:color w:val="auto"/>
        </w:rPr>
      </w:pPr>
      <w:r>
        <w:rPr>
          <w:rFonts w:ascii="Arial" w:cs="Arial" w:eastAsia="Arial" w:hAnsi="Arial"/>
          <w:sz w:val="18"/>
          <w:szCs w:val="18"/>
          <w:color w:val="auto"/>
        </w:rPr>
        <w:t>December 31, 2020 and 2021, in 2022, although some areas of our business recovered faster than others, as discussed below, we generally experienced a recovery in travel demand and our financial performance during 2022. Although all periods included in our consolidated financial statements presented in this Annual Report on Form 10-K were impacted at varying degrees by the COVID-19 pandemic, none of these periods are considered comparable, and no periods affected by the pandemic are expected to be comparable to future periods. As a result, for additional context, below we provide information regarding our performance for the year ended December 31, 2022 as compared to the year ended December 31, 2019, before the impacts of the COVID-19 pandemic.</w:t>
      </w:r>
    </w:p>
    <w:p>
      <w:pPr>
        <w:spacing w:after="0" w:line="19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Our consolidated revenue for the year ended December 31, 2022 was approximately $1.5 billion, an increase of 65%, when compared to the same period in 2021. In comparison to a pre-COVID-19 timeframe, consolidated revenue for the year ended December 31, 2022 was approximately 96% of 2019’s comparable period, an increase from approximately 58% of 2019’s comparable period during the year ended December 31, 2021, primarily attributable to what we believe to be increased consumer travel demand for travel industry related services, combined with the easing of government travel restrictions. Revenue trends also improved as 2022 progressed, as consolidated revenue for the third and fourth quarter of 2022 exceeded parity with 2019's comparable periods, in comparison to approximately 70% and 99% of 2019’s comparable periods during the first and second quarters of 2022, respectively.</w:t>
      </w:r>
    </w:p>
    <w:p>
      <w:pPr>
        <w:spacing w:after="0" w:line="163" w:lineRule="exact"/>
        <w:rPr>
          <w:sz w:val="20"/>
          <w:szCs w:val="20"/>
          <w:color w:val="auto"/>
        </w:rPr>
      </w:pPr>
    </w:p>
    <w:p>
      <w:pPr>
        <w:ind w:right="300" w:firstLine="509"/>
        <w:spacing w:after="0" w:line="279" w:lineRule="auto"/>
        <w:rPr>
          <w:sz w:val="20"/>
          <w:szCs w:val="20"/>
          <w:color w:val="auto"/>
        </w:rPr>
      </w:pPr>
      <w:r>
        <w:rPr>
          <w:rFonts w:ascii="Arial" w:cs="Arial" w:eastAsia="Arial" w:hAnsi="Arial"/>
          <w:sz w:val="17"/>
          <w:szCs w:val="17"/>
          <w:color w:val="auto"/>
        </w:rPr>
        <w:t>Tripadvisor Core revenue increased by 45% during the year ended December 31, 2022, when compared to the same period in 2021, despite the significant impact from the Omicron variant in the month of January 2022, as travel demand and revenue rebounded significantly during 2022. In comparison to a pre-COVID-19 timeframe, during the year ended December 31, 2022, Tripadvisor Core revenue reached approximately 79% of 2019’s comparable period, an increase from approximately 54% of 2019’s comparable period during 2021.</w:t>
      </w:r>
    </w:p>
    <w:p>
      <w:pPr>
        <w:spacing w:after="0" w:line="17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Tripadvisor-branded hotels revenue increased 44% during the year ended December 31, 2022, when compared to 2021, primarily driven by growth in hotel meta (formerly referred to as hotel auction). During 2022, Tripadvisor-branded hotels revenue reached approximately 83% of 2019’s comparable period, an increase from approximately 58% of 2019’s comparable period during 2021. The Company saw continued strength of recovery in our U.S. hotel meta revenue throughout 2022 on strong consumer travel demand, reaching parity with 2019’s comparable period during the year ended December 31, 2022. Revenue recovery in Europe and the rest of the world has been slower relative to the U.S. due to relative brand strength and recognition, but also due to uneven macroeconomic environments.</w:t>
      </w:r>
    </w:p>
    <w:p>
      <w:pPr>
        <w:spacing w:after="0" w:line="19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While slower to recover than Tripadvisor-branded hotels revenue, our Tripadvisor-branded display and platform revenue increased 33% during the year ended December 31, 2022, when compared to 2021. In comparison to a pre-COVID-19 timeframe, Tripadvisor-branded display and platform revenue for the year ended December 31, 2022 was approximately 81% of 2019’s comparable period, an increase from approximately 61% of 2019’s comparable period in 2021. This improvement in 2022 was primarily driven by an increase in marketing spend from our advertisers in correlation with increasing consumer travel demand, as discussed above.</w:t>
      </w:r>
    </w:p>
    <w:p>
      <w:pPr>
        <w:spacing w:after="0" w:line="19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Our Tripadvisor experiences and dining revenue increased by 91% as a result of the travel demand recovery, combined with the easing of government restrictions, as well as the continued execution by our business, primarily driven by performance in our experiences offering as we continue to make investments in this offering to gain market share. In comparison to a pre-COVID-19 timeframe, Tripadvisor experiences and dining revenue for the year ended December 31, 2022 was approximately 115% of 2019’s comparable period, an increase from approximately 60% of 2019’s comparable period in 2021.</w:t>
      </w:r>
    </w:p>
    <w:p>
      <w:pPr>
        <w:spacing w:after="0" w:line="191"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Financial results in Other revenue also improved during the year ended December 31, 2022, when compared to 2021, primarily driven by similar trends of increased consumer travel demand as part of the global travel demand recovery. The offerings within Other revenue complement our Tripadvisor Core segment’s long-term strategy of delivering comprehensive guidance across the traveler journey. However, Other revenue during the year ended December 31, 2022 has been slower to recover when compared against 2019's comparable period as we continue to balance capital deployment across our portfolio that align with our strategic priorities across the segment. We have also divested certain offerings within Other revenue since 2019.</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1" w:name="page32"/>
    <w:bookmarkEnd w:id="31"/>
    <w:p>
      <w:pPr>
        <w:ind w:right="100" w:firstLine="509"/>
        <w:spacing w:after="0" w:line="275" w:lineRule="auto"/>
        <w:rPr>
          <w:sz w:val="20"/>
          <w:szCs w:val="20"/>
          <w:color w:val="auto"/>
        </w:rPr>
      </w:pPr>
      <w:r>
        <w:rPr>
          <w:rFonts w:ascii="Arial" w:cs="Arial" w:eastAsia="Arial" w:hAnsi="Arial"/>
          <w:sz w:val="17"/>
          <w:szCs w:val="17"/>
          <w:color w:val="auto"/>
        </w:rPr>
        <w:t>We began to see improvement in our Viator segment’s financial results during the third quarter of 2021, and this trend has continued throughout 2022, as revenue increased by 168% during the year ended December 31, 2022, when compared to 2021, primarily driven by the consumer demand recovery across all geographies, in conjunction with the lifting of various government restrictions on experience activities and the travel industry recovery, as well as continued execution by our business. In comparison to a pre-COVID-19 timeframe, our Viator segment revenue for 2022 was approximately 171% of 2019’s comparable period, an increase from approximately 64% of 2019’s comparable period in 2021.</w:t>
      </w:r>
    </w:p>
    <w:p>
      <w:pPr>
        <w:spacing w:after="0" w:line="17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During the first quarter of 2021, restaurants in most of the European countries in which TheFork operates were ordered to remain closed. In TheFork segment, we saw a notable recovery beginning in mid-May 2021, as restaurants in most European countries in which TheFork operates began reopening for in-restaurant dining. However, late in the fourth quarter of 2021 and early into the first quarter of 2022, Omicron-related restrictions and related impact to consumer demand within Europe again negatively impacted TheFork. These Omicron-related restrictions were again lifted late in the first quarter of 2022, bringing a recovery of consumer demand and revenue, although European consumer demand and restaurant openings remained below pre-pandemic levels through 2022. TheFork segment revenue during 2022 increased by approximately 48%, primarily driven by improving consumer demand, when compared to 2021. In comparison to a pre-COVID-19 timeframe, TheFork revenue for 2022 was approximately 99% of 2019’s comparable period, an increase from approximately 67% of 2019’s comparable period in 2021.</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Current Trends</w:t>
      </w:r>
    </w:p>
    <w:p>
      <w:pPr>
        <w:spacing w:after="0" w:line="225"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In response to increased consumer travel demand, we increased our performance marketing investments in 2022 across the Tripadvisor group. In Tripadvisor Core, we observed strong performance in hotel meta primarily driven by increased CPC pricing during 2022. This environment allowed us to increase performance marketing at a profitable ROAS (return on advertising spend), while our direct traffic, including SEO, has been slower to recover. Historically, we have generated a significant amount of direct traffic from search engines, such as Google, through strong SEO performance. We believe our SEO traffic acquisition performance has been negatively impacted in the past, and may be impacted in the future by search engines (primarily Google) increasing the prominence of their own products in search results. Over the long-term, we are focused on driving a greater percentage of our traffic from direct sources and channels that are more profitable than performance marketing channels.</w:t>
      </w:r>
    </w:p>
    <w:p>
      <w:pPr>
        <w:spacing w:after="0" w:line="18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global experiences market is large, growing, and highly fragmented, with the vast majority of bookings still occurring through traditional offline sources. We are observing a secular shift, however, as this market continues to grow and moves online faster. We are observing similar trends in terms of online adoption by both consumers and partners in the global restaurants category, particularly in Europe. Given the competitive positioning of our businesses relative to the attractive growth prospects in these categories, we expect to continue to invest in these categories across the Tripadvisor group, and in particular, within Viator and TheFork, to continue accelerating revenue growth, operating scale, and market share gains for the long-term.</w:t>
      </w:r>
    </w:p>
    <w:p>
      <w:pPr>
        <w:spacing w:after="0" w:line="160"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For information regarding our business strategy and business models, see the discussion set forth in Part I, Item 1. “Business,” of this Form 10-K under the captions “Our Business Strategy”, and “Our Business Models.”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 xml:space="preserve">In the second quarter of 2022, as part of our continuous review of the business and in consultation with our CEO, who also serves as our CODM, we evaluated our operations and realigned the reportable segment information which our CODM regularly assesses to evaluate performance for operating decision-making purposes, including allocation of resources. The revised segment reporting structure includes the following reportable segments: (1) Tripadvisor Core; (2) Viator; and (3) TheFork. For further information, including the change in segments and principal revenue streams within these segments, refer to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19: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 in the notes to our consolidated financial statements in Item 8 of this Annual Report on Form 10-K. All prior period segment disclosure information has been reclassified to conform to the current reporting structure in this Form 10-K. These reclassifications had no effect on our consolidated financial statements in any period.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 w:name="page33"/>
    <w:bookmarkEnd w:id="32"/>
    <w:p>
      <w:pPr>
        <w:ind w:right="40" w:firstLine="509"/>
        <w:spacing w:after="0" w:line="293" w:lineRule="auto"/>
        <w:rPr>
          <w:sz w:val="20"/>
          <w:szCs w:val="20"/>
          <w:color w:val="auto"/>
        </w:rPr>
      </w:pPr>
      <w:r>
        <w:rPr>
          <w:rFonts w:ascii="Arial" w:cs="Arial" w:eastAsia="Arial" w:hAnsi="Arial"/>
          <w:sz w:val="16"/>
          <w:szCs w:val="16"/>
          <w:color w:val="auto"/>
        </w:rPr>
        <w:t>During the fourth quarter of 2022, the Company was the subject of a targeted fraud scheme, resulting in the payment of refunds to an external party for products which were fraudulently subscribed within Tripadvisor Core. As a result, the Company incurred a loss of approximately $8 million, which was recorded to general and administrative expense on the consolidated statement of operations for the year ended December 31, 2022. These fraudulent transactions had no impact on revenue, as the fraudulent subscriptions were cancelled in a timely manner by the Company. Operating process changes were put into place to provide further safeguards against this type of activity happening in the future. Although we continue to vigorously pursue recovery of our losses and related expenses arising from this incident, there can be no assurance of recovery or of the timing of any such recovery.</w:t>
      </w:r>
    </w:p>
    <w:p>
      <w:pPr>
        <w:spacing w:after="0" w:line="163" w:lineRule="exact"/>
        <w:rPr>
          <w:sz w:val="20"/>
          <w:szCs w:val="20"/>
          <w:color w:val="auto"/>
        </w:rPr>
      </w:pPr>
    </w:p>
    <w:p>
      <w:pPr>
        <w:ind w:right="400" w:firstLine="509"/>
        <w:spacing w:after="0" w:line="259" w:lineRule="auto"/>
        <w:rPr>
          <w:sz w:val="20"/>
          <w:szCs w:val="20"/>
          <w:color w:val="auto"/>
        </w:rPr>
      </w:pPr>
      <w:r>
        <w:rPr>
          <w:rFonts w:ascii="Arial" w:cs="Arial" w:eastAsia="Arial" w:hAnsi="Arial"/>
          <w:sz w:val="18"/>
          <w:szCs w:val="18"/>
          <w:color w:val="auto"/>
        </w:rPr>
        <w:t>A discussion regarding our financial condition and results of operations for fiscal year 2022 compared to fiscal year 2021 is presented below. A discussion regarding our financial condition and results of operations for fiscal year 2021 compared to fiscal year 2020 can be found in Part II, Item 7. "Management’s Discussion and Analysis of Financial Condition and Results of Operations" of our Annual Report on Form 10-K for the year ended December 31, 2021, filed with the SEC on February 18, 2022.</w:t>
      </w:r>
    </w:p>
    <w:p>
      <w:pPr>
        <w:spacing w:after="0" w:line="18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noted above, during the second quarter of 2022, we revised our segment reporting structure. We did not include a discussion regarding our financial condition and results of operations for fiscal year 2021 compared to fiscal year 2020, as we believe the changes in our reportable segments is not a material change to understand the financial condition, changes in financial conditions, and results of operations of our revised reportable segments due to the impact of COVID-19 during those years, which is discussed above.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percentages)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440" w:type="dxa"/>
            <w:vAlign w:val="bottom"/>
            <w:tcBorders>
              <w:top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2022 vs. 2021</w:t>
            </w:r>
          </w:p>
        </w:tc>
        <w:tc>
          <w:tcPr>
            <w:tcW w:w="10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5"/>
        </w:trPr>
        <w:tc>
          <w:tcPr>
            <w:tcW w:w="5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2"/>
        </w:trPr>
        <w:tc>
          <w:tcPr>
            <w:tcW w:w="502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Technology and content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(13 )%</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6"/>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goodwill</w:t>
            </w:r>
          </w:p>
        </w:tc>
        <w:tc>
          <w:tcPr>
            <w:tcW w:w="2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2"/>
                <w:szCs w:val="22"/>
                <w:color w:val="auto"/>
              </w:rPr>
            </w:pPr>
          </w:p>
        </w:tc>
        <w:tc>
          <w:tcPr>
            <w:tcW w:w="14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n.m.</w:t>
            </w: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Restructuring and other related reorganization costs</w:t>
            </w:r>
          </w:p>
        </w:tc>
        <w:tc>
          <w:tcPr>
            <w:tcW w:w="220" w:type="dxa"/>
            <w:vAlign w:val="bottom"/>
          </w:tcPr>
          <w:p>
            <w:pPr>
              <w:spacing w:after="0"/>
              <w:rPr>
                <w:sz w:val="21"/>
                <w:szCs w:val="21"/>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n.m.</w:t>
            </w: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(131 )</w:t>
            </w:r>
          </w:p>
        </w:tc>
        <w:tc>
          <w:tcPr>
            <w:tcW w:w="200" w:type="dxa"/>
            <w:vAlign w:val="bottom"/>
          </w:tcPr>
          <w:p>
            <w:pPr>
              <w:spacing w:after="0"/>
              <w:rPr>
                <w:sz w:val="19"/>
                <w:szCs w:val="19"/>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(329 )</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n.m.</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56"/>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(44 )</w:t>
            </w:r>
          </w:p>
        </w:tc>
        <w:tc>
          <w:tcPr>
            <w:tcW w:w="240" w:type="dxa"/>
            <w:vAlign w:val="bottom"/>
          </w:tcPr>
          <w:p>
            <w:pPr>
              <w:spacing w:after="0"/>
              <w:rPr>
                <w:sz w:val="20"/>
                <w:szCs w:val="20"/>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(45 )</w:t>
            </w:r>
          </w:p>
        </w:tc>
        <w:tc>
          <w:tcPr>
            <w:tcW w:w="200" w:type="dxa"/>
            <w:vAlign w:val="bottom"/>
          </w:tcPr>
          <w:p>
            <w:pPr>
              <w:spacing w:after="0"/>
              <w:rPr>
                <w:sz w:val="20"/>
                <w:szCs w:val="20"/>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(35 )</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2"/>
        </w:trPr>
        <w:tc>
          <w:tcPr>
            <w:tcW w:w="50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1400 %</w:t>
            </w:r>
          </w:p>
        </w:tc>
        <w:tc>
          <w:tcPr>
            <w:tcW w:w="1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56"/>
        </w:trPr>
        <w:tc>
          <w:tcPr>
            <w:tcW w:w="50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2"/>
                <w:szCs w:val="22"/>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22"/>
                <w:szCs w:val="22"/>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22"/>
                <w:szCs w:val="22"/>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(8 )</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(50 )%</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(37 )%</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(185 )</w:t>
            </w:r>
          </w:p>
        </w:tc>
        <w:tc>
          <w:tcPr>
            <w:tcW w:w="200" w:type="dxa"/>
            <w:vAlign w:val="bottom"/>
          </w:tcPr>
          <w:p>
            <w:pPr>
              <w:spacing w:after="0"/>
              <w:rPr>
                <w:sz w:val="19"/>
                <w:szCs w:val="19"/>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(369 )</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n.m.</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55"/>
        </w:trPr>
        <w:tc>
          <w:tcPr>
            <w:tcW w:w="5020" w:type="dxa"/>
            <w:vAlign w:val="bottom"/>
          </w:tcPr>
          <w:p>
            <w:pPr>
              <w:ind w:left="20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2"/>
                <w:szCs w:val="22"/>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(47 )</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2"/>
                <w:szCs w:val="22"/>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n.m.</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(148 )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(289 )</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n.m.</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Other financial data:</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3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(51 )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195 %</w:t>
            </w: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n.m.</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-3663950</wp:posOffset>
            </wp:positionV>
            <wp:extent cx="705548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54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-3030220</wp:posOffset>
            </wp:positionV>
            <wp:extent cx="705548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54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-2722245</wp:posOffset>
            </wp:positionV>
            <wp:extent cx="705548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54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-2097405</wp:posOffset>
            </wp:positionV>
            <wp:extent cx="7055485" cy="316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5485"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-1454785</wp:posOffset>
            </wp:positionV>
            <wp:extent cx="705548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54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-1137920</wp:posOffset>
            </wp:positionV>
            <wp:extent cx="7055485" cy="659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55485" cy="659130"/>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05548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55485" cy="154305"/>
                    </a:xfrm>
                    <a:prstGeom prst="rect">
                      <a:avLst/>
                    </a:prstGeom>
                    <a:noFill/>
                  </pic:spPr>
                </pic:pic>
              </a:graphicData>
            </a:graphic>
          </wp:anchor>
        </w:drawing>
      </w:r>
    </w:p>
    <w:p>
      <w:pPr>
        <w:spacing w:after="0" w:line="62" w:lineRule="exact"/>
        <w:rPr>
          <w:sz w:val="20"/>
          <w:szCs w:val="20"/>
          <w:color w:val="auto"/>
        </w:rPr>
      </w:pPr>
    </w:p>
    <w:p>
      <w:pPr>
        <w:ind w:left="20" w:right="500" w:firstLine="1"/>
        <w:spacing w:after="0" w:line="252" w:lineRule="auto"/>
        <w:tabs>
          <w:tab w:leader="none" w:pos="223"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is considered a non-GAAP measure as defined by the SEC. Please refer to “Adjusted EBITDA” below for more information, including tabular reconciliations to the most directly comparable GAAP financial measure.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 vs. 2021</w:t>
            </w: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3"/>
              </w:rPr>
              <w:t>2021 vs. 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Revenue by Segment:</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(in millions)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 xml:space="preserve">Tripadvisor Core </w:t>
            </w:r>
            <w:r>
              <w:rPr>
                <w:rFonts w:ascii="Arial" w:cs="Arial" w:eastAsia="Arial" w:hAnsi="Arial"/>
                <w:sz w:val="14"/>
                <w:szCs w:val="14"/>
                <w:color w:val="auto"/>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2"/>
        </w:trPr>
        <w:tc>
          <w:tcPr>
            <w:tcW w:w="5020" w:type="dxa"/>
            <w:vAlign w:val="bottom"/>
          </w:tcPr>
          <w:p>
            <w:pPr>
              <w:ind w:left="20"/>
              <w:spacing w:after="0"/>
              <w:rPr>
                <w:sz w:val="20"/>
                <w:szCs w:val="20"/>
                <w:color w:val="auto"/>
              </w:rPr>
            </w:pPr>
            <w:r>
              <w:rPr>
                <w:rFonts w:ascii="Arial" w:cs="Arial" w:eastAsia="Arial" w:hAnsi="Arial"/>
                <w:sz w:val="18"/>
                <w:szCs w:val="18"/>
                <w:color w:val="auto"/>
              </w:rPr>
              <w:t>Viator</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168 %</w:t>
            </w:r>
          </w:p>
        </w:tc>
        <w:tc>
          <w:tcPr>
            <w:tcW w:w="8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TheFork</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48 %</w:t>
            </w:r>
          </w:p>
        </w:tc>
        <w:tc>
          <w:tcPr>
            <w:tcW w:w="8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6"/>
        </w:trPr>
        <w:tc>
          <w:tcPr>
            <w:tcW w:w="5020" w:type="dxa"/>
            <w:vAlign w:val="bottom"/>
          </w:tcPr>
          <w:p>
            <w:pPr>
              <w:ind w:left="20"/>
              <w:spacing w:after="0"/>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14"/>
                <w:szCs w:val="14"/>
                <w:color w:val="auto"/>
              </w:rPr>
              <w:t>(1)</w:t>
            </w:r>
          </w:p>
        </w:tc>
        <w:tc>
          <w:tcPr>
            <w:tcW w:w="24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(32 )</w:t>
            </w:r>
          </w:p>
        </w:tc>
        <w:tc>
          <w:tcPr>
            <w:tcW w:w="22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191 %</w:t>
            </w:r>
          </w:p>
        </w:tc>
        <w:tc>
          <w:tcPr>
            <w:tcW w:w="80" w:type="dxa"/>
            <w:vAlign w:val="bottom"/>
          </w:tcPr>
          <w:p>
            <w:pPr>
              <w:spacing w:after="0"/>
              <w:rPr>
                <w:sz w:val="22"/>
                <w:szCs w:val="22"/>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Adjusted EBITDA by Segment:</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Tripadvisor Core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Viator</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(31 )</w:t>
            </w:r>
          </w:p>
        </w:tc>
        <w:tc>
          <w:tcPr>
            <w:tcW w:w="2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(65 )%</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56"/>
        </w:trPr>
        <w:tc>
          <w:tcPr>
            <w:tcW w:w="5020" w:type="dxa"/>
            <w:vAlign w:val="bottom"/>
          </w:tcPr>
          <w:p>
            <w:pPr>
              <w:ind w:left="20"/>
              <w:spacing w:after="0"/>
              <w:rPr>
                <w:sz w:val="20"/>
                <w:szCs w:val="20"/>
                <w:color w:val="auto"/>
              </w:rPr>
            </w:pPr>
            <w:r>
              <w:rPr>
                <w:rFonts w:ascii="Arial" w:cs="Arial" w:eastAsia="Arial" w:hAnsi="Arial"/>
                <w:sz w:val="18"/>
                <w:szCs w:val="18"/>
                <w:color w:val="auto"/>
              </w:rPr>
              <w:t>TheFork</w:t>
            </w:r>
          </w:p>
        </w:tc>
        <w:tc>
          <w:tcPr>
            <w:tcW w:w="24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(46 )</w:t>
            </w:r>
          </w:p>
        </w:tc>
        <w:tc>
          <w:tcPr>
            <w:tcW w:w="22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2"/>
                <w:szCs w:val="22"/>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(15 )%</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195 %</w:t>
            </w:r>
          </w:p>
        </w:tc>
        <w:tc>
          <w:tcPr>
            <w:tcW w:w="8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Tripadvisor Core</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Viator</w:t>
            </w:r>
          </w:p>
        </w:tc>
        <w:tc>
          <w:tcPr>
            <w:tcW w:w="2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(2 %)</w:t>
            </w:r>
          </w:p>
        </w:tc>
        <w:tc>
          <w:tcPr>
            <w:tcW w:w="1380" w:type="dxa"/>
            <w:vAlign w:val="bottom"/>
            <w:gridSpan w:val="3"/>
            <w:shd w:val="clear" w:color="auto" w:fill="CFF0FC"/>
          </w:tcPr>
          <w:p>
            <w:pPr>
              <w:jc w:val="right"/>
              <w:ind w:right="127"/>
              <w:spacing w:after="0"/>
              <w:rPr>
                <w:sz w:val="20"/>
                <w:szCs w:val="20"/>
                <w:color w:val="auto"/>
              </w:rPr>
            </w:pPr>
            <w:r>
              <w:rPr>
                <w:rFonts w:ascii="Arial" w:cs="Arial" w:eastAsia="Arial" w:hAnsi="Arial"/>
                <w:sz w:val="18"/>
                <w:szCs w:val="18"/>
                <w:color w:val="auto"/>
              </w:rPr>
              <w:t>(17 %)</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(131 %)</w:t>
            </w: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TheFork</w:t>
            </w:r>
          </w:p>
        </w:tc>
        <w:tc>
          <w:tcPr>
            <w:tcW w:w="240" w:type="dxa"/>
            <w:vAlign w:val="bottom"/>
          </w:tcPr>
          <w:p>
            <w:pPr>
              <w:spacing w:after="0"/>
              <w:rPr>
                <w:sz w:val="20"/>
                <w:szCs w:val="20"/>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(31 )%</w:t>
            </w:r>
          </w:p>
        </w:tc>
        <w:tc>
          <w:tcPr>
            <w:tcW w:w="1380" w:type="dxa"/>
            <w:vAlign w:val="bottom"/>
            <w:gridSpan w:val="3"/>
          </w:tcPr>
          <w:p>
            <w:pPr>
              <w:jc w:val="right"/>
              <w:ind w:right="127"/>
              <w:spacing w:after="0"/>
              <w:rPr>
                <w:sz w:val="20"/>
                <w:szCs w:val="20"/>
                <w:color w:val="auto"/>
              </w:rPr>
            </w:pPr>
            <w:r>
              <w:rPr>
                <w:rFonts w:ascii="Arial" w:cs="Arial" w:eastAsia="Arial" w:hAnsi="Arial"/>
                <w:sz w:val="18"/>
                <w:szCs w:val="18"/>
                <w:color w:val="auto"/>
              </w:rPr>
              <w:t>(54 )%</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(50 )%</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-2217420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-1909445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-1592580</wp:posOffset>
            </wp:positionV>
            <wp:extent cx="7132320" cy="4883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342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136" w:lineRule="exact"/>
        <w:rPr>
          <w:sz w:val="20"/>
          <w:szCs w:val="20"/>
          <w:color w:val="auto"/>
        </w:rPr>
      </w:pPr>
    </w:p>
    <w:p>
      <w:pPr>
        <w:ind w:left="760" w:right="200" w:hanging="378"/>
        <w:spacing w:after="0" w:line="227"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Tripadvisor Core segment revenue figures are shown gross of intersegment (intercompany) revenue, which is eliminated on a consolidated basis. Refer to “Note 19: </w:t>
      </w:r>
      <w:r>
        <w:rPr>
          <w:rFonts w:ascii="Arial" w:cs="Arial" w:eastAsia="Arial" w:hAnsi="Arial"/>
          <w:sz w:val="14"/>
          <w:szCs w:val="14"/>
          <w:i w:val="1"/>
          <w:iCs w:val="1"/>
          <w:color w:val="auto"/>
        </w:rPr>
        <w:t>Segment and</w:t>
      </w:r>
      <w:r>
        <w:rPr>
          <w:rFonts w:ascii="Arial" w:cs="Arial" w:eastAsia="Arial" w:hAnsi="Arial"/>
          <w:sz w:val="14"/>
          <w:szCs w:val="14"/>
          <w:color w:val="auto"/>
        </w:rPr>
        <w:t xml:space="preserve"> </w:t>
      </w:r>
      <w:r>
        <w:rPr>
          <w:rFonts w:ascii="Arial" w:cs="Arial" w:eastAsia="Arial" w:hAnsi="Arial"/>
          <w:sz w:val="14"/>
          <w:szCs w:val="14"/>
          <w:i w:val="1"/>
          <w:iCs w:val="1"/>
          <w:color w:val="auto"/>
        </w:rPr>
        <w:t>Geographic Information</w:t>
      </w:r>
      <w:r>
        <w:rPr>
          <w:rFonts w:ascii="Arial" w:cs="Arial" w:eastAsia="Arial" w:hAnsi="Arial"/>
          <w:sz w:val="14"/>
          <w:szCs w:val="14"/>
          <w:color w:val="auto"/>
        </w:rPr>
        <w:t>” in the notes to our consolidated financial statements in Item 8 of this Annual Report on Form 10-K for a discussion of intersegment revenue for all periods</w:t>
      </w:r>
      <w:r>
        <w:rPr>
          <w:rFonts w:ascii="Arial" w:cs="Arial" w:eastAsia="Arial" w:hAnsi="Arial"/>
          <w:sz w:val="14"/>
          <w:szCs w:val="14"/>
          <w:i w:val="1"/>
          <w:iCs w:val="1"/>
          <w:color w:val="auto"/>
        </w:rPr>
        <w:t xml:space="preserve"> </w:t>
      </w:r>
      <w:r>
        <w:rPr>
          <w:rFonts w:ascii="Arial" w:cs="Arial" w:eastAsia="Arial" w:hAnsi="Arial"/>
          <w:sz w:val="14"/>
          <w:szCs w:val="14"/>
          <w:color w:val="auto"/>
        </w:rPr>
        <w:t>presented.</w:t>
      </w:r>
    </w:p>
    <w:p>
      <w:pPr>
        <w:ind w:left="760" w:hanging="378"/>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EBITDA Margin by Segment” is defined as Adjusted EBITDA by segment divided by revenue by segment.</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Tripadvisor Core Segment</w:t>
      </w:r>
    </w:p>
    <w:p>
      <w:pPr>
        <w:spacing w:after="0" w:line="225"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Tripadvisor Core segment revenue increased by $301 million during the year ended December 31, 2022 when compared to the same period in 2021, primarily due to increased hotel meta revenue, and, to a lesser extent, an increase in Tripadvisor experiences and dining and Tripadvisor-branded display and platform revenue, all of which was due to the impact of increased consumer travel demand, the easing of travel restrictions and travel industry recovery on our business. In addition, we estimate this segment's revenue growth was negatively impacted by foreign currency fluctuations of approximately 6% during the year ended December 31, 2022 when compared to the same period in 2021.</w:t>
      </w:r>
    </w:p>
    <w:p>
      <w:pPr>
        <w:spacing w:after="0" w:line="67" w:lineRule="exact"/>
        <w:rPr>
          <w:sz w:val="20"/>
          <w:szCs w:val="20"/>
          <w:color w:val="auto"/>
        </w:rPr>
      </w:pPr>
    </w:p>
    <w:p>
      <w:pPr>
        <w:ind w:right="280" w:firstLine="509"/>
        <w:spacing w:after="0" w:line="301" w:lineRule="auto"/>
        <w:rPr>
          <w:sz w:val="20"/>
          <w:szCs w:val="20"/>
          <w:color w:val="auto"/>
        </w:rPr>
      </w:pPr>
      <w:r>
        <w:rPr>
          <w:rFonts w:ascii="Arial" w:cs="Arial" w:eastAsia="Arial" w:hAnsi="Arial"/>
          <w:sz w:val="16"/>
          <w:szCs w:val="16"/>
          <w:color w:val="auto"/>
        </w:rPr>
        <w:t>Adjusted EBITDA in our Tripadvisor Core segment increased $168 million during the year ended December 31, 2022 when compared to the same period in 2021. This was primarily due to an increase in revenue as noted above, partially offset by an increase in direct selling and marketing expenses related to SEM and other online paid traffic acquisition costs in response to increased consumer travel demand as travel restrictions eased and the travel industry recovered, and to a lesser extent, increased personnel and overhead costs to support business growth during the travel demand recovery.</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95" w:right="2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color w:val="auto"/>
        </w:rPr>
        <w:t>The following is a detailed discussion of the revenue sources within our Tripadvisor Core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tcPr>
          <w:p>
            <w:pPr>
              <w:ind w:left="86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514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2022 vs. 2021</w:t>
            </w:r>
          </w:p>
        </w:tc>
        <w:tc>
          <w:tcPr>
            <w:tcW w:w="10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2021 vs. 2020</w:t>
            </w:r>
          </w:p>
        </w:tc>
        <w:tc>
          <w:tcPr>
            <w:tcW w:w="200" w:type="dxa"/>
            <w:vAlign w:val="bottom"/>
          </w:tcPr>
          <w:p>
            <w:pPr>
              <w:spacing w:after="0"/>
              <w:rPr>
                <w:sz w:val="14"/>
                <w:szCs w:val="14"/>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Tripadvisor Core:</w:t>
            </w:r>
          </w:p>
        </w:tc>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top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Tripadvisor-branded hotels</w:t>
            </w: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650</w:t>
            </w:r>
          </w:p>
        </w:tc>
        <w:tc>
          <w:tcPr>
            <w:tcW w:w="4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w:t>
            </w:r>
          </w:p>
        </w:tc>
        <w:tc>
          <w:tcPr>
            <w:tcW w:w="1480" w:type="dxa"/>
            <w:vAlign w:val="bottom"/>
            <w:gridSpan w:val="3"/>
          </w:tcPr>
          <w:p>
            <w:pPr>
              <w:ind w:left="1060"/>
              <w:spacing w:after="0"/>
              <w:rPr>
                <w:sz w:val="20"/>
                <w:szCs w:val="20"/>
                <w:color w:val="auto"/>
              </w:rPr>
            </w:pPr>
            <w:r>
              <w:rPr>
                <w:rFonts w:ascii="Arial" w:cs="Arial" w:eastAsia="Arial" w:hAnsi="Arial"/>
                <w:sz w:val="18"/>
                <w:szCs w:val="18"/>
                <w:color w:val="auto"/>
                <w:w w:val="97"/>
              </w:rPr>
              <w:t>44 %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54 %</w:t>
            </w:r>
          </w:p>
        </w:tc>
      </w:tr>
      <w:tr>
        <w:trPr>
          <w:trHeight w:val="242"/>
        </w:trPr>
        <w:tc>
          <w:tcPr>
            <w:tcW w:w="5140" w:type="dxa"/>
            <w:vAlign w:val="bottom"/>
          </w:tcPr>
          <w:p>
            <w:pPr>
              <w:ind w:left="20"/>
              <w:spacing w:after="0"/>
              <w:rPr>
                <w:sz w:val="20"/>
                <w:szCs w:val="20"/>
                <w:color w:val="auto"/>
              </w:rPr>
            </w:pPr>
            <w:r>
              <w:rPr>
                <w:rFonts w:ascii="Arial" w:cs="Arial" w:eastAsia="Arial" w:hAnsi="Arial"/>
                <w:sz w:val="18"/>
                <w:szCs w:val="18"/>
                <w:color w:val="auto"/>
              </w:rPr>
              <w:t>Tripadvisor-branded display and platform</w:t>
            </w:r>
          </w:p>
        </w:tc>
        <w:tc>
          <w:tcPr>
            <w:tcW w:w="6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130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1480" w:type="dxa"/>
            <w:vAlign w:val="bottom"/>
            <w:gridSpan w:val="3"/>
          </w:tcPr>
          <w:p>
            <w:pPr>
              <w:ind w:left="1060"/>
              <w:spacing w:after="0"/>
              <w:rPr>
                <w:sz w:val="20"/>
                <w:szCs w:val="20"/>
                <w:color w:val="auto"/>
              </w:rPr>
            </w:pPr>
            <w:r>
              <w:rPr>
                <w:rFonts w:ascii="Arial" w:cs="Arial" w:eastAsia="Arial" w:hAnsi="Arial"/>
                <w:sz w:val="18"/>
                <w:szCs w:val="18"/>
                <w:color w:val="auto"/>
                <w:w w:val="97"/>
              </w:rPr>
              <w:t>33 %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42 %</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Tripadvisor experiences and dining (1)</w:t>
            </w:r>
          </w:p>
        </w:tc>
        <w:tc>
          <w:tcPr>
            <w:tcW w:w="6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134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1480" w:type="dxa"/>
            <w:vAlign w:val="bottom"/>
            <w:gridSpan w:val="3"/>
          </w:tcPr>
          <w:p>
            <w:pPr>
              <w:ind w:left="1060"/>
              <w:spacing w:after="0"/>
              <w:rPr>
                <w:sz w:val="20"/>
                <w:szCs w:val="20"/>
                <w:color w:val="auto"/>
              </w:rPr>
            </w:pPr>
            <w:r>
              <w:rPr>
                <w:rFonts w:ascii="Arial" w:cs="Arial" w:eastAsia="Arial" w:hAnsi="Arial"/>
                <w:sz w:val="18"/>
                <w:szCs w:val="18"/>
                <w:color w:val="auto"/>
                <w:w w:val="97"/>
              </w:rPr>
              <w:t>91 %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r>
      <w:tr>
        <w:trPr>
          <w:trHeight w:val="256"/>
        </w:trPr>
        <w:tc>
          <w:tcPr>
            <w:tcW w:w="5140" w:type="dxa"/>
            <w:vAlign w:val="bottom"/>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80" w:type="dxa"/>
            <w:vAlign w:val="bottom"/>
            <w:gridSpan w:val="3"/>
          </w:tcPr>
          <w:p>
            <w:pPr>
              <w:ind w:left="1060"/>
              <w:spacing w:after="0"/>
              <w:rPr>
                <w:sz w:val="20"/>
                <w:szCs w:val="20"/>
                <w:color w:val="auto"/>
              </w:rPr>
            </w:pPr>
            <w:r>
              <w:rPr>
                <w:rFonts w:ascii="Arial" w:cs="Arial" w:eastAsia="Arial" w:hAnsi="Arial"/>
                <w:sz w:val="18"/>
                <w:szCs w:val="18"/>
                <w:color w:val="auto"/>
                <w:w w:val="97"/>
              </w:rPr>
              <w:t>13 %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36"/>
        </w:trPr>
        <w:tc>
          <w:tcPr>
            <w:tcW w:w="5140" w:type="dxa"/>
            <w:vAlign w:val="bottom"/>
          </w:tcPr>
          <w:p>
            <w:pPr>
              <w:ind w:left="200"/>
              <w:spacing w:after="0"/>
              <w:rPr>
                <w:sz w:val="20"/>
                <w:szCs w:val="20"/>
                <w:color w:val="auto"/>
              </w:rPr>
            </w:pPr>
            <w:r>
              <w:rPr>
                <w:rFonts w:ascii="Arial" w:cs="Arial" w:eastAsia="Arial" w:hAnsi="Arial"/>
                <w:sz w:val="18"/>
                <w:szCs w:val="18"/>
                <w:color w:val="auto"/>
              </w:rPr>
              <w:t>Total Tripadvisor Core Revenue</w:t>
            </w:r>
          </w:p>
        </w:tc>
        <w:tc>
          <w:tcPr>
            <w:tcW w:w="6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966</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480" w:type="dxa"/>
            <w:vAlign w:val="bottom"/>
            <w:gridSpan w:val="3"/>
          </w:tcPr>
          <w:p>
            <w:pPr>
              <w:ind w:left="1060"/>
              <w:spacing w:after="0"/>
              <w:rPr>
                <w:sz w:val="20"/>
                <w:szCs w:val="20"/>
                <w:color w:val="auto"/>
              </w:rPr>
            </w:pPr>
            <w:r>
              <w:rPr>
                <w:rFonts w:ascii="Arial" w:cs="Arial" w:eastAsia="Arial" w:hAnsi="Arial"/>
                <w:sz w:val="18"/>
                <w:szCs w:val="18"/>
                <w:color w:val="auto"/>
                <w:w w:val="97"/>
              </w:rPr>
              <w:t>45 %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38 %</w:t>
            </w:r>
          </w:p>
        </w:tc>
      </w:tr>
      <w:tr>
        <w:trPr>
          <w:trHeight w:val="20"/>
        </w:trPr>
        <w:tc>
          <w:tcPr>
            <w:tcW w:w="5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9" w:lineRule="exact"/>
        <w:rPr>
          <w:sz w:val="20"/>
          <w:szCs w:val="20"/>
          <w:color w:val="auto"/>
        </w:rPr>
      </w:pPr>
    </w:p>
    <w:p>
      <w:pPr>
        <w:ind w:left="660" w:right="180" w:hanging="503"/>
        <w:spacing w:after="0" w:line="237"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Tripadvisor experiences and dining revenue within the Tripadvisor Core segment is shown gross of intersegment (intercompany) revenue, which is eliminated on a consolidated basis. Refer to “Note 19: </w:t>
      </w:r>
      <w:r>
        <w:rPr>
          <w:rFonts w:ascii="Arial" w:cs="Arial" w:eastAsia="Arial" w:hAnsi="Arial"/>
          <w:sz w:val="14"/>
          <w:szCs w:val="14"/>
          <w:i w:val="1"/>
          <w:iCs w:val="1"/>
          <w:color w:val="auto"/>
        </w:rPr>
        <w:t>Segment and Geographic Information</w:t>
      </w:r>
      <w:r>
        <w:rPr>
          <w:rFonts w:ascii="Arial" w:cs="Arial" w:eastAsia="Arial" w:hAnsi="Arial"/>
          <w:sz w:val="14"/>
          <w:szCs w:val="14"/>
          <w:color w:val="auto"/>
        </w:rPr>
        <w:t>” in the notes to our consolidated financial statements in Item 8 of this Annual Report on Form 10-K for a discussion of intersegment revenue for all periods presented.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17" w:lineRule="exact"/>
        <w:rPr>
          <w:sz w:val="20"/>
          <w:szCs w:val="20"/>
          <w:color w:val="auto"/>
        </w:rPr>
      </w:pPr>
    </w:p>
    <w:p>
      <w:pPr>
        <w:ind w:right="240" w:firstLine="509"/>
        <w:spacing w:after="0" w:line="291" w:lineRule="auto"/>
        <w:rPr>
          <w:sz w:val="20"/>
          <w:szCs w:val="20"/>
          <w:color w:val="auto"/>
        </w:rPr>
      </w:pPr>
      <w:r>
        <w:rPr>
          <w:rFonts w:ascii="Arial" w:cs="Arial" w:eastAsia="Arial" w:hAnsi="Arial"/>
          <w:sz w:val="16"/>
          <w:szCs w:val="16"/>
          <w:color w:val="auto"/>
        </w:rPr>
        <w:t>For the years ended December 31, 2022, 2021, and 2020, 67%, 68%, and 60%, respectively, of our Tripadvisor Core segment revenue was derived from Tripadvisor-branded hotels revenue. Tripadvisor-branded hotels revenue increased $199 million during the year ended December 31, 2022 when compared to the same period in 2021. This increase was primarily driven by our hotel meta revenue across all geographic markets, and, to a lesser extent, hotel B2B revenue, which has been slower to recover than hotel meta, due to the impact of increased consumer travel demand, the easing of travel restrictions and travel industry recovery on our business. As consumer travel demand increased during 2022, the Company saw continued improvement in hotel meta monetization, as CPC rates during 2022 were consistently near or exceeded parity with 2019's comparable period, which enabled increased efficient marketing investment on performance channels, enhancing our 2022 hotel meta revenue growth.</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7"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For the years ended December 31, 2022, 2021, and 2020, 13%, 15%, and 14%, respectively, of our Tripadvisor Core segment revenue was derived from Tripadvisor-branded display and platform revenue, which consists of revenue from display-based advertising across our platform. Tripadvisor-branded display and platform revenue increased $32 million during the year ended December 31, 2022 when compared to the same period in 2021, primarily driven by an increase in marketing spend from our advertisers, particularly DMOs, in correlation with increased consumer travel demand.</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 Experiences and Dining Revenue</w:t>
      </w:r>
    </w:p>
    <w:p>
      <w:pPr>
        <w:spacing w:after="0" w:line="117" w:lineRule="exact"/>
        <w:rPr>
          <w:sz w:val="20"/>
          <w:szCs w:val="20"/>
          <w:color w:val="auto"/>
        </w:rPr>
      </w:pPr>
    </w:p>
    <w:p>
      <w:pPr>
        <w:ind w:right="260" w:firstLine="509"/>
        <w:spacing w:after="0" w:line="271" w:lineRule="auto"/>
        <w:rPr>
          <w:sz w:val="20"/>
          <w:szCs w:val="20"/>
          <w:color w:val="auto"/>
        </w:rPr>
      </w:pPr>
      <w:r>
        <w:rPr>
          <w:rFonts w:ascii="Arial" w:cs="Arial" w:eastAsia="Arial" w:hAnsi="Arial"/>
          <w:sz w:val="17"/>
          <w:szCs w:val="17"/>
          <w:color w:val="auto"/>
        </w:rPr>
        <w:t>For the years ended December 31, 2022, 2021, and 2020, 14%, 11%, and 13%, respectively, of our Tripadvisor Core segment revenue was derived from our 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revenue earned from Tripadvisor's restaurant service offerings. Tripadvisor experiences and dining revenue increased by $64 million during the year ended December 31, 2022 when compared to the same period in 2021, primarily driven by increased consumer travel demand for experiences across all geographies, in conjunction with the lifting of various government restrictions on experience activities and the travel industry recovery.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460" w:firstLine="509"/>
        <w:spacing w:after="0" w:line="259" w:lineRule="auto"/>
        <w:rPr>
          <w:sz w:val="20"/>
          <w:szCs w:val="20"/>
          <w:color w:val="auto"/>
        </w:rPr>
      </w:pPr>
      <w:r>
        <w:rPr>
          <w:rFonts w:ascii="Arial" w:cs="Arial" w:eastAsia="Arial" w:hAnsi="Arial"/>
          <w:sz w:val="18"/>
          <w:szCs w:val="18"/>
          <w:color w:val="auto"/>
        </w:rPr>
        <w:t>For the years ended December 31, 2022, 2021, and 2020, 5%, 7%, and 12%, respectively, of our Tripadvisor Core segment revenue was derived from Other revenue, which includes alternative accommodation rentals revenue, in addition to primarily click-based advertising and display-based advertising revenue from our cruise, flights, and rental cars offerings on Tripadvisor websites and mobile apps. Other revenue increased by $6 million during the</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84" w:right="239" w:bottom="1440" w:gutter="0" w:footer="0" w:header="0"/>
        </w:sectPr>
      </w:pPr>
    </w:p>
    <w:bookmarkStart w:id="35" w:name="page36"/>
    <w:bookmarkEnd w:id="35"/>
    <w:p>
      <w:pPr>
        <w:ind w:right="380"/>
        <w:spacing w:after="0" w:line="277" w:lineRule="auto"/>
        <w:rPr>
          <w:sz w:val="20"/>
          <w:szCs w:val="20"/>
          <w:color w:val="auto"/>
        </w:rPr>
      </w:pPr>
      <w:r>
        <w:rPr>
          <w:rFonts w:ascii="Arial" w:cs="Arial" w:eastAsia="Arial" w:hAnsi="Arial"/>
          <w:sz w:val="18"/>
          <w:szCs w:val="18"/>
          <w:color w:val="auto"/>
        </w:rPr>
        <w:t>year ended December 31, 2022 when compared to the same period in 2021, primarily due to the impact of increased consumer travel demand and travel industry recovery on our business.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Viator Segment</w:t>
      </w:r>
    </w:p>
    <w:p>
      <w:pPr>
        <w:spacing w:after="0" w:line="117"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Viator segment revenue increased by $309 million during the year ended December 31, 2022 when compared to the same period in 2021, primarily driven by the consumer demand recovery for experiences across all geographies, in conjunction with the lifting of various government restrictions on experience activities and the travel industry recovery during the same period. Viator is also benefitting from a larger macro trend, or secular shift, as the large global market in which it operates continues to grow, and, in addition, migrate online from traditional offline sources. In addition, we estimate this segment's revenue growth was negatively impacted by foreign currency fluctuations of approximately 16% during the year ended December 31, 2022, when compared to the same period in 2021.</w:t>
      </w:r>
    </w:p>
    <w:p>
      <w:pPr>
        <w:spacing w:after="0" w:line="191"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Adjusted EBITDA loss in our Viator segment decreased by $20 million during the year ended December 31, 2022 when compared to the same period in 2021, primarily due to an increase in revenue as noted above. This was largely offset by an increase in selling and marketing expenses related to SEM, other online paid traffic acquisition costs, and other marketing costs in response to increased consumer demand for experiences as part of the consumer travel demand recovery and to grow market share, and, to a lesser extent, an increase in direct costs from credit card payments and other revenue-related transaction costs in direct correlation with the increase in revenue, as well as increased personnel and overhead costs to support business growth during the travel demand recovery.</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TheFork Segment</w:t>
      </w:r>
    </w:p>
    <w:p>
      <w:pPr>
        <w:spacing w:after="0" w:line="117"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TheFork segment revenue increased by $41 million during the year ended December 31, 2022 when compared to the same period in 2021, driven by consumer travel demand recovery and various government restrictions on restaurants being lifted in Europe, combined with the travel industry recovery during the same time period, despite the impact of foreign currency fluctuations, which we estimate negatively impacted this segment's revenue growth during the year ended December 31, 2022 in the amount of approximately 19%, when compared to the same period in 2021.</w:t>
      </w:r>
    </w:p>
    <w:p>
      <w:pPr>
        <w:spacing w:after="0" w:line="48" w:lineRule="exact"/>
        <w:rPr>
          <w:sz w:val="20"/>
          <w:szCs w:val="20"/>
          <w:color w:val="auto"/>
        </w:rPr>
      </w:pPr>
    </w:p>
    <w:p>
      <w:pPr>
        <w:jc w:val="both"/>
        <w:ind w:right="200" w:firstLine="509"/>
        <w:spacing w:after="0" w:line="296" w:lineRule="auto"/>
        <w:rPr>
          <w:sz w:val="20"/>
          <w:szCs w:val="20"/>
          <w:color w:val="auto"/>
        </w:rPr>
      </w:pPr>
      <w:r>
        <w:rPr>
          <w:rFonts w:ascii="Arial" w:cs="Arial" w:eastAsia="Arial" w:hAnsi="Arial"/>
          <w:sz w:val="16"/>
          <w:szCs w:val="16"/>
          <w:color w:val="auto"/>
        </w:rPr>
        <w:t>Adjusted EBITDA loss in TheFork segment decreased by $7 million during the year ended December 31, 2022 when compared to the same period in 2021, primarily due to an increase in revenue as noted above, and to a lesser extent, incremental non-income tax related government assistance benefits related to COVID-19 relief of $8 million. This was largely offset by an increase in selling and marketing expenses related to online paid traffic acquisition costs and television advertising costs, in response to consumer travel demand recovery as government restrictions on restaurants were lifted and the travel industry recovered and, to a lesser extent, an increase in personnel and overhead costs to support business growth during the travel demand recovery.</w:t>
      </w:r>
    </w:p>
    <w:p>
      <w:pPr>
        <w:spacing w:after="0" w:line="156" w:lineRule="exact"/>
        <w:rPr>
          <w:sz w:val="20"/>
          <w:szCs w:val="20"/>
          <w:color w:val="auto"/>
        </w:rPr>
      </w:pPr>
    </w:p>
    <w:p>
      <w:pPr>
        <w:jc w:val="right"/>
        <w:ind w:right="9520"/>
        <w:spacing w:after="0"/>
        <w:rPr>
          <w:sz w:val="20"/>
          <w:szCs w:val="20"/>
          <w:color w:val="auto"/>
        </w:rPr>
      </w:pPr>
      <w:r>
        <w:rPr>
          <w:rFonts w:ascii="Arial" w:cs="Arial" w:eastAsia="Arial" w:hAnsi="Arial"/>
          <w:sz w:val="15"/>
          <w:szCs w:val="15"/>
          <w:b w:val="1"/>
          <w:bCs w:val="1"/>
          <w:color w:val="auto"/>
        </w:rPr>
        <w:t>Consolidated Expenses</w:t>
      </w:r>
    </w:p>
    <w:p>
      <w:pPr>
        <w:spacing w:after="0" w:line="155" w:lineRule="exact"/>
        <w:rPr>
          <w:sz w:val="20"/>
          <w:szCs w:val="20"/>
          <w:color w:val="auto"/>
        </w:rPr>
      </w:pPr>
    </w:p>
    <w:p>
      <w:pPr>
        <w:jc w:val="right"/>
        <w:ind w:right="95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78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502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2022 vs. 2021</w:t>
            </w:r>
          </w:p>
        </w:tc>
        <w:tc>
          <w:tcPr>
            <w:tcW w:w="104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50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Direct costs</w:t>
            </w: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97"/>
              </w:rPr>
              <w:t>78 %</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47 %</w:t>
            </w:r>
          </w:p>
        </w:tc>
      </w:tr>
      <w:tr>
        <w:trPr>
          <w:trHeight w:val="256"/>
        </w:trPr>
        <w:tc>
          <w:tcPr>
            <w:tcW w:w="5020" w:type="dxa"/>
            <w:vAlign w:val="bottom"/>
          </w:tcPr>
          <w:p>
            <w:pPr>
              <w:ind w:left="20"/>
              <w:spacing w:after="0"/>
              <w:rPr>
                <w:sz w:val="20"/>
                <w:szCs w:val="20"/>
                <w:color w:val="auto"/>
              </w:rPr>
            </w:pPr>
            <w:r>
              <w:rPr>
                <w:rFonts w:ascii="Arial" w:cs="Arial" w:eastAsia="Arial" w:hAnsi="Arial"/>
                <w:sz w:val="18"/>
                <w:szCs w:val="18"/>
                <w:color w:val="auto"/>
              </w:rPr>
              <w:t>Personnel and overhead</w:t>
            </w:r>
          </w:p>
        </w:tc>
        <w:tc>
          <w:tcPr>
            <w:tcW w:w="7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97"/>
              </w:rPr>
              <w:t>13 %</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14 %</w:t>
            </w:r>
          </w:p>
        </w:tc>
      </w:tr>
      <w:tr>
        <w:trPr>
          <w:trHeight w:val="236"/>
        </w:trPr>
        <w:tc>
          <w:tcPr>
            <w:tcW w:w="502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116</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w w:val="97"/>
              </w:rPr>
              <w:t>57 %</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5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of revenue</w:t>
            </w:r>
          </w:p>
        </w:tc>
        <w:tc>
          <w:tcPr>
            <w:tcW w:w="7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674"/>
        </w:trPr>
        <w:tc>
          <w:tcPr>
            <w:tcW w:w="50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-1009650</wp:posOffset>
            </wp:positionV>
            <wp:extent cx="7132320" cy="342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76" w:right="279" w:bottom="1440" w:gutter="0" w:footer="0" w:header="0"/>
        </w:sectPr>
      </w:pPr>
    </w:p>
    <w:bookmarkStart w:id="36" w:name="page37"/>
    <w:bookmarkEnd w:id="36"/>
    <w:p>
      <w:pPr>
        <w:ind w:right="240" w:firstLine="509"/>
        <w:spacing w:after="0" w:line="286" w:lineRule="auto"/>
        <w:rPr>
          <w:sz w:val="20"/>
          <w:szCs w:val="20"/>
          <w:color w:val="auto"/>
        </w:rPr>
      </w:pPr>
      <w:r>
        <w:rPr>
          <w:rFonts w:ascii="Arial" w:cs="Arial" w:eastAsia="Arial" w:hAnsi="Arial"/>
          <w:sz w:val="17"/>
          <w:szCs w:val="17"/>
          <w:color w:val="auto"/>
        </w:rPr>
        <w:t>Cost of revenue increased $42 million during the year ended December 31, 2022 when compared to the same period in 2021, the majority of which is due to increased direct costs from credit card payment processing fees and other revenue-related transaction costs in our Viator segment in direct correlation with the increase in revenue, as Viator serves as the merchant of record for the majority of its experience booking transactions.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Selling and marketing expenses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00" w:type="dxa"/>
            <w:vAlign w:val="bottom"/>
            <w:gridSpan w:val="5"/>
          </w:tcPr>
          <w:p>
            <w:pPr>
              <w:jc w:val="center"/>
              <w:ind w:left="254"/>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500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1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2022 vs. 2021</w:t>
            </w: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Direct costs</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130 %</w:t>
            </w:r>
          </w:p>
        </w:tc>
      </w:tr>
      <w:tr>
        <w:trPr>
          <w:trHeight w:val="256"/>
        </w:trPr>
        <w:tc>
          <w:tcPr>
            <w:tcW w:w="5000" w:type="dxa"/>
            <w:vAlign w:val="bottom"/>
          </w:tcPr>
          <w:p>
            <w:pPr>
              <w:ind w:left="20"/>
              <w:spacing w:after="0"/>
              <w:rPr>
                <w:sz w:val="20"/>
                <w:szCs w:val="20"/>
                <w:color w:val="auto"/>
              </w:rPr>
            </w:pPr>
            <w:r>
              <w:rPr>
                <w:rFonts w:ascii="Arial" w:cs="Arial" w:eastAsia="Arial" w:hAnsi="Arial"/>
                <w:sz w:val="18"/>
                <w:szCs w:val="18"/>
                <w:color w:val="auto"/>
              </w:rPr>
              <w:t>Personnel and overhead</w:t>
            </w:r>
          </w:p>
        </w:tc>
        <w:tc>
          <w:tcPr>
            <w:tcW w:w="7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(7 %)</w:t>
            </w:r>
          </w:p>
        </w:tc>
      </w:tr>
      <w:tr>
        <w:trPr>
          <w:trHeight w:val="236"/>
        </w:trPr>
        <w:tc>
          <w:tcPr>
            <w:tcW w:w="5000" w:type="dxa"/>
            <w:vAlign w:val="bottom"/>
          </w:tcPr>
          <w:p>
            <w:pPr>
              <w:ind w:left="20"/>
              <w:spacing w:after="0"/>
              <w:rPr>
                <w:sz w:val="20"/>
                <w:szCs w:val="20"/>
                <w:color w:val="auto"/>
              </w:rPr>
            </w:pPr>
            <w:r>
              <w:rPr>
                <w:rFonts w:ascii="Arial" w:cs="Arial" w:eastAsia="Arial" w:hAnsi="Arial"/>
                <w:sz w:val="18"/>
                <w:szCs w:val="18"/>
                <w:color w:val="auto"/>
              </w:rPr>
              <w:t>Total selling and marketing</w:t>
            </w: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48 %</w:t>
            </w:r>
          </w:p>
        </w:tc>
      </w:tr>
      <w:tr>
        <w:trPr>
          <w:trHeight w:val="20"/>
        </w:trPr>
        <w:tc>
          <w:tcPr>
            <w:tcW w:w="5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of revenue</w:t>
            </w: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52.5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3422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81"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Direct selling and marketing costs increased $295 million during the year ended December 31, 2022 when compared to the same period in 2021. In addition, direct selling and marketing costs as a percentage of total consolidated revenue was 39% during the year ended December 31, 2022, an increase from 33% when compared to the same period in 2021. These increases were primarily due to an increase of approximately $277 million in SEM, other paid online traffic acquisition spend, and other marketing costs, the substantial majority of which was incurred within our Tripadvisor Core and Viator segments, in order to capture increased consumer travel demand primarily in hotel meta and for experiences, as travel activity restrictions eased and the travel industry recovered, while direct traffic in Tripadvisor Core, including SEO traffic, has been slower to recover, as well as, and to a lesser extent, increased television advertising costs of $12 million in TheFork segment in order to regain brand awareness levels as pandemic related restaurant restrictions subsided in Europe and the industry recovered.</w:t>
      </w:r>
    </w:p>
    <w:p>
      <w:pPr>
        <w:spacing w:after="0" w:line="18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Personnel and overhead costs increased $20 million during the year ended December 31, 2022 when compared to the same period in 2021, primarily due to an increase in headcount and contingent staff to support business growth during the travel demand recovery.</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25" w:lineRule="exact"/>
        <w:rPr>
          <w:sz w:val="20"/>
          <w:szCs w:val="20"/>
          <w:color w:val="auto"/>
        </w:rPr>
      </w:pPr>
    </w:p>
    <w:p>
      <w:pPr>
        <w:ind w:right="220" w:firstLine="539"/>
        <w:spacing w:after="0" w:line="259"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expense, computer supplies, telecom costs, content translation and localization costs, and consulting costs.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0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9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1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8"/>
              </w:rPr>
              <w:t>2022 vs. 2021</w:t>
            </w: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Personnel and overhead</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56"/>
        </w:trPr>
        <w:tc>
          <w:tcPr>
            <w:tcW w:w="4960" w:type="dxa"/>
            <w:vAlign w:val="bottom"/>
          </w:tcPr>
          <w:p>
            <w:pPr>
              <w:ind w:left="2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(8 %)</w:t>
            </w:r>
          </w:p>
        </w:tc>
      </w:tr>
      <w:tr>
        <w:trPr>
          <w:trHeight w:val="236"/>
        </w:trPr>
        <w:tc>
          <w:tcPr>
            <w:tcW w:w="4960" w:type="dxa"/>
            <w:vAlign w:val="bottom"/>
          </w:tcPr>
          <w:p>
            <w:pPr>
              <w:ind w:left="20"/>
              <w:spacing w:after="0"/>
              <w:rPr>
                <w:sz w:val="20"/>
                <w:szCs w:val="20"/>
                <w:color w:val="auto"/>
              </w:rPr>
            </w:pPr>
            <w:r>
              <w:rPr>
                <w:rFonts w:ascii="Arial" w:cs="Arial" w:eastAsia="Arial" w:hAnsi="Arial"/>
                <w:sz w:val="18"/>
                <w:szCs w:val="18"/>
                <w:color w:val="auto"/>
              </w:rPr>
              <w:t>Total technology and content</w:t>
            </w: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4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of revenue</w:t>
            </w: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14.9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342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84" w:right="239" w:bottom="1440" w:gutter="0" w:footer="0" w:header="0"/>
        </w:sectPr>
      </w:pPr>
    </w:p>
    <w:bookmarkStart w:id="37" w:name="page38"/>
    <w:bookmarkEnd w:id="37"/>
    <w:p>
      <w:pPr>
        <w:jc w:val="both"/>
        <w:ind w:right="100" w:firstLine="509"/>
        <w:spacing w:after="0" w:line="263" w:lineRule="auto"/>
        <w:rPr>
          <w:sz w:val="20"/>
          <w:szCs w:val="20"/>
          <w:color w:val="auto"/>
        </w:rPr>
      </w:pPr>
      <w:r>
        <w:rPr>
          <w:rFonts w:ascii="Arial" w:cs="Arial" w:eastAsia="Arial" w:hAnsi="Arial"/>
          <w:sz w:val="18"/>
          <w:szCs w:val="18"/>
          <w:color w:val="auto"/>
        </w:rPr>
        <w:t>Technology and content costs increased $10 million during the year ended December 31, 2022 when compared to the same period in 2021, primarily due to increased personnel and overhead costs resulting from additional headcount and contingent staff to support business growth during the travel demand recovery, partially offset by a decrease in stock-based compensation expense of $10 million.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operating costs including bad debt expense, non-income taxes, such as sales, use, digital services, and other non-income related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00" w:type="dxa"/>
            <w:vAlign w:val="bottom"/>
            <w:gridSpan w:val="5"/>
          </w:tcPr>
          <w:p>
            <w:pPr>
              <w:jc w:val="center"/>
              <w:ind w:left="254"/>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92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340" w:type="dxa"/>
            <w:vAlign w:val="bottom"/>
            <w:tcBorders>
              <w:top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2022 vs. 2021</w:t>
            </w: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2021 vs. 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9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Personnel and overhead</w:t>
            </w: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(3 %)</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r>
      <w:tr>
        <w:trPr>
          <w:trHeight w:val="256"/>
        </w:trPr>
        <w:tc>
          <w:tcPr>
            <w:tcW w:w="4920" w:type="dxa"/>
            <w:vAlign w:val="bottom"/>
          </w:tcPr>
          <w:p>
            <w:pPr>
              <w:ind w:left="20"/>
              <w:spacing w:after="0"/>
              <w:rPr>
                <w:sz w:val="20"/>
                <w:szCs w:val="20"/>
                <w:color w:val="auto"/>
              </w:rPr>
            </w:pPr>
            <w:r>
              <w:rPr>
                <w:rFonts w:ascii="Arial" w:cs="Arial" w:eastAsia="Arial" w:hAnsi="Arial"/>
                <w:sz w:val="18"/>
                <w:szCs w:val="18"/>
                <w:color w:val="auto"/>
              </w:rPr>
              <w:t>Professional service fees and other</w:t>
            </w:r>
          </w:p>
        </w:tc>
        <w:tc>
          <w:tcPr>
            <w:tcW w:w="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c>
          <w:tcPr>
            <w:tcW w:w="80" w:type="dxa"/>
            <w:vAlign w:val="bottom"/>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(35 %)</w:t>
            </w:r>
          </w:p>
        </w:tc>
      </w:tr>
      <w:tr>
        <w:trPr>
          <w:trHeight w:val="236"/>
        </w:trPr>
        <w:tc>
          <w:tcPr>
            <w:tcW w:w="4920" w:type="dxa"/>
            <w:vAlign w:val="bottom"/>
          </w:tcPr>
          <w:p>
            <w:pPr>
              <w:ind w:left="20"/>
              <w:spacing w:after="0"/>
              <w:rPr>
                <w:sz w:val="20"/>
                <w:szCs w:val="20"/>
                <w:color w:val="auto"/>
              </w:rPr>
            </w:pPr>
            <w:r>
              <w:rPr>
                <w:rFonts w:ascii="Arial" w:cs="Arial" w:eastAsia="Arial" w:hAnsi="Arial"/>
                <w:sz w:val="18"/>
                <w:szCs w:val="18"/>
                <w:color w:val="auto"/>
              </w:rPr>
              <w:t>Total general and administrative</w:t>
            </w: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of revenue</w:t>
            </w:r>
          </w:p>
        </w:tc>
        <w:tc>
          <w:tcPr>
            <w:tcW w:w="7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11.5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3422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316" w:lineRule="exact"/>
        <w:rPr>
          <w:sz w:val="20"/>
          <w:szCs w:val="20"/>
          <w:color w:val="auto"/>
        </w:rPr>
      </w:pPr>
    </w:p>
    <w:p>
      <w:pPr>
        <w:ind w:right="220" w:firstLine="509"/>
        <w:spacing w:after="0" w:line="291" w:lineRule="auto"/>
        <w:rPr>
          <w:sz w:val="20"/>
          <w:szCs w:val="20"/>
          <w:color w:val="auto"/>
        </w:rPr>
      </w:pPr>
      <w:r>
        <w:rPr>
          <w:rFonts w:ascii="Arial" w:cs="Arial" w:eastAsia="Arial" w:hAnsi="Arial"/>
          <w:sz w:val="16"/>
          <w:szCs w:val="16"/>
          <w:color w:val="auto"/>
        </w:rPr>
        <w:t>General and administrative costs increased $5 million during the year ended December 31, 2022 when compared to the same period in 2021. Personnel and overhead costs decreased $4 million during the year ended December 31, 2022 when compared to the same period in 2021, primarily due to a decrease in stock-based compensation expense of $18 million, partially offset by additional headcount to support business growth during the travel demand recovery. Professional service fees and other costs increased $9 million during the year ended December 31, 2022 when compared to the same period in 2021, primarily due to an increase in digital service taxes in Europe of $8 million and an approximate $8 million loss incurred during the fourth quarter of 2022 as the result of a fraud scheme resulting in payments to an external party, as discussed above, partially offset by an increase in non-income tax related government assistance benefits related to COVID-19 relief of $9 million during the year ended December 31, 2022.</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6"/>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depreciation and amortization</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 of revenue</w:t>
            </w:r>
          </w:p>
        </w:tc>
        <w:tc>
          <w:tcPr>
            <w:tcW w:w="8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color w:val="auto"/>
                <w:highlight w:val="white"/>
              </w:rPr>
              <w:t>%</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12.3 %</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-171450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-171450</wp:posOffset>
            </wp:positionV>
            <wp:extent cx="89027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90270" cy="179705"/>
                    </a:xfrm>
                    <a:prstGeom prst="rect">
                      <a:avLst/>
                    </a:prstGeom>
                    <a:noFill/>
                  </pic:spPr>
                </pic:pic>
              </a:graphicData>
            </a:graphic>
          </wp:anchor>
        </w:drawing>
      </w:r>
    </w:p>
    <w:p>
      <w:pPr>
        <w:spacing w:after="0" w:line="22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Depreciation and amortization decreased $14 million during the year ended December 31, 2022 when compared to the same period in 2021, primarily due to the completion of amortization related to certain intangible assets from business acquisitions and capitalized website development costs in previous years.</w:t>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76" w:right="2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the Credit Facility, 2025 Senior Notes, 2026 Senior Notes, as well as interest on finance leases.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(44 )  $</w:t>
            </w:r>
          </w:p>
        </w:tc>
        <w:tc>
          <w:tcPr>
            <w:tcW w:w="14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(45 )  $</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(35 )</w:t>
            </w:r>
          </w:p>
        </w:tc>
      </w:tr>
    </w:tbl>
    <w:p>
      <w:pPr>
        <w:spacing w:after="0" w:line="269" w:lineRule="exact"/>
        <w:rPr>
          <w:sz w:val="20"/>
          <w:szCs w:val="20"/>
          <w:color w:val="auto"/>
        </w:rPr>
      </w:pPr>
    </w:p>
    <w:p>
      <w:pPr>
        <w:jc w:val="both"/>
        <w:ind w:right="320" w:firstLine="509"/>
        <w:spacing w:after="0" w:line="286" w:lineRule="auto"/>
        <w:rPr>
          <w:sz w:val="20"/>
          <w:szCs w:val="20"/>
          <w:color w:val="auto"/>
        </w:rPr>
      </w:pPr>
      <w:r>
        <w:rPr>
          <w:rFonts w:ascii="Arial" w:cs="Arial" w:eastAsia="Arial" w:hAnsi="Arial"/>
          <w:sz w:val="17"/>
          <w:szCs w:val="17"/>
          <w:color w:val="auto"/>
        </w:rPr>
        <w:t xml:space="preserve">Interest expense did not change materially during the year ended December 31, 2022 when compared to the same period in 2021. The majority of interest expense reported during the years ended December 31, 2022 and 2021 were as a result of the 2025 Senior Notes. Refer to “Note 9: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consolidated financial statements in Item 8 of this Annual Report on Form 10-K for further information.</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Interest income primarily consists of interest earned from bank deposits available on demand, term deposits, money market funds, and marketable securities, including amortization of discounts and premiums on our marketable securities.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1"/>
                <w:szCs w:val="21"/>
                <w:color w:val="auto"/>
              </w:rPr>
            </w:pPr>
          </w:p>
        </w:tc>
      </w:tr>
    </w:tbl>
    <w:p>
      <w:pPr>
        <w:spacing w:after="0" w:line="30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Interest income increased $14 million during the year ended December 31, 2022 when compared to the same period in 2021, primarily due to an increase in the average amount of cash invested and increased interest rates received on bank deposits during 2022.</w:t>
      </w:r>
    </w:p>
    <w:p>
      <w:pPr>
        <w:spacing w:after="0" w:line="2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p>
      <w:pPr>
        <w:spacing w:after="0" w:line="34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(5 )  $</w:t>
            </w:r>
          </w:p>
        </w:tc>
        <w:tc>
          <w:tcPr>
            <w:tcW w:w="14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(10 )  $</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(8 )</w:t>
            </w:r>
          </w:p>
        </w:tc>
      </w:tr>
    </w:tbl>
    <w:p>
      <w:pPr>
        <w:spacing w:after="0" w:line="242"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 xml:space="preserve">Other expense, net decreased $5 million during the year ended December 31, 2022 when compared to the same period in 2021, primarily due to a $5 million allowance for credit losses recorded on our long-term note receivable during 2021, which did not reoccur in 2022. Refer to “Note 17: </w:t>
      </w:r>
      <w:r>
        <w:rPr>
          <w:rFonts w:ascii="Arial" w:cs="Arial" w:eastAsia="Arial" w:hAnsi="Arial"/>
          <w:sz w:val="16"/>
          <w:szCs w:val="16"/>
          <w:i w:val="1"/>
          <w:iCs w:val="1"/>
          <w:color w:val="auto"/>
        </w:rPr>
        <w:t>Other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(Expense), Net</w:t>
      </w:r>
      <w:r>
        <w:rPr>
          <w:rFonts w:ascii="Arial" w:cs="Arial" w:eastAsia="Arial" w:hAnsi="Arial"/>
          <w:sz w:val="16"/>
          <w:szCs w:val="16"/>
          <w:color w:val="auto"/>
        </w:rPr>
        <w:t>” in the notes to our consolidated financial statements in Item 8 of this Annual Report on Form 10-K for additional information.</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336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(47 )  $</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8"/>
                <w:szCs w:val="18"/>
                <w:color w:val="auto"/>
              </w:rPr>
              <w:t>70.1 %</w:t>
            </w:r>
          </w:p>
        </w:tc>
        <w:tc>
          <w:tcPr>
            <w:tcW w:w="20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20.0 %</w:t>
            </w:r>
          </w:p>
        </w:tc>
        <w:tc>
          <w:tcPr>
            <w:tcW w:w="3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21.7 %</w:t>
            </w:r>
          </w:p>
        </w:tc>
      </w:tr>
      <w:tr>
        <w:trPr>
          <w:trHeight w:val="687"/>
        </w:trPr>
        <w:tc>
          <w:tcPr>
            <w:tcW w:w="4080" w:type="dxa"/>
            <w:vAlign w:val="bottom"/>
          </w:tcPr>
          <w:p>
            <w:pPr>
              <w:spacing w:after="0"/>
              <w:rPr>
                <w:sz w:val="24"/>
                <w:szCs w:val="24"/>
                <w:color w:val="auto"/>
              </w:rPr>
            </w:pPr>
          </w:p>
        </w:tc>
        <w:tc>
          <w:tcPr>
            <w:tcW w:w="2400" w:type="dxa"/>
            <w:vAlign w:val="bottom"/>
          </w:tcPr>
          <w:p>
            <w:pPr>
              <w:jc w:val="right"/>
              <w:ind w:right="670"/>
              <w:spacing w:after="0"/>
              <w:rPr>
                <w:sz w:val="20"/>
                <w:szCs w:val="20"/>
                <w:color w:val="auto"/>
              </w:rPr>
            </w:pPr>
            <w:r>
              <w:rPr>
                <w:rFonts w:ascii="Arial" w:cs="Arial" w:eastAsia="Arial" w:hAnsi="Arial"/>
                <w:sz w:val="18"/>
                <w:szCs w:val="18"/>
                <w:color w:val="auto"/>
              </w:rPr>
              <w:t>37</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692" w:right="279" w:bottom="1440" w:gutter="0" w:footer="0" w:header="0"/>
        </w:sectPr>
      </w:pPr>
    </w:p>
    <w:bookmarkStart w:id="39" w:name="page40"/>
    <w:bookmarkEnd w:id="39"/>
    <w:p>
      <w:pPr>
        <w:ind w:right="160" w:firstLine="509"/>
        <w:spacing w:after="0" w:line="259" w:lineRule="auto"/>
        <w:rPr>
          <w:sz w:val="20"/>
          <w:szCs w:val="20"/>
          <w:color w:val="auto"/>
        </w:rPr>
      </w:pPr>
      <w:r>
        <w:rPr>
          <w:rFonts w:ascii="Arial" w:cs="Arial" w:eastAsia="Arial" w:hAnsi="Arial"/>
          <w:sz w:val="18"/>
          <w:szCs w:val="18"/>
          <w:color w:val="auto"/>
        </w:rPr>
        <w:t xml:space="preserve">We recorded a total income tax provision of $47 million for the year ended December 31, 2022. The change in our income taxes and our effective tax rate during the year ended December 31, 2022, when compared to the same period in 2021, was primarily due to an increase in pretax income recognized during the year ended December 31, 2022. 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of this Annual Report on Form 10-K for further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34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4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(148 )  $</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(289 )</w:t>
            </w:r>
          </w:p>
        </w:tc>
        <w:tc>
          <w:tcPr>
            <w:tcW w:w="140" w:type="dxa"/>
            <w:vAlign w:val="bottom"/>
          </w:tcPr>
          <w:p>
            <w:pPr>
              <w:spacing w:after="0"/>
              <w:rPr>
                <w:sz w:val="21"/>
                <w:szCs w:val="2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Net income (loss) margin</w:t>
            </w:r>
          </w:p>
        </w:tc>
        <w:tc>
          <w:tcPr>
            <w:tcW w:w="7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20"/>
                <w:szCs w:val="20"/>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(16.4 %)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(47.8 %)</w:t>
            </w:r>
          </w:p>
        </w:tc>
      </w:tr>
    </w:tbl>
    <w:p>
      <w:pPr>
        <w:spacing w:after="0" w:line="214"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Net income (loss) improved $168 million during the year ended December 31, 2022 when compared to the same period in 2021, primarily due to an increase in revenue, as described in more detail above under “</w:t>
      </w:r>
      <w:r>
        <w:rPr>
          <w:rFonts w:ascii="Arial" w:cs="Arial" w:eastAsia="Arial" w:hAnsi="Arial"/>
          <w:sz w:val="17"/>
          <w:szCs w:val="17"/>
          <w:i w:val="1"/>
          <w:iCs w:val="1"/>
          <w:color w:val="auto"/>
        </w:rPr>
        <w:t>Revenue and Segment Information</w:t>
      </w:r>
      <w:r>
        <w:rPr>
          <w:rFonts w:ascii="Arial" w:cs="Arial" w:eastAsia="Arial" w:hAnsi="Arial"/>
          <w:sz w:val="17"/>
          <w:szCs w:val="17"/>
          <w:color w:val="auto"/>
        </w:rPr>
        <w:t>”, largely offset by an increase in selling and marketing expenses in response to increasing consumer travel demand as travel activity restrictions eased and the travel industry recovered, and to a lesser extent, an increase in personnel and overhead costs to support business growth during the consumer travel demand recovery and increased direct costs from credit card payment fees and other revenue-related transaction costs in direct correlation with the increase in revenue during the year ended December 31, 2022, all of which is described in more detail above under “</w:t>
      </w:r>
      <w:r>
        <w:rPr>
          <w:rFonts w:ascii="Arial" w:cs="Arial" w:eastAsia="Arial" w:hAnsi="Arial"/>
          <w:sz w:val="17"/>
          <w:szCs w:val="17"/>
          <w:i w:val="1"/>
          <w:iCs w:val="1"/>
          <w:color w:val="auto"/>
        </w:rPr>
        <w:t>Consolidated Expenses.</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long-lived asset, and intangible asset impairments; (6) legal reserves and settlements; (7) restructuring and other related reorganization costs; and (8) other non-recurring expenses and income.</w:t>
      </w:r>
    </w:p>
    <w:p>
      <w:pPr>
        <w:spacing w:after="0" w:line="178"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20" w:hanging="36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4" w:right="379" w:bottom="1440" w:gutter="0" w:footer="0" w:header="0"/>
        </w:sectPr>
      </w:pPr>
    </w:p>
    <w:bookmarkStart w:id="40" w:name="page41"/>
    <w:bookmarkEnd w:id="40"/>
    <w:p>
      <w:pPr>
        <w:ind w:left="1020" w:hanging="368"/>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39" w:lineRule="exact"/>
        <w:rPr>
          <w:rFonts w:ascii="Arial" w:cs="Arial" w:eastAsia="Arial" w:hAnsi="Arial"/>
          <w:sz w:val="16"/>
          <w:szCs w:val="16"/>
          <w:color w:val="auto"/>
        </w:rPr>
      </w:pPr>
    </w:p>
    <w:p>
      <w:pPr>
        <w:ind w:left="1020" w:hanging="368"/>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28" w:lineRule="exact"/>
        <w:rPr>
          <w:rFonts w:ascii="Arial" w:cs="Arial" w:eastAsia="Arial" w:hAnsi="Arial"/>
          <w:sz w:val="17"/>
          <w:szCs w:val="17"/>
          <w:color w:val="auto"/>
        </w:rPr>
      </w:pPr>
    </w:p>
    <w:p>
      <w:pPr>
        <w:ind w:left="1020" w:right="260" w:hanging="368"/>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4" w:lineRule="exact"/>
        <w:rPr>
          <w:rFonts w:ascii="Arial" w:cs="Arial" w:eastAsia="Arial" w:hAnsi="Arial"/>
          <w:sz w:val="18"/>
          <w:szCs w:val="18"/>
          <w:color w:val="auto"/>
        </w:rPr>
      </w:pPr>
    </w:p>
    <w:p>
      <w:pPr>
        <w:ind w:left="1020" w:right="20" w:hanging="36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61" w:lineRule="exact"/>
        <w:rPr>
          <w:rFonts w:ascii="Arial" w:cs="Arial" w:eastAsia="Arial" w:hAnsi="Arial"/>
          <w:sz w:val="18"/>
          <w:szCs w:val="18"/>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w:t>
      </w:r>
    </w:p>
    <w:p>
      <w:pPr>
        <w:spacing w:after="0" w:line="116" w:lineRule="exact"/>
        <w:rPr>
          <w:rFonts w:ascii="Arial" w:cs="Arial" w:eastAsia="Arial" w:hAnsi="Arial"/>
          <w:sz w:val="18"/>
          <w:szCs w:val="18"/>
          <w:color w:val="auto"/>
        </w:rPr>
      </w:pPr>
    </w:p>
    <w:p>
      <w:pPr>
        <w:ind w:left="1020" w:right="100" w:hanging="36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is unaudited and does not conform to SEC Regulation S-X, and as a result such information may be presented differently in our future filings with the SEC; and</w:t>
      </w:r>
    </w:p>
    <w:p>
      <w:pPr>
        <w:spacing w:after="0" w:line="61" w:lineRule="exact"/>
        <w:rPr>
          <w:rFonts w:ascii="Arial" w:cs="Arial" w:eastAsia="Arial" w:hAnsi="Arial"/>
          <w:sz w:val="18"/>
          <w:szCs w:val="18"/>
          <w:color w:val="auto"/>
        </w:rPr>
      </w:pPr>
    </w:p>
    <w:p>
      <w:pPr>
        <w:ind w:left="1020" w:hanging="36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6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840" w:type="dxa"/>
            <w:vAlign w:val="bottom"/>
            <w:shd w:val="clear" w:color="auto" w:fill="CFF0FC"/>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(148 )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(289 )</w:t>
            </w: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Add: Provision (benefit) for income taxes</w:t>
            </w: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(37 )</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(80 )</w:t>
            </w:r>
          </w:p>
        </w:tc>
      </w:tr>
      <w:tr>
        <w:trPr>
          <w:trHeight w:val="24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Add: Other expense (income), net</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1"/>
                <w:szCs w:val="21"/>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Add: Restructuring and other related reorganization costs</w:t>
            </w: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r>
      <w:tr>
        <w:trPr>
          <w:trHeight w:val="24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Add: Impairment of goodwill</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Add: Legal reserves and settlements</w:t>
            </w: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Add: Non-recurring expenses (income) (1)</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Add: Stock-based compensation</w:t>
            </w: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r>
      <w:tr>
        <w:trPr>
          <w:trHeight w:val="24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Add: Depreciation and amortization</w:t>
            </w:r>
          </w:p>
        </w:tc>
        <w:tc>
          <w:tcPr>
            <w:tcW w:w="8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Adjusted EBITDA</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(51 )</w:t>
            </w:r>
          </w:p>
        </w:tc>
      </w:tr>
      <w:tr>
        <w:trPr>
          <w:trHeight w:val="20"/>
        </w:trPr>
        <w:tc>
          <w:tcPr>
            <w:tcW w:w="5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-187960</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-187960</wp:posOffset>
            </wp:positionV>
            <wp:extent cx="5969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69" w:lineRule="exact"/>
        <w:rPr>
          <w:sz w:val="20"/>
          <w:szCs w:val="20"/>
          <w:color w:val="auto"/>
        </w:rPr>
      </w:pPr>
    </w:p>
    <w:p>
      <w:pPr>
        <w:jc w:val="both"/>
        <w:ind w:left="960" w:right="180" w:hanging="503"/>
        <w:spacing w:after="0" w:line="237" w:lineRule="auto"/>
        <w:tabs>
          <w:tab w:leader="none" w:pos="9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incurred a loss of approximately $8 million during the fourth quarter of 2022, as the result of a targeted payment fraud scheme by an external party, as discussed above. The Company considers such costs to be non-recurring in nature. To the extent the Company recovers any losses in future periods related to this incident, the Company plans to reduce Adjusted EBITDA by the recovery amount in that same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 xml:space="preserve">For a discussion of our liquidity and capital resources as of and our cash flow activities for the fiscal year ended December 31, 2021, see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of our Annual Report on Form 10-K for the year ended December 31, 2021, filed with the SEC on February 18, 2022.</w:t>
      </w:r>
    </w:p>
    <w:p>
      <w:pPr>
        <w:spacing w:after="0" w:line="183"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Our principal source of liquidity is cash flow generated from operations and our existing cash and cash equivalents balance. Our liquidity needs can also be met through drawdowns under the Credit Facility. As of December 31, 2022 and 2021, we had $1.0 billion and $723 million, respectively, of cash and cash equivalents, and $496 million of available borrowing capacity under our Credit Facility as of December 31, 2022. As of December 31, 2022, approximately $157 million of our cash and cash equivalents were held by our international subsidiaries outside of the U.S., of which approximately 40% was held in the U.K. As of December 31, 2022, the significant majority of our cash was denominated in U.S. dollars.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1" w:name="page42"/>
    <w:bookmarkEnd w:id="41"/>
    <w:p>
      <w:pPr>
        <w:ind w:right="40" w:firstLine="509"/>
        <w:spacing w:after="0" w:line="256" w:lineRule="auto"/>
        <w:rPr>
          <w:sz w:val="20"/>
          <w:szCs w:val="20"/>
          <w:color w:val="auto"/>
        </w:rPr>
      </w:pPr>
      <w:r>
        <w:rPr>
          <w:rFonts w:ascii="Arial" w:cs="Arial" w:eastAsia="Arial" w:hAnsi="Arial"/>
          <w:sz w:val="18"/>
          <w:szCs w:val="18"/>
          <w:color w:val="auto"/>
        </w:rPr>
        <w:t xml:space="preserve">As of December 31, 2022, we had $445 million of cumulative undistributed earnings in foreign subsidiaries which were no longer considered to be indefinitely reinvested. As of December 31, 2022, we maintained a deferred income tax liability on our consolidated balance sheet, which was not material, for the U.S. federal and state income tax and foreign withholding tax liabilities on the cumulative undistributed foreign earnings that we no longer consider indefinitely reinvested. 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of this Annual Report on Form 10-K for further information.</w:t>
      </w:r>
    </w:p>
    <w:p>
      <w:pPr>
        <w:spacing w:after="0" w:line="191" w:lineRule="exact"/>
        <w:rPr>
          <w:sz w:val="20"/>
          <w:szCs w:val="20"/>
          <w:color w:val="auto"/>
        </w:rPr>
      </w:pPr>
    </w:p>
    <w:p>
      <w:pPr>
        <w:jc w:val="both"/>
        <w:ind w:right="80" w:firstLine="509"/>
        <w:spacing w:after="0" w:line="286" w:lineRule="auto"/>
        <w:rPr>
          <w:sz w:val="20"/>
          <w:szCs w:val="20"/>
          <w:color w:val="auto"/>
        </w:rPr>
      </w:pPr>
      <w:r>
        <w:rPr>
          <w:rFonts w:ascii="Arial" w:cs="Arial" w:eastAsia="Arial" w:hAnsi="Arial"/>
          <w:sz w:val="17"/>
          <w:szCs w:val="17"/>
          <w:color w:val="auto"/>
        </w:rPr>
        <w:t>As of December 31, 2022, we are party to the Credit Facility, which, among other things, provides for a $500 million revolving credit facility with a maturity date of May 12, 2024. The Company may borrow from the Credit Facility in U.S. dollars and Euros. The Credit Facility requires us to maintain a maximum leverage ratio and contains certain customary affirmative covenants and events of default, including a change of control.</w:t>
      </w:r>
    </w:p>
    <w:p>
      <w:pPr>
        <w:spacing w:after="0" w:line="16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amended the Credit Facility in May 2020 and December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(the “Leverage Covenant Holiday”) will be reinstated.</w:t>
      </w:r>
    </w:p>
    <w:p>
      <w:pPr>
        <w:spacing w:after="0" w:line="19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Company remained in the Leverage Covenant Holiday as of December 31, 2022.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2.00% with a London Inter-Bank Offered Rate (“LIBO rate”) floor of 1.00% per annum; or (ii) the Alternate Base Rate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In addition, based on the Company’s existing leverage ratio, we are required to pay a quarterly commitment fee, at an applicable rate ranging from 0.15% to 0.30% as of December 31, 2022, on the daily unused portion of the Credit Facility for each fiscal quarter during the Leverage Covenant Holiday and in connection with the issuance of letters of credit. The Credit Facility includes restrictions on the Company’s ability to make certain payments and distributions, including share repurchases and dividends.</w:t>
      </w:r>
    </w:p>
    <w:p>
      <w:pPr>
        <w:spacing w:after="0" w:line="182"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As of December 31, 2022 and 2021, we had no outstanding borrowings and were in compliance with our covenant requirements in effect under the Credit Facility. While there can be no assurance that we will be able to meet the leverage ratio covenant after the Leverage Covenant Holiday ceases, based on our current projections, we do not believe there is a material risk we will not remain in compliance throughout the next twelve months.</w:t>
      </w:r>
    </w:p>
    <w:p>
      <w:pPr>
        <w:spacing w:after="0" w:line="148"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As of December 31, 2022, the Company had $845 million in long-term debt, as a result of the issuance of our 2025 Senior Notes in July 2020 and 2026 Senior Notes in March 2021, as discussed below.</w:t>
      </w:r>
    </w:p>
    <w:p>
      <w:pPr>
        <w:spacing w:after="0" w:line="16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July 2020, the Company completed the sale of $500 million of our 2025 Senior Notes. The 2025 Senior Notes provide, among other things, that interest, at an interest rate of 7.0% per annum, is payable on January 15 and July 15 of each year, which began on January 15, 2021, until their maturity on July 15, 2025. The 2025 Senior Notes are senior unsecured obligations of the Company and are guaranteed by certain of the Company’s domestic subsidiaries.</w:t>
      </w:r>
    </w:p>
    <w:p>
      <w:pPr>
        <w:spacing w:after="0" w:line="18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March 2021, the Company completed the sale of $345 million of our 2026 Senior Notes. The 2026 Senior Notes provide, among other things, that interest, at an interest rate of 0.25% per annum, is payable on April 1 and October 1 of each year, which began on October 1, 2021, until their maturity on April 1, 2026. Concurrently, the Company used a portion of the proceeds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proceeds from this offering for general corporate purposes, which may include repayment of debt, including the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color w:val="auto"/>
        </w:rPr>
        <w:t>partial redemption and/or purchase of the 2025 Senior Notes prior to maturity. The 2026 Senior Notes are senior unsecured obligations of the Company and are guaranteed by certain of the Company’s domestic subsidiaries.</w:t>
      </w:r>
    </w:p>
    <w:p>
      <w:pPr>
        <w:spacing w:after="0" w:line="16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2025 Senior Notes and 2026 Senior Notes are not registered securities and there are currently no plans to register these notes as securities in the future. We may from time to time repurchase our outstanding 2025 Senior Notes or 2026 Senior Notes through tender offers, open market purchases, privately negotiated transactions or otherwise. Such repurchases, if any, will depend on prevailing market conditions, our liquidity requirements, contractual restrictions and other factors.</w:t>
      </w:r>
    </w:p>
    <w:p>
      <w:pPr>
        <w:spacing w:after="0" w:line="185"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 xml:space="preserve">For further information on the Credit Facility, 2025 Senior Notes, and 2026 Senior Notes, refer to “Note 9: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consolidated financial statements in Item 8 of this Annual Report on Form 10-K.</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Significant uses of capital and other liquidity matters</w:t>
      </w:r>
    </w:p>
    <w:p>
      <w:pPr>
        <w:spacing w:after="0" w:line="225" w:lineRule="exact"/>
        <w:rPr>
          <w:sz w:val="20"/>
          <w:szCs w:val="20"/>
          <w:color w:val="auto"/>
        </w:rPr>
      </w:pPr>
    </w:p>
    <w:p>
      <w:pPr>
        <w:ind w:right="180" w:firstLine="509"/>
        <w:spacing w:after="0" w:line="296" w:lineRule="auto"/>
        <w:rPr>
          <w:sz w:val="20"/>
          <w:szCs w:val="20"/>
          <w:color w:val="auto"/>
        </w:rPr>
      </w:pPr>
      <w:r>
        <w:rPr>
          <w:rFonts w:ascii="Arial" w:cs="Arial" w:eastAsia="Arial" w:hAnsi="Arial"/>
          <w:sz w:val="16"/>
          <w:szCs w:val="16"/>
          <w:color w:val="auto"/>
        </w:rPr>
        <w:t>During the year ended December 31, 2020, we repurchased 4,707,450 shares of the Company’s outstanding common stock at an aggregate cost of $115 million, under our share repurchase program. The Company did not repurchase any shares of outstanding common stock under the share repurchase program during 2022 or 2021 and had $75 million remaining available to repurchase shares of our common stock as of December 31, 2022. The terms of our Credit Agreement were amended to limit the Company from share repurchases during the Leverage Covenant Holiday and the terms of the 2025 Indenture related to the 2025 Senior Notes also impose certain limitations and restrictions on share repurchases.</w:t>
      </w:r>
    </w:p>
    <w:p>
      <w:pPr>
        <w:spacing w:after="0" w:line="160"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 xml:space="preserve">Our business typically experiences seasonal fluctuations that affect the timing of our annual cash flows during the year related to working capital. From our experience bookings, we receive cash from travelers at the time of booking or prior to the occurrence of an experience, and we record these amounts, net of commissions, on our consolidated balance sheet as deferred merchant payables. We pay the operator, or the experience supplier, after the travelers’ use. Therefore, we generally receive cash from the traveler prior to paying the operator and this operating cycle represents a source or use of cash to us. During the first half of the year, experiences bookings typically exceed the amount of completed experiences, resulting in higher cash flow related to working capital, while during the second half of the year, </w:t>
      </w:r>
      <w:r>
        <w:rPr>
          <w:rFonts w:ascii="Arial" w:cs="Arial" w:eastAsia="Arial" w:hAnsi="Arial"/>
          <w:sz w:val="18"/>
          <w:szCs w:val="18"/>
          <w:color w:val="231F20"/>
        </w:rPr>
        <w:t>particularly in the third quarter,</w:t>
      </w:r>
      <w:r>
        <w:rPr>
          <w:rFonts w:ascii="Arial" w:cs="Arial" w:eastAsia="Arial" w:hAnsi="Arial"/>
          <w:sz w:val="18"/>
          <w:szCs w:val="18"/>
          <w:color w:val="auto"/>
        </w:rPr>
        <w:t xml:space="preserve"> this pattern reverses and cash flows from these transactions are typically negative.</w:t>
      </w:r>
    </w:p>
    <w:p>
      <w:pPr>
        <w:spacing w:after="0" w:line="193"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Certain factors may impact our typical seasonal fluctuations, which may include any significant shifts in our business mix or adverse economic conditions that could result in future seasonal patterns that are different from historical trends. For example, the negative impact to our business from COVID-19 materially affected our historical trends at varying levels during the years ended December 31, 2021 and 2020, while these trends significantly improved during the year ended December 31, 2022, resulting in increased revenues, and working capital and operating cash flow more akin to typical historical trends. In addition, new or different payment options offered to our customers could impact the timing of cash flows. For example, our “Reserve Now, Pay Later” payment option available in our Viator segment, which allows travelers the option to reserve certain experiences and defer payment until a date no later than two days before the experience date, which although not used in a majority of bookings to date, may continue to increase, and affect the timing of our future cash flows and working capital.</w:t>
      </w:r>
    </w:p>
    <w:p>
      <w:pPr>
        <w:spacing w:after="0" w:line="182"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 xml:space="preserve">As discussed in “Note 11: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consolidated financial statements in Item 8 of this Annual Report on Form 10-K, we have received Notices of Proposed Adjustments issued by the IRS for tax years 2009 through 2011, and 2014 through 2016, as of December 31, 2022. The statute of limitation of assessment for all years subject to the Notices of Proposed Adjustment remain open. These proposed adjustments are related to certain transfer pricing arrangements with our foreign subsidiaries and would result in an increase to our worldwide income tax expense, for the open tax years, in an estimated range of $85 million to $95 million, exclusive of interest expense, at the close of the audit if the IRS prevails. In January 2023, we received a final notice regarding a MAP settlement for the 2009 through 2011 tax years, which we accepted in February 2023. Accepting this MAP settlement will result in an estimated net cash outflow of $70 million to $80 million, inclusive of related interest expense, expected during 2023. In the first quarter of 2023, we will record additional tax expense as a discrete item, inclusive of interest, in an estimated range of $25 million to $35 million specifically related to this settlement. This MAP settlement supersedes the Notices of Proposed Adjustment for 2009 through 2011 from the IRS, described above. We will review the impact of the acceptance of this settlement position to our transfer pricing income tax</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ind w:right="320"/>
        <w:spacing w:after="0" w:line="277" w:lineRule="auto"/>
        <w:rPr>
          <w:sz w:val="20"/>
          <w:szCs w:val="20"/>
          <w:color w:val="auto"/>
        </w:rPr>
      </w:pPr>
      <w:r>
        <w:rPr>
          <w:rFonts w:ascii="Arial" w:cs="Arial" w:eastAsia="Arial" w:hAnsi="Arial"/>
          <w:sz w:val="18"/>
          <w:szCs w:val="18"/>
          <w:color w:val="auto"/>
        </w:rPr>
        <w:t>reserves for the subsequent tax years during the first quarter of 2023. Based on this new information received subsequent to year end, adjustments may occur, which could be material.</w:t>
      </w:r>
    </w:p>
    <w:p>
      <w:pPr>
        <w:spacing w:after="0" w:line="169"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In addition, we received from HMRC in the U.K. an issue closure notice relating to adjustments for 2012 through 2016 tax years, as of December 31, 2022. These proposed adjustments are related to certain transfer pricing arrangements with our foreign subsidiaries and would result in an increase to our worldwide income tax expense in an estimated range of $25 million to $35 million, exclusive of interest expense and potential U.S. transition tax adjustments, at the close of the audit if HMRC prevails. We disagree with the proposed adjustments and we intend to defend our positions through applicable administrative and, if necessary, judicial remedies.</w:t>
      </w:r>
    </w:p>
    <w:p>
      <w:pPr>
        <w:spacing w:after="0" w:line="19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Although the ultimate timing for resolution of certain of these income tax matters is uncertain, any future payments would negatively and materially impact our operating cash flows.</w:t>
      </w:r>
    </w:p>
    <w:p>
      <w:pPr>
        <w:spacing w:after="0" w:line="16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CARES Act, enacted in March 2020, made tax law changes to provide financial relief to companies as a result of the impact to businesses related to COVID-19. Key income tax provisions of the CARES Act include changes in NOL carryback and carryforward rules, increase of the net interest expense deduction limit, and immediate write-off of qualified improvement property. The CARES Act allowed the Company to carry back U.S. federal NOLs incurred in 2020, generating an expected U.S. federal tax benefit of $76 million, of which $64 million was refunded during the year ended December 31, 2022. The remaining refund of $12 million is included in current income taxes payable within accrued expenses and other current liabilities on our consolidated balance sheet as of December 31, 2022 and is expected to be received during the year ended December 31, 2023. In addition, $25 million of this refund received during the year ended December 31, 2022, was recorded to long-term taxes payable within other long-term liabilities on our consolidated balance sheet as of December 31, 2022, which reflects future transition tax payments expected to be made by the Company related to the Tax Cuts and Jobs Act of 2017 (the “2017 Tax Act”).</w:t>
      </w:r>
    </w:p>
    <w:p>
      <w:pPr>
        <w:spacing w:after="0" w:line="178"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spacing w:after="0" w:line="156"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our consolidated statements of cash flows, are summarized in the following table:</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80" w:type="dxa"/>
            <w:vAlign w:val="bottom"/>
          </w:tcPr>
          <w:p>
            <w:pPr>
              <w:spacing w:after="0"/>
              <w:rPr>
                <w:sz w:val="20"/>
                <w:szCs w:val="20"/>
                <w:color w:val="auto"/>
              </w:rPr>
            </w:pPr>
            <w:r>
              <w:rPr>
                <w:rFonts w:ascii="Arial" w:cs="Arial" w:eastAsia="Arial" w:hAnsi="Arial"/>
                <w:sz w:val="18"/>
                <w:szCs w:val="18"/>
                <w:color w:val="auto"/>
              </w:rPr>
              <w:t>Operating activities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(194 )</w:t>
            </w:r>
          </w:p>
        </w:tc>
      </w:tr>
      <w:tr>
        <w:trPr>
          <w:trHeight w:val="24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(52 )</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(56 )</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Financing activities</w:t>
            </w:r>
          </w:p>
        </w:tc>
        <w:tc>
          <w:tcPr>
            <w:tcW w:w="840" w:type="dxa"/>
            <w:vAlign w:val="bottom"/>
          </w:tcPr>
          <w:p>
            <w:pPr>
              <w:spacing w:after="0"/>
              <w:rPr>
                <w:sz w:val="20"/>
                <w:szCs w:val="20"/>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ind w:right="440" w:firstLine="509"/>
        <w:spacing w:after="0" w:line="286" w:lineRule="auto"/>
        <w:rPr>
          <w:sz w:val="20"/>
          <w:szCs w:val="20"/>
          <w:color w:val="auto"/>
        </w:rPr>
      </w:pPr>
      <w:r>
        <w:rPr>
          <w:rFonts w:ascii="Arial" w:cs="Arial" w:eastAsia="Arial" w:hAnsi="Arial"/>
          <w:sz w:val="17"/>
          <w:szCs w:val="17"/>
          <w:color w:val="auto"/>
        </w:rPr>
        <w:t>During the year ended December 31, 2022, our primary source of cash was from operations, while our primary use of cash was from financing activities (including payment of withholding taxes on net share settlements of equity awards of $20 million) and investing activities (including capital expenditures of $56 million). This use of cash was funded with cash and cash equivalents, and operating cash flows.</w:t>
      </w:r>
    </w:p>
    <w:p>
      <w:pPr>
        <w:spacing w:after="0" w:line="16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Net cash provided by operating activities for the year ended December 31, 2022, increased by $292 million when compared to the same period in 2021, primarily due to a decrease in net losses of $168 million and an increase in working capital of $154 million. The increase in working capital was driven primarily by a $64 million U.S. federal tax refund related to the CARES Act, an increase of $42 million related to the timing of vendor payments due to increased selling and marketing costs, and to a lesser extent, an increase of $18 million in deferred merchant payables reflecting the timing of when cash was received from travelers, principally due to an increase in experiences bookings, net of cancellations, which exceeded our payments to experience operators. These increases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right="200"/>
        <w:spacing w:after="0" w:line="286" w:lineRule="auto"/>
        <w:rPr>
          <w:sz w:val="20"/>
          <w:szCs w:val="20"/>
          <w:color w:val="auto"/>
        </w:rPr>
      </w:pPr>
      <w:r>
        <w:rPr>
          <w:rFonts w:ascii="Arial" w:cs="Arial" w:eastAsia="Arial" w:hAnsi="Arial"/>
          <w:sz w:val="17"/>
          <w:szCs w:val="17"/>
          <w:color w:val="auto"/>
        </w:rPr>
        <w:t>were partially offset by the increase in accounts receivable related to increased billings, reflective of the increasing consumer demand for travel activities during the year, as well as, and to a lesser extent, a decrease in non-cash items of $30 million which was primarily due to a decrease in stock-based compensation expense and depreciation and amortization, partially offset by a decrease in deferred income tax benefits.</w:t>
      </w:r>
    </w:p>
    <w:p>
      <w:pPr>
        <w:spacing w:after="0" w:line="164"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Net cash used in investing activities for the year ended December 31, 2022 decreased by $2 million when compared to the same period in 2021, as capital expenditures by the Company were materially consistent in both fiscal years.</w:t>
      </w:r>
    </w:p>
    <w:p>
      <w:pPr>
        <w:spacing w:after="0" w:line="16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Net cash provided by financing activities for the year ended December 31, 2022 decreased by $290 million when compared to the same period in 2021, primarily due to proceeds received from the issuance of our 2026 Senior Notes of $340 million, net of financing costs, partially offset by payments of $35 million for the Capped Calls in connection with our 2026 Senior Notes during the first quarter of 2021, both of which did not reoccur during the year ended December 31, 2022, and to a lesser extent, cash received for stock option exercises of $8 million during the year ended December 31, 2021, partially offset by a decrease in payment of withholding taxes on net share settlements of equity awards of $24 million during the year ended December 31, 2022 when compared to the same period in 2021.</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current and long-term material cash requirements, both accrued and off-balance sheet,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5"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By Period</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0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w w:val="91"/>
              </w:rPr>
              <w:t>Less than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8"/>
              </w:rPr>
              <w:t>1 to 3 years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0"/>
              </w:rPr>
              <w:t>3 to 5 years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53"/>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top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w w:val="99"/>
              </w:rPr>
              <w:t>(in millions)</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2025 Senior Notes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interest payments on 2025 Senior Notes (2)</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2026 Senior Notes (3)</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interest payments on 2026 Senior Notes (4)</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Finance lease obligations (5)</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obligations (6)</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Expected commitment fee payments on Credit Facility (7)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Purchase obligations and other (8)</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Total (9)(10)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-187960</wp:posOffset>
            </wp:positionV>
            <wp:extent cx="685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-187960</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5969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-187960</wp:posOffset>
            </wp:positionV>
            <wp:extent cx="5969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-187960</wp:posOffset>
            </wp:positionV>
            <wp:extent cx="5969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76"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outstanding principal on our 2025 Senior Notes due July 2025 and assumes that our existing debt is repaid at maturity.</w:t>
      </w:r>
    </w:p>
    <w:p>
      <w:pPr>
        <w:ind w:left="1020" w:hanging="503"/>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Expected interest payments on our 2025 Senior Notes are based on a fixed interest rate of 7.0%, as of December 31, 2022 and assumes that our existing debt is repaid at maturity.</w:t>
      </w:r>
    </w:p>
    <w:p>
      <w:pPr>
        <w:spacing w:after="0" w:line="10" w:lineRule="exact"/>
        <w:rPr>
          <w:rFonts w:ascii="Arial" w:cs="Arial" w:eastAsia="Arial" w:hAnsi="Arial"/>
          <w:sz w:val="12"/>
          <w:szCs w:val="12"/>
          <w:color w:val="auto"/>
        </w:rPr>
      </w:pPr>
    </w:p>
    <w:p>
      <w:pPr>
        <w:ind w:left="1020" w:hanging="503"/>
        <w:spacing w:after="0" w:line="221" w:lineRule="auto"/>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outstanding principal on our 2026 Senior Notes due April 2026 and assumes that our existing debt is repaid at maturity.</w:t>
      </w:r>
    </w:p>
    <w:p>
      <w:pPr>
        <w:ind w:left="1020" w:right="460" w:hanging="503"/>
        <w:spacing w:after="0" w:line="221" w:lineRule="auto"/>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Expected interest payments on our 2026 Senior Notes are based on a fixed interest rate of 0.25%, as of December 31, 2022 and assumes that our existing debt is repaid at maturity.</w:t>
      </w:r>
    </w:p>
    <w:p>
      <w:pPr>
        <w:ind w:left="1020" w:hanging="503"/>
        <w:spacing w:after="0" w:line="238" w:lineRule="auto"/>
        <w:tabs>
          <w:tab w:leader="none" w:pos="10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Estimated future lease payments for our Headquarters Lease in Needham, Massachusetts. These amounts exclude expected rental income under non-cancelable subleases.</w:t>
      </w:r>
    </w:p>
    <w:p>
      <w:pPr>
        <w:ind w:left="1020" w:right="60" w:hanging="503"/>
        <w:spacing w:after="0" w:line="221" w:lineRule="auto"/>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Estimated future lease payments for our operating leases, primarily for office space, with non-cancelable lease terms. These amounts exclude expected rental income under non-cancelable subleases.</w:t>
      </w:r>
    </w:p>
    <w:p>
      <w:pPr>
        <w:ind w:left="1020" w:right="180" w:hanging="503"/>
        <w:spacing w:after="0" w:line="221" w:lineRule="auto"/>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Expected commitment fee payments are based on the daily unused portion of the Credit Facility, issued letters of credit, and the effective commitment fee rate as of December 31, 2022; however, these variables could change significantly in the future.</w:t>
      </w:r>
    </w:p>
    <w:p>
      <w:pPr>
        <w:ind w:left="1020" w:right="160" w:hanging="503"/>
        <w:spacing w:after="0" w:line="221" w:lineRule="auto"/>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Estimated purchase obligations that are fixed and determinable, primarily related to telecommunication and licensing contracts, with various expiration dates through approximately June 2029.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ind w:left="1020" w:right="20" w:hanging="503"/>
        <w:spacing w:after="0" w:line="221" w:lineRule="auto"/>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Excluded from the table was $204 million of unrecognized tax benefits, including interest, which is included in other long-term liabilities on our consolidated balance sheet as of December 31, 2022, for which we cannot make a reasonably reliable estimate of the amount and period of payment.</w:t>
      </w:r>
    </w:p>
    <w:p>
      <w:pPr>
        <w:ind w:left="1020" w:hanging="503"/>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Excluded from the table was $4 million of undrawn standby letters of credit, primarily as security deposits for certain property leases as of December 31, 2022.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5" w:name="page46"/>
    <w:bookmarkEnd w:id="45"/>
    <w:p>
      <w:pPr>
        <w:ind w:right="260" w:firstLine="509"/>
        <w:spacing w:after="0" w:line="341" w:lineRule="auto"/>
        <w:rPr>
          <w:sz w:val="20"/>
          <w:szCs w:val="20"/>
          <w:color w:val="auto"/>
        </w:rPr>
      </w:pPr>
      <w:r>
        <w:rPr>
          <w:rFonts w:ascii="Arial" w:cs="Arial" w:eastAsia="Arial" w:hAnsi="Arial"/>
          <w:sz w:val="16"/>
          <w:szCs w:val="16"/>
          <w:color w:val="auto"/>
        </w:rPr>
        <w:t>As of December 31, 2022, other than the items discussed above, we did not have any off-balance sheet arrangements, that have, or are reasonably likely to have, a current or future effect on our financial condition, results of operations, liquidity, capital expenditures or capital resources.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Office Lease Commitments</w:t>
      </w:r>
    </w:p>
    <w:p>
      <w:pPr>
        <w:spacing w:after="0" w:line="33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As of December 31, 2022, we leased approximately 280,000 square feet of office space for our corporate headquarters in Needham, Massachusetts. Our Headquarters Lease, has an expiration date of December 2030, with an option to extend the lease term for two consecutive terms of five years each. We account for our Headquarters Lease as a finance lease as of December 31, 2022.</w:t>
      </w:r>
    </w:p>
    <w:p>
      <w:pPr>
        <w:spacing w:after="0" w:line="183"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In addition to our Headquarters Lease, we have contractual obligations in the form of operating leases for office space, in which we lease an aggregate of approximately 400,000 square feet, at approximately 30 other locations across North America, Europe, Asia Pacific and South America, in cities such as New York, London, Sydney, Barcelona, Buenos Aires, and Paris, primarily used for sales offices, subsidiary headquarters, and international management teams, pursuant to leases with various expiration dates, with the latest expiring in July 2027.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5"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9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By virtue of consolidated income tax returns previously filed with Expedia, we are currently under an IRS audit for the 2009, 2010 and short-period 2011 tax years. We are separately under examination by the IRS for the 2014 through 2016, and 2018 tax years, and have various ongoing audits for foreign and state income tax returns. These audits include questioning the timing and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2022, no material assessments have resulted, except as noted below regarding our 2009, 2010, and 2011 IRS audit with Expedia, our 2014 through 2016 standalone IRS audit, and our 2012 through 2016 HM Revenue &amp; Customs (“HMRC”) audit.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firstLine="509"/>
        <w:spacing w:after="0" w:line="285"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August 2020, we received Notices of Proposed Adjustment from the IRS for the 2014, 2015, and 2016 tax years. The statute of limitation of assessment for all years subject to the Notices of Proposed Adjustment outlined above remain open. These proposed adjustments are related to certain transfer pricing arrangements with our foreign subsidiaries and would result in an increase to our worldwide income tax expense, for the open tax years, in an estimated range of $85 million to $95 million at the close of the audit if the IRS prevails, which includes $20 million to $30 million related to the 2009 through 2011 pre Spin-Off tax years. The estimated ranges take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the open years outlined above, if the IRS were to seek transfer pricing adjustments of a similar nature for transactions in subsequent years, we would be subject to significant additional tax liabilities. We have previously requested competent authority assistance under the MAP for open tax years 2009 through 2011 and 2014 through 2016. In January 2023, we received a final notice regarding a MAP settlement for the 2009 through 2011 tax years, which we accepted in February 2023. In the first quarter of 2023, we will record additional tax expense as a discrete item, inclusive of interest, in an estimated range of $25 million to $35 million specifically related to this settlement. This MAP settlement supersedes the Notices of Proposed Adjustment for 2009 through 2011 from the IRS, described above. We will review the impact of the acceptance of this settlement position to our transfer pricing income tax reserves for the subsequent tax years during the first quarter of 2023. Based on this new information received subsequent to year end, adjustments may occur, which could be material.</w:t>
      </w:r>
    </w:p>
    <w:p>
      <w:pPr>
        <w:spacing w:after="0" w:line="169"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color w:val="auto"/>
        </w:rPr>
        <w:t>In January 2021, we received an issue closure notice relating to adjustments for 2012 through 2016 tax years from HMRC. These proposed adjustments are related to certain transfer pricing arrangements with our foreign subsidiaries and would result in an increase to our worldwide income tax expense in an estimated range of $25 million to $35 million, exclusive of interest expense and potential U.S. transition tax adjustments,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63"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Over the last several years, the OECD has been working on a Base Erosion and Profit Shifting Project to address the tax challenges arising from digitalization. The OECD/G20 Inclusive Framework has issued various guidelines, policy notes, and proposals that if adopted could result in an overhaul of the international taxation system under which our current tax obligations are determined. In October 2021, more than 130 countries tentatively signed on to a framework,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 taxes. As this framework is subject to further negotiation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such as France, Italy, Spain, and the U.K., will continue to impose these revenue-based taxes until implementation of the consensus framework. During the years ended December 31, 2022, 2021 and 2020, we recorded $9 million, $1 million and $2 million, respectively, of digital service tax to general and administrative expense on our consolidated statement of operations.</w:t>
      </w:r>
    </w:p>
    <w:p>
      <w:pPr>
        <w:spacing w:after="0" w:line="16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tax liability has been accrued which was not material as of December 31, 2022. As of December 31, 2022, $445 million of our cumulative undistributed foreign earnings were no longer considered to be indefinitely reinvested.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right="60" w:firstLine="509"/>
        <w:spacing w:after="0" w:line="263"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of this Annual Report on Form 10-K for further information on potential tax contingencies, including current audits by the IRS and various other domestic and foreign tax authorities, and other income tax and non-income tax matters.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 xml:space="preserve">For information on our related party transactions, refer to “Note 18: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financial statements in Item 8 of this Annual Report on Form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7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There are certain critical estimates that we believe require that management use significant judgment and estimates in applying those policies in the preparation of our consolidated financial statements. We consider an accounting estimate to be critical if:</w:t>
      </w:r>
    </w:p>
    <w:p>
      <w:pPr>
        <w:spacing w:after="0" w:line="62" w:lineRule="exact"/>
        <w:rPr>
          <w:sz w:val="20"/>
          <w:szCs w:val="20"/>
          <w:color w:val="auto"/>
        </w:rPr>
      </w:pPr>
    </w:p>
    <w:p>
      <w:pPr>
        <w:ind w:left="760" w:right="300" w:hanging="378"/>
        <w:spacing w:after="0" w:line="25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ind w:left="760" w:right="40" w:hanging="378"/>
        <w:spacing w:after="0" w:line="260"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4"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financial statements in Item 8 of this Annual Report on Form 10-K for an overview of our significant accounting policies and any new accounting pronouncements that we have adopted or that we plan to adopt that have had or may have an impact on our financial statements.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discussion of information about the nature and rationale for our critical accounting estimates is below:</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As of December 31, 2022, we had a valuation allowance of approximately $114 million related to certain NOL carryforwards and other foreign deferred tax assets for which it is more likely than not, the tax benefit will not be realized. We classify deferred tax assets and liabilities as noncurrent on our consolidated balance sheet.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74"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line="301" w:lineRule="auto"/>
        <w:rPr>
          <w:sz w:val="20"/>
          <w:szCs w:val="20"/>
          <w:color w:val="auto"/>
        </w:rPr>
      </w:pPr>
      <w:r>
        <w:rPr>
          <w:rFonts w:ascii="Arial" w:cs="Arial" w:eastAsia="Arial" w:hAnsi="Arial"/>
          <w:sz w:val="16"/>
          <w:szCs w:val="16"/>
          <w:color w:val="auto"/>
        </w:rPr>
        <w:t>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56"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of this Annual Report on Form 10-K and “Contingencies” above for further information, including certain uncertainties, estimates, and potential contingencies related to ongoing audits regarding income taxes.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229"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2025 Senior Notes and 2026 Senior Notes,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63" w:lineRule="exact"/>
        <w:rPr>
          <w:sz w:val="20"/>
          <w:szCs w:val="20"/>
          <w:color w:val="auto"/>
        </w:rPr>
      </w:pPr>
    </w:p>
    <w:p>
      <w:pPr>
        <w:ind w:right="480" w:firstLine="509"/>
        <w:spacing w:after="0" w:line="286" w:lineRule="auto"/>
        <w:rPr>
          <w:sz w:val="20"/>
          <w:szCs w:val="20"/>
          <w:color w:val="auto"/>
        </w:rPr>
      </w:pPr>
      <w:r>
        <w:rPr>
          <w:rFonts w:ascii="Arial" w:cs="Arial" w:eastAsia="Arial" w:hAnsi="Arial"/>
          <w:sz w:val="17"/>
          <w:szCs w:val="17"/>
          <w:color w:val="auto"/>
        </w:rPr>
        <w:t>For a discussion of market conditions and impacts on our financials resulting from the COVID-19 pandemic, refer to Part I,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Part II,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“Note 1:</w:t>
      </w:r>
      <w:r>
        <w:rPr>
          <w:rFonts w:ascii="Arial" w:cs="Arial" w:eastAsia="Arial" w:hAnsi="Arial"/>
          <w:sz w:val="17"/>
          <w:szCs w:val="17"/>
          <w:i w:val="1"/>
          <w:iCs w:val="1"/>
          <w:color w:val="auto"/>
        </w:rPr>
        <w:t xml:space="preserve"> Organization </w:t>
      </w:r>
      <w:r>
        <w:rPr>
          <w:rFonts w:ascii="Arial" w:cs="Arial" w:eastAsia="Arial" w:hAnsi="Arial"/>
          <w:sz w:val="17"/>
          <w:szCs w:val="17"/>
          <w:color w:val="auto"/>
        </w:rPr>
        <w:t>and</w:t>
      </w:r>
      <w:r>
        <w:rPr>
          <w:rFonts w:ascii="Arial" w:cs="Arial" w:eastAsia="Arial" w:hAnsi="Arial"/>
          <w:sz w:val="17"/>
          <w:szCs w:val="17"/>
          <w:i w:val="1"/>
          <w:iCs w:val="1"/>
          <w:color w:val="auto"/>
        </w:rPr>
        <w:t xml:space="preserve"> Business Description</w:t>
      </w:r>
      <w:r>
        <w:rPr>
          <w:rFonts w:ascii="Arial" w:cs="Arial" w:eastAsia="Arial" w:hAnsi="Arial"/>
          <w:sz w:val="17"/>
          <w:szCs w:val="17"/>
          <w:color w:val="auto"/>
        </w:rPr>
        <w:t>” in the notes to our consolidated financial statements in Item 8, in this Annual Report on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Our primary exposure to changes in interest rates relates primarily to our cash, cash equivalents, investment portfolio at any point in time, 2025 and 2026 Senior Notes, and borrowings, if any, under our existing Credit Facility.</w:t>
      </w:r>
    </w:p>
    <w:p>
      <w:pPr>
        <w:spacing w:after="0" w:line="169"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Changes in interest rates affect the amount of interest earned on our cash, cash equivalents, and marketable securities, if any, and the fair value of those securities. Our interest income and expense is most sensitive to fluctuations in U.S. interest rates. We generally invest our excess cash in bank deposits at major global banks, money market funds, and marketable securities. Our investment policy and strategy are focused on preservation of capital and supporting our liquidity requirements. We invest in highly-rated securities, and our investment policy limits the amount of credit exposure to any one issuer. Our investment policy requires our investments to be investment grade, with the primary objective of minimizing the potential risk of principal loss.</w:t>
      </w:r>
    </w:p>
    <w:p>
      <w:pPr>
        <w:spacing w:after="0" w:line="16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As of December 31, 2022 and 2021, respectively, we had no outstanding marketable securities in our investment portfolio, and no outstanding borrowings under our Credit Facility. In July 2020, we issued 2025 Senior Notes with a principal balance of $500 million at a fixed rate of 7.0% and in March 2021, we issued 2026 Senior Notes with a principal balance of $345 million at a fixed rate of 0.25%. As of December 31, 2022, the fair value of our 2025 Senior Notes and 2026 Senior Notes were approximately $498 million and $281 million, respectively, based on recently reported market transactions and prices for identical or similar financial instruments obtained from a third-party pricing source. Since our 2025 Senior Notes and 2026 Senior Notes bear interest at a fixed rate, we are more sensitive to the capital market conditions of our shares than changes in interest rates. The fair value of the 2025 Senior Notes and 2026 Senior Notes will likely change based on the capital market conditions.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140" w:firstLine="509"/>
        <w:spacing w:after="0" w:line="263"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consolidated financial statements in Item 8 of this Annual Report on Form 10-K for further information on our cash and cash equivalents, investments and other financial instruments, 2026 Senior Notes, 2025 Senior Notes and our Credit Facility.</w:t>
      </w:r>
    </w:p>
    <w:p>
      <w:pPr>
        <w:spacing w:after="0" w:line="18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 We did not experience material changes in interest rate exposures or any material financial impact from adverse changes in interest rates for the years ended December 31, 2022, 2021 or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Rates</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conduct business in certain international markets, largely in the Europe, including the U.K., and also in countries such as Singapore and Australia. Because we operate in international markets, we have exposure to different economic climates, political arenas, tax systems and regulations that could affect foreign currency exchange rates.</w:t>
      </w:r>
    </w:p>
    <w:p>
      <w:pPr>
        <w:spacing w:after="0" w:line="183"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Some of our subsidiaries maintain their accounting records in their respective local currencies other than the U.S. dollar. Consequently, changes in foreign currency exchange rates may impact the translation of those subsidiary’s financial statements into U.S. dollars. As a result, we face exposure to adverse movements in foreign currency exchange rates as the financial results of our non-U.S. dollar operations are translated from local currency, or functional currency, into U.S. dollars upon consolidation. If the U.S. dollar weakens against the functional currency, the translation of these foreign currency denominated balances will result in increased net assets, revenue, operating expenses, operating income and net income upon consolidation. Similarly, our net assets, revenue, operating expenses, operating income and net income will decrease upon consolidation if the U.S. dollar strengthens against the functional currency. The effect of foreign currency exchange on our business historically has varied from quarter to quarter and may continue to do so, potentially materially. In order to provide a meaningful assessment of the foreign currency exchange rate risk associated with our consolidated financial statements, we performed a sensitivity analysis. A hypothetical 10% decrease of the foreign currency exchange rates relative to the U.S. dollar, or strengthening of the U.S. dollar, would generate an estimated unrealized loss of approximately $29 million related to a decrease in our net assets as of December 31, 2022, which would initially be recorded to accumulated other comprehensive income (loss) on our consolidated balance sheet.</w:t>
      </w:r>
    </w:p>
    <w:p>
      <w:pPr>
        <w:spacing w:after="0" w:line="16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 operations and have recorded net foreign currency exchange losses of $9 million and $6 million for the years ended December 31, 2022 and 2021, respectively, and a net foreign currency exchange gain of $4 million for the year ended December 31, 2020, in “other income (expense), net” on our consolidated statements of operations. Future transactional gains and losses are inherently difficult to predict as they are reliant on how the multiple currencies in which we transact fluctuate in relation to the U.S. dollar and other functional currencies, and the relative composition and denomination of monetary assets and liabilities each period.</w:t>
      </w:r>
    </w:p>
    <w:p>
      <w:pPr>
        <w:spacing w:after="0" w:line="19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currency forward exchange contracts (“forward contracts”) to manage certain short-term foreign currency risk to try and reduce the effects of fluctuating foreign currency exchange rates on our cash flows denominated in foreign currencies. We do not use financial instruments for trading purposes and are not a party to any leveraged derivatives. 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0" w:name="page51"/>
    <w:bookmarkEnd w:id="50"/>
    <w:p>
      <w:pPr>
        <w:ind w:firstLine="509"/>
        <w:spacing w:after="0" w:line="270" w:lineRule="auto"/>
        <w:rPr>
          <w:sz w:val="20"/>
          <w:szCs w:val="20"/>
          <w:color w:val="auto"/>
        </w:rPr>
      </w:pPr>
      <w:r>
        <w:rPr>
          <w:rFonts w:ascii="Arial" w:cs="Arial" w:eastAsia="Arial" w:hAnsi="Arial"/>
          <w:sz w:val="17"/>
          <w:szCs w:val="17"/>
          <w:color w:val="auto"/>
        </w:rPr>
        <w:t xml:space="preserve">The forward contracts which we have entered into to date, have principally addressed foreign currency exchange fluctuation risk between the Euro and the U.S. dollar. We account for these forward contacts, which have not been designated as hedges under GAAP to date, as either assets or liabilities and carry them at fair value. We had outstanding forward contracts as of December 31, 2022 and 2021, with a total net notional value of $18 million and $9 million, respectively. These forward contracts were not designated as hedges and had maturities of less than 90 days. We recognize gains and losses from forward contracts in our consolidated statement of operations upon settlement or a change in fair value, as a result, we recorded net gains of $4 million, $2 million, and $1 million for the years ended December 31, 2022, 2021 and 2020, respectively, in other income (expense), net on our consolidated statements of operations. Refer to “Note 4: </w:t>
      </w:r>
      <w:r>
        <w:rPr>
          <w:rFonts w:ascii="Arial" w:cs="Arial" w:eastAsia="Arial" w:hAnsi="Arial"/>
          <w:sz w:val="17"/>
          <w:szCs w:val="17"/>
          <w:i w:val="1"/>
          <w:iCs w:val="1"/>
          <w:color w:val="auto"/>
        </w:rPr>
        <w:t>Financial Instruments and Fair Value Measurements</w:t>
      </w:r>
      <w:r>
        <w:rPr>
          <w:rFonts w:ascii="Arial" w:cs="Arial" w:eastAsia="Arial" w:hAnsi="Arial"/>
          <w:sz w:val="17"/>
          <w:szCs w:val="17"/>
          <w:color w:val="auto"/>
        </w:rPr>
        <w:t>” in the notes to the consolidated financial statements in Item 8 of this Annual Report on Form 10-K for further detail on our derivative instruments.</w:t>
      </w:r>
    </w:p>
    <w:p>
      <w:pPr>
        <w:spacing w:after="0" w:line="182"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expect that we will continue to increase our operations internationally. Our exposure to potentially volatile movements in foreign currency exchange rates will increase as we increase our operations in these international markets. The economic impact to us of foreign currency exchange rate movements is linked to variability in real growth, inflation, interest rates, governmental actions, and other factors. We continue to monitor the current economic environment, including the impact of a potential U.S. recession and increased inflation globally, which has been heightened by the conflict between Russia and Ukraine. These changes, if material, could cause us to adjust our foreign currency risk strategies. Continued uncertainty regarding our international operations and U.K. and E.U. relations may result in future currency exchange rate volatility which may impact our business and results of operations. In addition, the geopolitical tensions resulting from Russia’s invasion of Ukraine, including increased cyberattacks, military conflicts and sanctions, may result in additional financial volatility that may adversely affect our results of operations.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98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0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14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8620" w:type="dxa"/>
            <w:vAlign w:val="bottom"/>
            <w:tcBorders>
              <w:bottom w:val="single" w:sz="8" w:color="0000FF"/>
            </w:tcBorders>
            <w:gridSpan w:val="7"/>
          </w:tcPr>
          <w:p>
            <w:pPr>
              <w:spacing w:after="0" w:line="202" w:lineRule="exact"/>
              <w:rPr>
                <w:sz w:val="20"/>
                <w:szCs w:val="20"/>
                <w:color w:val="auto"/>
              </w:rPr>
            </w:pPr>
            <w:r>
              <w:rPr>
                <w:rFonts w:ascii="Arial" w:cs="Arial" w:eastAsia="Arial" w:hAnsi="Arial"/>
                <w:sz w:val="18"/>
                <w:szCs w:val="18"/>
                <w:color w:val="0000FF"/>
                <w:w w:val="92"/>
              </w:rPr>
              <w:t>Report of Independent Registered Public Accounting Firm (KPMG LLP, Boston, Massachusetts, Auditor Firm ID: 185)</w:t>
            </w:r>
          </w:p>
        </w:tc>
        <w:tc>
          <w:tcPr>
            <w:tcW w:w="1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23"/>
        </w:trPr>
        <w:tc>
          <w:tcPr>
            <w:tcW w:w="20" w:type="dxa"/>
            <w:vAlign w:val="bottom"/>
          </w:tcPr>
          <w:p>
            <w:pPr>
              <w:spacing w:after="0"/>
              <w:rPr>
                <w:sz w:val="19"/>
                <w:szCs w:val="19"/>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Comprehensive Income (Loss) for the years ended December 31, 2022, 2021 and 2020</w:t>
            </w:r>
          </w:p>
        </w:tc>
        <w:tc>
          <w:tcPr>
            <w:tcW w:w="1540" w:type="dxa"/>
            <w:vAlign w:val="bottom"/>
            <w:gridSpan w:val="3"/>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2022, 2021 and 2020</w:t>
            </w: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20" w:type="dxa"/>
            <w:vAlign w:val="bottom"/>
          </w:tcPr>
          <w:p>
            <w:pPr>
              <w:spacing w:after="0"/>
              <w:rPr>
                <w:sz w:val="19"/>
                <w:szCs w:val="19"/>
                <w:color w:val="auto"/>
              </w:rPr>
            </w:pPr>
          </w:p>
        </w:tc>
        <w:tc>
          <w:tcPr>
            <w:tcW w:w="69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2022, 2021 and 2020</w:t>
            </w:r>
          </w:p>
        </w:tc>
        <w:tc>
          <w:tcPr>
            <w:tcW w:w="1520" w:type="dxa"/>
            <w:vAlign w:val="bottom"/>
            <w:tcBorders>
              <w:top w:val="single" w:sz="8" w:color="0000FF"/>
            </w:tcBorders>
            <w:gridSpan w:val="2"/>
          </w:tcPr>
          <w:p>
            <w:pPr>
              <w:spacing w:after="0"/>
              <w:rPr>
                <w:sz w:val="19"/>
                <w:szCs w:val="19"/>
                <w:color w:val="auto"/>
              </w:rPr>
            </w:pPr>
          </w:p>
        </w:tc>
        <w:tc>
          <w:tcPr>
            <w:tcW w:w="1400" w:type="dxa"/>
            <w:vAlign w:val="bottom"/>
            <w:gridSpan w:val="2"/>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Pr>
          <w:p>
            <w:pPr>
              <w:spacing w:after="0"/>
              <w:rPr>
                <w:sz w:val="19"/>
                <w:szCs w:val="19"/>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951"/>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720" w:type="dxa"/>
            <w:vAlign w:val="bottom"/>
            <w:gridSpan w:val="2"/>
          </w:tcPr>
          <w:p>
            <w:pPr>
              <w:jc w:val="right"/>
              <w:ind w:right="116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Tripadvisor, Inc. and subsidiaries (the Company) as of December 31, 2022 and 2021, the related consolidated statements of operations, comprehensive income (loss), changes in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17, 2023 expressed an unqualified opinion on the effectiveness of the Company’s internal control over financial reporting.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1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Sufficiency of Audit Evidence over Revenue</w:t>
      </w:r>
    </w:p>
    <w:p>
      <w:pPr>
        <w:spacing w:after="0" w:line="117" w:lineRule="exact"/>
        <w:rPr>
          <w:sz w:val="20"/>
          <w:szCs w:val="20"/>
          <w:color w:val="auto"/>
        </w:rPr>
      </w:pPr>
    </w:p>
    <w:p>
      <w:pPr>
        <w:ind w:left="380" w:right="80"/>
        <w:spacing w:after="0" w:line="311" w:lineRule="auto"/>
        <w:rPr>
          <w:sz w:val="20"/>
          <w:szCs w:val="20"/>
          <w:color w:val="auto"/>
        </w:rPr>
      </w:pPr>
      <w:r>
        <w:rPr>
          <w:rFonts w:ascii="Arial" w:cs="Arial" w:eastAsia="Arial" w:hAnsi="Arial"/>
          <w:sz w:val="16"/>
          <w:szCs w:val="16"/>
          <w:color w:val="auto"/>
        </w:rPr>
        <w:t>As discussed in Notes 2 and 3 to the consolidated financial statements, and disclosed in the consolidated statements of operations, the Company had $1,492 million in revenue, net of intersegment revenue of $93 million, for the year ended December 31, 2022, of which $966 million was Tripadvisor Core related, $493 million was Viator related and $126 million was TheFork related. Each of these categories of revenue has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3" w:name="page54"/>
    <w:bookmarkEnd w:id="53"/>
    <w:p>
      <w:pPr>
        <w:ind w:left="380"/>
        <w:spacing w:after="0"/>
        <w:rPr>
          <w:sz w:val="20"/>
          <w:szCs w:val="20"/>
          <w:color w:val="auto"/>
        </w:rPr>
      </w:pPr>
      <w:r>
        <w:rPr>
          <w:rFonts w:ascii="Arial" w:cs="Arial" w:eastAsia="Arial" w:hAnsi="Arial"/>
          <w:sz w:val="18"/>
          <w:szCs w:val="18"/>
          <w:color w:val="auto"/>
        </w:rPr>
        <w:t>multiple revenue streams and the Company’s processes and information technology (IT) systems differ between each revenue stream.</w:t>
      </w:r>
    </w:p>
    <w:p>
      <w:pPr>
        <w:spacing w:after="0" w:line="225" w:lineRule="exact"/>
        <w:rPr>
          <w:sz w:val="20"/>
          <w:szCs w:val="20"/>
          <w:color w:val="auto"/>
        </w:rPr>
      </w:pPr>
    </w:p>
    <w:p>
      <w:pPr>
        <w:ind w:left="380" w:right="20"/>
        <w:spacing w:after="0" w:line="296" w:lineRule="auto"/>
        <w:rPr>
          <w:sz w:val="20"/>
          <w:szCs w:val="20"/>
          <w:color w:val="auto"/>
        </w:rPr>
      </w:pPr>
      <w:r>
        <w:rPr>
          <w:rFonts w:ascii="Arial" w:cs="Arial" w:eastAsia="Arial" w:hAnsi="Arial"/>
          <w:sz w:val="16"/>
          <w:szCs w:val="16"/>
          <w:color w:val="auto"/>
        </w:rPr>
        <w:t>We identified the evaluation of sufficiency of audit evidence over revenue as a critical audit matter. This matter required especially subjective auditor judgment due to the number of revenue streams and the related IT applications utilized throughout the revenue recognition processes. Subjective auditor judgment was required to evaluate that relevant revenue data was captured and aggregated throughout these various IT applications. This matter also included determining the revenue streams over which procedures would be performed and evaluating the nature and extent of evidence obtained over each revenue stream, both of which included the involvement of IT professionals with specialized skills and knowledge.</w:t>
      </w:r>
    </w:p>
    <w:p>
      <w:pPr>
        <w:spacing w:after="0" w:line="187"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revenue. For each revenue stream where procedures were performed:</w:t>
      </w:r>
    </w:p>
    <w:p>
      <w:pPr>
        <w:spacing w:after="0" w:line="183" w:lineRule="exact"/>
        <w:rPr>
          <w:sz w:val="20"/>
          <w:szCs w:val="20"/>
          <w:color w:val="auto"/>
        </w:rPr>
      </w:pPr>
    </w:p>
    <w:p>
      <w:pPr>
        <w:ind w:left="760" w:right="460" w:hanging="378"/>
        <w:spacing w:after="0" w:line="250" w:lineRule="auto"/>
        <w:tabs>
          <w:tab w:leader="none" w:pos="760" w:val="left"/>
        </w:tabs>
        <w:numPr>
          <w:ilvl w:val="0"/>
          <w:numId w:val="25"/>
        </w:numPr>
        <w:rPr>
          <w:rFonts w:ascii="Arial" w:cs="Arial" w:eastAsia="Arial" w:hAnsi="Arial"/>
          <w:sz w:val="20"/>
          <w:szCs w:val="20"/>
          <w:color w:val="auto"/>
        </w:rPr>
      </w:pPr>
      <w:r>
        <w:rPr>
          <w:rFonts w:ascii="Arial" w:cs="Arial" w:eastAsia="Arial" w:hAnsi="Arial"/>
          <w:sz w:val="18"/>
          <w:szCs w:val="18"/>
          <w:color w:val="auto"/>
        </w:rPr>
        <w:t>We evaluated the design and tested the operating effectiveness of certain internal controls related to the critical audit matter. This included controls related to accurate recording of amounts.</w:t>
      </w:r>
    </w:p>
    <w:p>
      <w:pPr>
        <w:spacing w:after="0" w:line="165" w:lineRule="exact"/>
        <w:rPr>
          <w:rFonts w:ascii="Arial" w:cs="Arial" w:eastAsia="Arial" w:hAnsi="Arial"/>
          <w:sz w:val="20"/>
          <w:szCs w:val="20"/>
          <w:color w:val="auto"/>
        </w:rPr>
      </w:pPr>
    </w:p>
    <w:p>
      <w:pPr>
        <w:ind w:left="760" w:right="140" w:hanging="378"/>
        <w:spacing w:after="0" w:line="250" w:lineRule="auto"/>
        <w:tabs>
          <w:tab w:leader="none" w:pos="760" w:val="left"/>
        </w:tabs>
        <w:numPr>
          <w:ilvl w:val="0"/>
          <w:numId w:val="25"/>
        </w:numPr>
        <w:rPr>
          <w:rFonts w:ascii="Arial" w:cs="Arial" w:eastAsia="Arial" w:hAnsi="Arial"/>
          <w:sz w:val="20"/>
          <w:szCs w:val="20"/>
          <w:color w:val="auto"/>
        </w:rPr>
      </w:pPr>
      <w:r>
        <w:rPr>
          <w:rFonts w:ascii="Arial" w:cs="Arial" w:eastAsia="Arial" w:hAnsi="Arial"/>
          <w:sz w:val="18"/>
          <w:szCs w:val="18"/>
          <w:color w:val="auto"/>
        </w:rPr>
        <w:t>For certain revenue streams, we assessed the recorded revenue by selecting a sample of transactions and compared the amounts recognized for consistency with underlying documentation, including evidence of contracts with customers.</w:t>
      </w:r>
    </w:p>
    <w:p>
      <w:pPr>
        <w:spacing w:after="0" w:line="178" w:lineRule="exact"/>
        <w:rPr>
          <w:rFonts w:ascii="Arial" w:cs="Arial" w:eastAsia="Arial" w:hAnsi="Arial"/>
          <w:sz w:val="20"/>
          <w:szCs w:val="20"/>
          <w:color w:val="auto"/>
        </w:rPr>
      </w:pPr>
    </w:p>
    <w:p>
      <w:pPr>
        <w:ind w:left="760" w:right="120" w:hanging="378"/>
        <w:spacing w:after="0" w:line="250" w:lineRule="auto"/>
        <w:tabs>
          <w:tab w:leader="none" w:pos="760" w:val="left"/>
        </w:tabs>
        <w:numPr>
          <w:ilvl w:val="0"/>
          <w:numId w:val="25"/>
        </w:numPr>
        <w:rPr>
          <w:rFonts w:ascii="Arial" w:cs="Arial" w:eastAsia="Arial" w:hAnsi="Arial"/>
          <w:sz w:val="20"/>
          <w:szCs w:val="20"/>
          <w:color w:val="auto"/>
        </w:rPr>
      </w:pPr>
      <w:r>
        <w:rPr>
          <w:rFonts w:ascii="Arial" w:cs="Arial" w:eastAsia="Arial" w:hAnsi="Arial"/>
          <w:sz w:val="18"/>
          <w:szCs w:val="18"/>
          <w:color w:val="auto"/>
        </w:rPr>
        <w:t>For certain revenue streams, we assessed the recorded revenue by comparing the total cash received during the year to the revenue recognized, including evaluating the relevance and reliability of the inputs to the assessment.</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involved IT professionals with specialized skills and knowledge, who assisted in:</w:t>
      </w:r>
    </w:p>
    <w:p>
      <w:pPr>
        <w:spacing w:after="0" w:line="198" w:lineRule="exact"/>
        <w:rPr>
          <w:sz w:val="20"/>
          <w:szCs w:val="20"/>
          <w:color w:val="auto"/>
        </w:rPr>
      </w:pPr>
    </w:p>
    <w:p>
      <w:pPr>
        <w:ind w:left="760" w:hanging="379"/>
        <w:spacing w:after="0"/>
        <w:tabs>
          <w:tab w:leader="none" w:pos="760" w:val="left"/>
        </w:tabs>
        <w:numPr>
          <w:ilvl w:val="0"/>
          <w:numId w:val="26"/>
        </w:numPr>
        <w:rPr>
          <w:rFonts w:ascii="Arial" w:cs="Arial" w:eastAsia="Arial" w:hAnsi="Arial"/>
          <w:sz w:val="20"/>
          <w:szCs w:val="20"/>
          <w:color w:val="auto"/>
        </w:rPr>
      </w:pPr>
      <w:r>
        <w:rPr>
          <w:rFonts w:ascii="Arial" w:cs="Arial" w:eastAsia="Arial" w:hAnsi="Arial"/>
          <w:sz w:val="18"/>
          <w:szCs w:val="18"/>
          <w:color w:val="auto"/>
        </w:rPr>
        <w:t>Testing certain IT applications used by the Company in its revenue recognition processes.</w:t>
      </w:r>
    </w:p>
    <w:p>
      <w:pPr>
        <w:spacing w:after="0" w:line="174" w:lineRule="exact"/>
        <w:rPr>
          <w:rFonts w:ascii="Arial" w:cs="Arial" w:eastAsia="Arial" w:hAnsi="Arial"/>
          <w:sz w:val="20"/>
          <w:szCs w:val="20"/>
          <w:color w:val="auto"/>
        </w:rPr>
      </w:pPr>
    </w:p>
    <w:p>
      <w:pPr>
        <w:ind w:left="380" w:right="2360" w:firstLine="2"/>
        <w:spacing w:after="0" w:line="593" w:lineRule="auto"/>
        <w:tabs>
          <w:tab w:leader="none" w:pos="755" w:val="left"/>
        </w:tabs>
        <w:numPr>
          <w:ilvl w:val="0"/>
          <w:numId w:val="26"/>
        </w:numPr>
        <w:rPr>
          <w:rFonts w:ascii="Arial" w:cs="Arial" w:eastAsia="Arial" w:hAnsi="Arial"/>
          <w:sz w:val="18"/>
          <w:szCs w:val="18"/>
          <w:color w:val="auto"/>
        </w:rPr>
      </w:pPr>
      <w:r>
        <w:rPr>
          <w:rFonts w:ascii="Arial" w:cs="Arial" w:eastAsia="Arial" w:hAnsi="Arial"/>
          <w:sz w:val="16"/>
          <w:szCs w:val="16"/>
          <w:color w:val="auto"/>
        </w:rPr>
        <w:t>Testing the transfer of relevant revenue data between certain systems used in the revenue recognition processes. We evaluated the sufficiency of audit evidence obtained by assessing the results of procedures performed.</w:t>
      </w:r>
    </w:p>
    <w:p>
      <w:pPr>
        <w:spacing w:after="0" w:line="4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76" w:right="439" w:bottom="1440" w:gutter="0" w:footer="0" w:header="0"/>
        </w:sectPr>
      </w:pPr>
    </w:p>
    <w:bookmarkStart w:id="54" w:name="page55"/>
    <w:bookmarkEnd w:id="54"/>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(Note 3)</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6180" w:type="dxa"/>
            <w:vAlign w:val="bottom"/>
          </w:tcPr>
          <w:p>
            <w:pPr>
              <w:ind w:left="200"/>
              <w:spacing w:after="0"/>
              <w:rPr>
                <w:sz w:val="20"/>
                <w:szCs w:val="20"/>
                <w:color w:val="auto"/>
              </w:rPr>
            </w:pPr>
            <w:r>
              <w:rPr>
                <w:rFonts w:ascii="Arial" w:cs="Arial" w:eastAsia="Arial" w:hAnsi="Arial"/>
                <w:sz w:val="18"/>
                <w:szCs w:val="18"/>
                <w:color w:val="auto"/>
              </w:rPr>
              <w:t>Cost of revenue (1) (exclusive of depreciation and amortization as shown</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180" w:type="dxa"/>
            <w:vAlign w:val="bottom"/>
          </w:tcPr>
          <w:p>
            <w:pPr>
              <w:ind w:left="200"/>
              <w:spacing w:after="0"/>
              <w:rPr>
                <w:sz w:val="20"/>
                <w:szCs w:val="20"/>
                <w:color w:val="auto"/>
              </w:rPr>
            </w:pPr>
            <w:r>
              <w:rPr>
                <w:rFonts w:ascii="Arial" w:cs="Arial" w:eastAsia="Arial" w:hAnsi="Arial"/>
                <w:sz w:val="18"/>
                <w:szCs w:val="18"/>
                <w:color w:val="auto"/>
              </w:rPr>
              <w:t>separately below)</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and marketing (1)</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21"/>
                <w:szCs w:val="21"/>
                <w:color w:val="auto"/>
              </w:rPr>
            </w:pPr>
          </w:p>
        </w:tc>
      </w:tr>
      <w:tr>
        <w:trPr>
          <w:trHeight w:val="236"/>
        </w:trPr>
        <w:tc>
          <w:tcPr>
            <w:tcW w:w="6180" w:type="dxa"/>
            <w:vAlign w:val="bottom"/>
          </w:tcPr>
          <w:p>
            <w:pPr>
              <w:ind w:left="200"/>
              <w:spacing w:after="0"/>
              <w:rPr>
                <w:sz w:val="20"/>
                <w:szCs w:val="20"/>
                <w:color w:val="auto"/>
              </w:rPr>
            </w:pPr>
            <w:r>
              <w:rPr>
                <w:rFonts w:ascii="Arial" w:cs="Arial" w:eastAsia="Arial" w:hAnsi="Arial"/>
                <w:sz w:val="18"/>
                <w:szCs w:val="18"/>
                <w:color w:val="auto"/>
              </w:rPr>
              <w:t>Technology and content (1)</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 (1)</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21"/>
                <w:szCs w:val="21"/>
                <w:color w:val="auto"/>
              </w:rPr>
            </w:pPr>
          </w:p>
        </w:tc>
      </w:tr>
      <w:tr>
        <w:trPr>
          <w:trHeight w:val="236"/>
        </w:trPr>
        <w:tc>
          <w:tcPr>
            <w:tcW w:w="6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of goodwill (Note 7)</w:t>
            </w:r>
          </w:p>
        </w:tc>
        <w:tc>
          <w:tcPr>
            <w:tcW w:w="9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7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21"/>
                <w:szCs w:val="21"/>
                <w:color w:val="auto"/>
              </w:rPr>
            </w:pPr>
          </w:p>
        </w:tc>
      </w:tr>
      <w:tr>
        <w:trPr>
          <w:trHeight w:val="229"/>
        </w:trPr>
        <w:tc>
          <w:tcPr>
            <w:tcW w:w="6180" w:type="dxa"/>
            <w:vAlign w:val="bottom"/>
          </w:tcPr>
          <w:p>
            <w:pPr>
              <w:ind w:left="200"/>
              <w:spacing w:after="0"/>
              <w:rPr>
                <w:sz w:val="20"/>
                <w:szCs w:val="20"/>
                <w:color w:val="auto"/>
              </w:rPr>
            </w:pPr>
            <w:r>
              <w:rPr>
                <w:rFonts w:ascii="Arial" w:cs="Arial" w:eastAsia="Arial" w:hAnsi="Arial"/>
                <w:sz w:val="18"/>
                <w:szCs w:val="18"/>
                <w:color w:val="auto"/>
              </w:rPr>
              <w:t>Restructuring and other related reorganization costs (Note 1)</w:t>
            </w:r>
          </w:p>
        </w:tc>
        <w:tc>
          <w:tcPr>
            <w:tcW w:w="960" w:type="dxa"/>
            <w:vAlign w:val="bottom"/>
          </w:tcPr>
          <w:p>
            <w:pPr>
              <w:spacing w:after="0"/>
              <w:rPr>
                <w:sz w:val="19"/>
                <w:szCs w:val="19"/>
                <w:color w:val="auto"/>
              </w:rPr>
            </w:pPr>
          </w:p>
        </w:tc>
        <w:tc>
          <w:tcPr>
            <w:tcW w:w="6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r>
      <w:tr>
        <w:trPr>
          <w:trHeight w:val="236"/>
        </w:trPr>
        <w:tc>
          <w:tcPr>
            <w:tcW w:w="6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(131 )</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(329 )</w:t>
            </w:r>
          </w:p>
        </w:tc>
      </w:tr>
      <w:tr>
        <w:trPr>
          <w:trHeight w:val="249"/>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1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0"/>
                <w:szCs w:val="20"/>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(44 )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(45 )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Other income (expense), net (Note 17)</w:t>
            </w:r>
          </w:p>
        </w:tc>
        <w:tc>
          <w:tcPr>
            <w:tcW w:w="960" w:type="dxa"/>
            <w:vAlign w:val="bottom"/>
          </w:tcPr>
          <w:p>
            <w:pPr>
              <w:spacing w:after="0"/>
              <w:rPr>
                <w:sz w:val="21"/>
                <w:szCs w:val="21"/>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(10 )</w:t>
            </w:r>
          </w:p>
        </w:tc>
        <w:tc>
          <w:tcPr>
            <w:tcW w:w="3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36"/>
        </w:trPr>
        <w:tc>
          <w:tcPr>
            <w:tcW w:w="6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(185 )</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(369 )</w:t>
            </w: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benefit for income taxes (Note 11)</w:t>
            </w:r>
          </w:p>
        </w:tc>
        <w:tc>
          <w:tcPr>
            <w:tcW w:w="96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1"/>
                <w:szCs w:val="2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(148 )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(289 )</w:t>
            </w:r>
          </w:p>
        </w:tc>
      </w:tr>
      <w:tr>
        <w:trPr>
          <w:trHeight w:val="20"/>
        </w:trPr>
        <w:tc>
          <w:tcPr>
            <w:tcW w:w="6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6180" w:type="dxa"/>
            <w:vAlign w:val="bottom"/>
          </w:tcPr>
          <w:p>
            <w:pPr>
              <w:ind w:left="20"/>
              <w:spacing w:after="0"/>
              <w:rPr>
                <w:sz w:val="20"/>
                <w:szCs w:val="20"/>
                <w:color w:val="auto"/>
              </w:rPr>
            </w:pPr>
            <w:r>
              <w:rPr>
                <w:rFonts w:ascii="Arial" w:cs="Arial" w:eastAsia="Arial" w:hAnsi="Arial"/>
                <w:sz w:val="18"/>
                <w:szCs w:val="18"/>
                <w:color w:val="auto"/>
              </w:rPr>
              <w:t>Earnings (loss) per share attributable to common stockholders (Note 16):</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(1.08 )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(2.14 )</w:t>
            </w:r>
          </w:p>
        </w:tc>
      </w:tr>
      <w:tr>
        <w:trPr>
          <w:trHeight w:val="236"/>
        </w:trPr>
        <w:tc>
          <w:tcPr>
            <w:tcW w:w="6180" w:type="dxa"/>
            <w:vAlign w:val="bottom"/>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0"/>
                <w:szCs w:val="20"/>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(1.08 )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(2.14 )</w:t>
            </w:r>
          </w:p>
        </w:tc>
      </w:tr>
      <w:tr>
        <w:trPr>
          <w:trHeight w:val="249"/>
        </w:trPr>
        <w:tc>
          <w:tcPr>
            <w:tcW w:w="6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8"/>
                <w:szCs w:val="18"/>
                <w:color w:val="auto"/>
                <w:w w:val="96"/>
              </w:rPr>
              <w:t>Numerator used to compute net income (loss) per share attributable to common</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stockholders (Note 16):</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(148 )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(289 )</w:t>
            </w:r>
          </w:p>
        </w:tc>
      </w:tr>
      <w:tr>
        <w:trPr>
          <w:trHeight w:val="236"/>
        </w:trPr>
        <w:tc>
          <w:tcPr>
            <w:tcW w:w="6180" w:type="dxa"/>
            <w:vAlign w:val="bottom"/>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(148 )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(289 )</w:t>
            </w:r>
          </w:p>
        </w:tc>
      </w:tr>
      <w:tr>
        <w:trPr>
          <w:trHeight w:val="249"/>
        </w:trPr>
        <w:tc>
          <w:tcPr>
            <w:tcW w:w="6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(Note 16):</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21"/>
                <w:szCs w:val="21"/>
                <w:color w:val="auto"/>
              </w:rPr>
            </w:pPr>
          </w:p>
        </w:tc>
      </w:tr>
      <w:tr>
        <w:trPr>
          <w:trHeight w:val="236"/>
        </w:trPr>
        <w:tc>
          <w:tcPr>
            <w:tcW w:w="6180" w:type="dxa"/>
            <w:vAlign w:val="bottom"/>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r>
      <w:tr>
        <w:trPr>
          <w:trHeight w:val="249"/>
        </w:trPr>
        <w:tc>
          <w:tcPr>
            <w:tcW w:w="6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9"/>
        </w:trPr>
        <w:tc>
          <w:tcPr>
            <w:tcW w:w="6180" w:type="dxa"/>
            <w:vAlign w:val="bottom"/>
          </w:tcPr>
          <w:p>
            <w:pPr>
              <w:ind w:left="20"/>
              <w:spacing w:after="0"/>
              <w:rPr>
                <w:sz w:val="20"/>
                <w:szCs w:val="20"/>
                <w:color w:val="auto"/>
              </w:rPr>
            </w:pPr>
            <w:r>
              <w:rPr>
                <w:rFonts w:ascii="Arial" w:cs="Arial" w:eastAsia="Arial" w:hAnsi="Arial"/>
                <w:sz w:val="18"/>
                <w:szCs w:val="18"/>
                <w:color w:val="auto"/>
              </w:rPr>
              <w:t>(1) Includes stock-based compensation expense as follows (Note 14):</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6"/>
        </w:trPr>
        <w:tc>
          <w:tcPr>
            <w:tcW w:w="618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r>
      <w:tr>
        <w:trPr>
          <w:trHeight w:val="249"/>
        </w:trPr>
        <w:tc>
          <w:tcPr>
            <w:tcW w:w="6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and content</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1"/>
                <w:szCs w:val="21"/>
                <w:color w:val="auto"/>
              </w:rPr>
            </w:pPr>
          </w:p>
        </w:tc>
      </w:tr>
      <w:tr>
        <w:trPr>
          <w:trHeight w:val="230"/>
        </w:trPr>
        <w:tc>
          <w:tcPr>
            <w:tcW w:w="6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-4358005</wp:posOffset>
            </wp:positionV>
            <wp:extent cx="76835"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-4358005</wp:posOffset>
            </wp:positionV>
            <wp:extent cx="6858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-4358005</wp:posOffset>
            </wp:positionV>
            <wp:extent cx="68580"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-3416300</wp:posOffset>
            </wp:positionV>
            <wp:extent cx="76835"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-3416300</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-3416300</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-3099435</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-3099435</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-3099435</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jc w:val="right"/>
              <w:ind w:right="81"/>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6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 net of tax (1)</w:t>
            </w:r>
          </w:p>
        </w:tc>
        <w:tc>
          <w:tcPr>
            <w:tcW w:w="9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(24 )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1"/>
                <w:szCs w:val="21"/>
                <w:color w:val="auto"/>
              </w:rPr>
            </w:pPr>
          </w:p>
        </w:tc>
      </w:tr>
      <w:tr>
        <w:trPr>
          <w:trHeight w:val="243"/>
        </w:trPr>
        <w:tc>
          <w:tcPr>
            <w:tcW w:w="6600" w:type="dxa"/>
            <w:vAlign w:val="bottom"/>
          </w:tcPr>
          <w:p>
            <w:pPr>
              <w:ind w:left="200"/>
              <w:spacing w:after="0"/>
              <w:rPr>
                <w:sz w:val="20"/>
                <w:szCs w:val="20"/>
                <w:color w:val="auto"/>
              </w:rPr>
            </w:pPr>
            <w:r>
              <w:rPr>
                <w:rFonts w:ascii="Arial" w:cs="Arial" w:eastAsia="Arial" w:hAnsi="Arial"/>
                <w:sz w:val="18"/>
                <w:szCs w:val="18"/>
                <w:color w:val="auto"/>
              </w:rPr>
              <w:t>Reclassification adjustments included in net income (loss), net of tax</w:t>
            </w: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3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96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(170 )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(260 )</w:t>
            </w:r>
          </w:p>
        </w:tc>
      </w:tr>
      <w:tr>
        <w:trPr>
          <w:trHeight w:val="20"/>
        </w:trPr>
        <w:tc>
          <w:tcPr>
            <w:tcW w:w="6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8"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Deferred income tax liabilities related to these amounts are not material. Refer to “Note 11: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w:t>
      </w:r>
    </w:p>
    <w:p>
      <w:pPr>
        <w:spacing w:after="0" w:line="229" w:lineRule="exact"/>
        <w:rPr>
          <w:rFonts w:ascii="Arial" w:cs="Arial" w:eastAsia="Arial" w:hAnsi="Arial"/>
          <w:sz w:val="16"/>
          <w:szCs w:val="16"/>
          <w:color w:val="auto"/>
        </w:rPr>
      </w:pPr>
    </w:p>
    <w:p>
      <w:pPr>
        <w:ind w:left="246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122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 (Note 4)</w:t>
            </w:r>
          </w:p>
        </w:tc>
        <w:tc>
          <w:tcPr>
            <w:tcW w:w="1220" w:type="dxa"/>
            <w:vAlign w:val="bottom"/>
            <w:shd w:val="clear" w:color="auto" w:fill="CFF0FC"/>
          </w:tcPr>
          <w:p>
            <w:pPr>
              <w:jc w:val="right"/>
              <w:ind w:right="106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1,021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FF0FC"/>
          </w:tcPr>
          <w:p>
            <w:pPr>
              <w:spacing w:after="0"/>
              <w:rPr>
                <w:sz w:val="20"/>
                <w:szCs w:val="20"/>
                <w:color w:val="auto"/>
              </w:rPr>
            </w:pPr>
          </w:p>
        </w:tc>
      </w:tr>
      <w:tr>
        <w:trPr>
          <w:trHeight w:val="206"/>
        </w:trPr>
        <w:tc>
          <w:tcPr>
            <w:tcW w:w="7660" w:type="dxa"/>
            <w:vAlign w:val="bottom"/>
          </w:tcPr>
          <w:p>
            <w:pPr>
              <w:ind w:left="200"/>
              <w:spacing w:after="0"/>
              <w:rPr>
                <w:sz w:val="20"/>
                <w:szCs w:val="20"/>
                <w:color w:val="auto"/>
              </w:rPr>
            </w:pPr>
            <w:r>
              <w:rPr>
                <w:rFonts w:ascii="Arial" w:cs="Arial" w:eastAsia="Arial" w:hAnsi="Arial"/>
                <w:sz w:val="16"/>
                <w:szCs w:val="16"/>
                <w:color w:val="auto"/>
              </w:rPr>
              <w:t>Accounts receivable and contract assets, net of allowance for credit losses</w:t>
            </w: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tcPr>
          <w:p>
            <w:pPr>
              <w:ind w:left="320"/>
              <w:spacing w:after="0"/>
              <w:rPr>
                <w:sz w:val="20"/>
                <w:szCs w:val="20"/>
                <w:color w:val="auto"/>
              </w:rPr>
            </w:pPr>
            <w:r>
              <w:rPr>
                <w:rFonts w:ascii="Arial" w:cs="Arial" w:eastAsia="Arial" w:hAnsi="Arial"/>
                <w:sz w:val="16"/>
                <w:szCs w:val="16"/>
                <w:color w:val="auto"/>
              </w:rPr>
              <w:t>of $28 and $28, respectively (Note 2, Note 3)</w:t>
            </w:r>
          </w:p>
        </w:tc>
        <w:tc>
          <w:tcPr>
            <w:tcW w:w="1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receivable (Note 11)</w:t>
            </w:r>
          </w:p>
        </w:tc>
        <w:tc>
          <w:tcPr>
            <w:tcW w:w="12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FF0FC"/>
          </w:tcPr>
          <w:p>
            <w:pPr>
              <w:spacing w:after="0"/>
              <w:rPr>
                <w:sz w:val="20"/>
                <w:szCs w:val="20"/>
                <w:color w:val="auto"/>
              </w:rPr>
            </w:pPr>
          </w:p>
        </w:tc>
      </w:tr>
      <w:tr>
        <w:trPr>
          <w:trHeight w:val="226"/>
        </w:trPr>
        <w:tc>
          <w:tcPr>
            <w:tcW w:w="76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r>
      <w:tr>
        <w:trPr>
          <w:trHeight w:val="22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1,270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FF0FC"/>
          </w:tcPr>
          <w:p>
            <w:pPr>
              <w:spacing w:after="0"/>
              <w:rPr>
                <w:sz w:val="19"/>
                <w:szCs w:val="19"/>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Property and equipment, net (Note 5, Note 6)</w:t>
            </w: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194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 (Note 6)</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Intangible assets, net (Note 7)</w:t>
            </w: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 (Note 7)</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Non-marketable investments (Note 4)</w:t>
            </w: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 net (Note 11)</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20"/>
                <w:szCs w:val="20"/>
                <w:color w:val="auto"/>
              </w:rPr>
            </w:pPr>
          </w:p>
        </w:tc>
      </w:tr>
      <w:tr>
        <w:trPr>
          <w:trHeight w:val="226"/>
        </w:trPr>
        <w:tc>
          <w:tcPr>
            <w:tcW w:w="7660" w:type="dxa"/>
            <w:vAlign w:val="bottom"/>
          </w:tcPr>
          <w:p>
            <w:pPr>
              <w:ind w:left="200"/>
              <w:spacing w:after="0"/>
              <w:rPr>
                <w:sz w:val="20"/>
                <w:szCs w:val="20"/>
                <w:color w:val="auto"/>
              </w:rPr>
            </w:pPr>
            <w:r>
              <w:rPr>
                <w:rFonts w:ascii="Arial" w:cs="Arial" w:eastAsia="Arial" w:hAnsi="Arial"/>
                <w:sz w:val="16"/>
                <w:szCs w:val="16"/>
                <w:color w:val="auto"/>
              </w:rPr>
              <w:t>Other long-term assets, net of allowance for credit losses of $10 and $10, respectively</w:t>
            </w: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9"/>
                <w:szCs w:val="19"/>
                <w:color w:val="auto"/>
              </w:rPr>
            </w:pPr>
          </w:p>
        </w:tc>
      </w:tr>
      <w:tr>
        <w:trPr>
          <w:trHeight w:val="26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ASSETS</w:t>
            </w:r>
          </w:p>
        </w:tc>
        <w:tc>
          <w:tcPr>
            <w:tcW w:w="1220" w:type="dxa"/>
            <w:vAlign w:val="bottom"/>
            <w:tcBorders>
              <w:bottom w:val="single" w:sz="8" w:color="auto"/>
            </w:tcBorders>
            <w:shd w:val="clear" w:color="auto" w:fill="CFF0FC"/>
          </w:tcPr>
          <w:p>
            <w:pPr>
              <w:jc w:val="right"/>
              <w:ind w:right="106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4"/>
              </w:rPr>
              <w:t>2,569</w:t>
            </w:r>
          </w:p>
        </w:tc>
        <w:tc>
          <w:tcPr>
            <w:tcW w:w="2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0"/>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220" w:type="dxa"/>
            <w:vAlign w:val="bottom"/>
          </w:tcPr>
          <w:p>
            <w:pPr>
              <w:jc w:val="right"/>
              <w:ind w:right="106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merchant payables (Note 2)</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Deferred revenue (Note 3)</w:t>
            </w: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r>
      <w:tr>
        <w:trPr>
          <w:trHeight w:val="236"/>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 (Note 8)</w:t>
            </w:r>
          </w:p>
        </w:tc>
        <w:tc>
          <w:tcPr>
            <w:tcW w:w="12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Long-term debt (Note 9)</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Finance lease obligation, net of current portion (Note 6)</w:t>
            </w: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 net of current portion (Note 6)</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Deferred income taxes, net (Note 11)</w:t>
            </w: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r>
      <w:tr>
        <w:trPr>
          <w:trHeight w:val="236"/>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long-term liabilities (Note 10)</w:t>
            </w:r>
          </w:p>
        </w:tc>
        <w:tc>
          <w:tcPr>
            <w:tcW w:w="12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1,708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9"/>
                <w:szCs w:val="19"/>
                <w:color w:val="auto"/>
              </w:rPr>
            </w:pPr>
          </w:p>
        </w:tc>
      </w:tr>
      <w:tr>
        <w:trPr>
          <w:trHeight w:val="226"/>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12)</w:t>
            </w: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Stockholders’ equity: (Note 15)</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 $0.001 par value</w:t>
            </w:r>
          </w:p>
        </w:tc>
        <w:tc>
          <w:tcPr>
            <w:tcW w:w="12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Authorized shares: 100,000,000</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issued and outstanding: 0 and 0, respectively</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Common stock, $0.001 par value</w:t>
            </w:r>
          </w:p>
        </w:tc>
        <w:tc>
          <w:tcPr>
            <w:tcW w:w="12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Authorized shares: 1,600,000,000</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Shares issued: 146,891,538 and 144,656,649, respectively</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outstanding: 128,046,924 and 125,812,035, respectively</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Class B common stock, $0.001 par value</w:t>
            </w:r>
          </w:p>
        </w:tc>
        <w:tc>
          <w:tcPr>
            <w:tcW w:w="12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Authorized shares: 400,000,000</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12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1,404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2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(82 )</w:t>
            </w: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(56 )</w:t>
            </w:r>
          </w:p>
        </w:tc>
      </w:tr>
      <w:tr>
        <w:trPr>
          <w:trHeight w:val="226"/>
        </w:trPr>
        <w:tc>
          <w:tcPr>
            <w:tcW w:w="7660" w:type="dxa"/>
            <w:vAlign w:val="bottom"/>
          </w:tcPr>
          <w:p>
            <w:pPr>
              <w:ind w:left="200"/>
              <w:spacing w:after="0"/>
              <w:rPr>
                <w:sz w:val="20"/>
                <w:szCs w:val="20"/>
                <w:color w:val="auto"/>
              </w:rPr>
            </w:pPr>
            <w:r>
              <w:rPr>
                <w:rFonts w:ascii="Arial" w:cs="Arial" w:eastAsia="Arial" w:hAnsi="Arial"/>
                <w:sz w:val="16"/>
                <w:szCs w:val="16"/>
                <w:color w:val="auto"/>
              </w:rPr>
              <w:t>Treasury stock-common stock, at cost, 18,844,614 and 18,844,614 shares, respectively</w:t>
            </w:r>
          </w:p>
        </w:tc>
        <w:tc>
          <w:tcPr>
            <w:tcW w:w="12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(722 )</w:t>
            </w:r>
          </w:p>
        </w:tc>
        <w:tc>
          <w:tcPr>
            <w:tcW w:w="2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(722 )</w:t>
            </w:r>
          </w:p>
        </w:tc>
      </w:tr>
      <w:tr>
        <w:trPr>
          <w:trHeight w:val="22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861</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220" w:type="dxa"/>
            <w:vAlign w:val="bottom"/>
            <w:tcBorders>
              <w:bottom w:val="single" w:sz="8" w:color="auto"/>
            </w:tcBorders>
          </w:tcPr>
          <w:p>
            <w:pPr>
              <w:jc w:val="right"/>
              <w:ind w:right="106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2,569</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-4605655</wp:posOffset>
            </wp:positionV>
            <wp:extent cx="125857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58570" cy="17145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-3707130</wp:posOffset>
            </wp:positionV>
            <wp:extent cx="685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-3707130</wp:posOffset>
            </wp:positionV>
            <wp:extent cx="685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-2825115</wp:posOffset>
            </wp:positionV>
            <wp:extent cx="6858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-179070</wp:posOffset>
            </wp:positionV>
            <wp:extent cx="6858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Accumulated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520"/>
              <w:spacing w:after="0"/>
              <w:rPr>
                <w:sz w:val="20"/>
                <w:szCs w:val="20"/>
                <w:color w:val="auto"/>
              </w:rPr>
            </w:pPr>
            <w:r>
              <w:rPr>
                <w:rFonts w:ascii="Arial" w:cs="Arial" w:eastAsia="Arial" w:hAnsi="Arial"/>
                <w:sz w:val="12"/>
                <w:szCs w:val="12"/>
                <w:b w:val="1"/>
                <w:bCs w:val="1"/>
                <w:color w:val="auto"/>
                <w:w w:val="95"/>
              </w:rPr>
              <w:t>Class B</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Additional</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other</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spacing w:after="0"/>
              <w:rPr>
                <w:sz w:val="14"/>
                <w:szCs w:val="14"/>
                <w:color w:val="auto"/>
              </w:rPr>
            </w:pPr>
          </w:p>
        </w:tc>
        <w:tc>
          <w:tcPr>
            <w:tcW w:w="114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b w:val="1"/>
                <w:bCs w:val="1"/>
                <w:color w:val="auto"/>
                <w:w w:val="89"/>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paid-in</w:t>
            </w:r>
          </w:p>
        </w:tc>
        <w:tc>
          <w:tcPr>
            <w:tcW w:w="80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8"/>
              </w:rPr>
              <w:t>Retained</w:t>
            </w:r>
          </w:p>
        </w:tc>
        <w:tc>
          <w:tcPr>
            <w:tcW w:w="10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4"/>
              </w:rPr>
              <w:t>comprehensive</w:t>
            </w:r>
          </w:p>
        </w:tc>
        <w:tc>
          <w:tcPr>
            <w:tcW w:w="1080" w:type="dxa"/>
            <w:vAlign w:val="bottom"/>
            <w:tcBorders>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w w:val="86"/>
              </w:rPr>
              <w:t>Treasury stock</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86"/>
              </w:rPr>
              <w:t>Amoun</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20" w:type="dxa"/>
            <w:vAlign w:val="bottom"/>
          </w:tcPr>
          <w:p>
            <w:pPr>
              <w:spacing w:after="0"/>
              <w:rPr>
                <w:sz w:val="13"/>
                <w:szCs w:val="13"/>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w:t>
            </w:r>
          </w:p>
        </w:tc>
        <w:tc>
          <w:tcPr>
            <w:tcW w:w="240" w:type="dxa"/>
            <w:vAlign w:val="bottom"/>
          </w:tcPr>
          <w:p>
            <w:pPr>
              <w:spacing w:after="0"/>
              <w:rPr>
                <w:sz w:val="13"/>
                <w:szCs w:val="13"/>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w w:val="89"/>
              </w:rPr>
              <w:t>capital</w:t>
            </w:r>
          </w:p>
        </w:tc>
        <w:tc>
          <w:tcPr>
            <w:tcW w:w="20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9"/>
              </w:rPr>
              <w:t>earnings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w w:val="85"/>
              </w:rPr>
              <w:t>income (loss)</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8"/>
              </w:rPr>
              <w:t>Amount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b w:val="1"/>
                <w:bCs w:val="1"/>
                <w:color w:val="auto"/>
              </w:rPr>
              <w:t>138,698,30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line="146" w:lineRule="exact"/>
              <w:rPr>
                <w:sz w:val="20"/>
                <w:szCs w:val="20"/>
                <w:color w:val="auto"/>
              </w:rPr>
            </w:pPr>
            <w:r>
              <w:rPr>
                <w:rFonts w:ascii="Arial" w:cs="Arial" w:eastAsia="Arial" w:hAnsi="Arial"/>
                <w:sz w:val="13"/>
                <w:szCs w:val="13"/>
                <w:b w:val="1"/>
                <w:bCs w:val="1"/>
                <w:color w:val="auto"/>
              </w:rPr>
              <w:t>12,799,99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6" w:lineRule="exact"/>
              <w:rPr>
                <w:sz w:val="20"/>
                <w:szCs w:val="20"/>
                <w:color w:val="auto"/>
              </w:rPr>
            </w:pPr>
            <w:r>
              <w:rPr>
                <w:rFonts w:ascii="Arial" w:cs="Arial" w:eastAsia="Arial" w:hAnsi="Arial"/>
                <w:sz w:val="13"/>
                <w:szCs w:val="13"/>
                <w:b w:val="1"/>
                <w:bCs w:val="1"/>
                <w:color w:val="auto"/>
              </w:rPr>
              <w:t>(14,116,5</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w:t>
            </w:r>
          </w:p>
        </w:tc>
        <w:tc>
          <w:tcPr>
            <w:tcW w:w="380" w:type="dxa"/>
            <w:vAlign w:val="bottom"/>
            <w:gridSpan w:val="2"/>
            <w:shd w:val="clear" w:color="auto" w:fill="CFF0FC"/>
          </w:tcPr>
          <w:p>
            <w:pPr>
              <w:ind w:left="240"/>
              <w:spacing w:after="0"/>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w w:val="9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1"/>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1,150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681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(63 )</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34 )</w:t>
            </w:r>
          </w:p>
        </w:tc>
        <w:tc>
          <w:tcPr>
            <w:tcW w:w="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w w:val="94"/>
              </w:rPr>
              <w:t>(607 )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(289 )</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(289 )</w:t>
            </w:r>
          </w:p>
        </w:tc>
        <w:tc>
          <w:tcPr>
            <w:tcW w:w="0" w:type="dxa"/>
            <w:vAlign w:val="bottom"/>
          </w:tcPr>
          <w:p>
            <w:pPr>
              <w:spacing w:after="0"/>
              <w:rPr>
                <w:sz w:val="1"/>
                <w:szCs w:val="1"/>
                <w:color w:val="auto"/>
              </w:rPr>
            </w:pPr>
          </w:p>
        </w:tc>
      </w:tr>
      <w:tr>
        <w:trPr>
          <w:trHeight w:val="151"/>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Cumulative effect adjustment from adoption of</w:t>
            </w: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new accounting guidance</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(3 )</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Issuance of common stock related to exercise of</w:t>
            </w: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options and vesting of RSUs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2,076,914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820" w:type="dxa"/>
            <w:vAlign w:val="bottom"/>
            <w:vMerge w:val="restart"/>
          </w:tcPr>
          <w:p>
            <w:pPr>
              <w:ind w:left="20"/>
              <w:spacing w:after="0"/>
              <w:rPr>
                <w:sz w:val="20"/>
                <w:szCs w:val="20"/>
                <w:color w:val="auto"/>
              </w:rPr>
            </w:pPr>
            <w:r>
              <w:rPr>
                <w:rFonts w:ascii="Arial" w:cs="Arial" w:eastAsia="Arial" w:hAnsi="Arial"/>
                <w:sz w:val="13"/>
                <w:szCs w:val="13"/>
                <w:color w:val="auto"/>
              </w:rPr>
              <w:t>Repurchase of common stock (Note 15)</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(4,707,45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0 )</w:t>
            </w:r>
          </w:p>
        </w:tc>
        <w:tc>
          <w:tcPr>
            <w:tcW w:w="160" w:type="dxa"/>
            <w:vAlign w:val="bottom"/>
          </w:tcPr>
          <w:p>
            <w:pPr>
              <w:spacing w:after="0"/>
              <w:rPr>
                <w:sz w:val="7"/>
                <w:szCs w:val="7"/>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94"/>
              </w:rPr>
              <w:t>(115 )</w:t>
            </w:r>
          </w:p>
        </w:tc>
        <w:tc>
          <w:tcPr>
            <w:tcW w:w="100" w:type="dxa"/>
            <w:vAlign w:val="bottom"/>
          </w:tcPr>
          <w:p>
            <w:pPr>
              <w:spacing w:after="0"/>
              <w:rPr>
                <w:sz w:val="7"/>
                <w:szCs w:val="7"/>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(115 )</w:t>
            </w: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Withholding taxes on net share settlements of</w:t>
            </w: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 awards</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(21 )</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 (Note 14)</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(20,630 )</w:t>
            </w:r>
          </w:p>
        </w:tc>
        <w:tc>
          <w:tcPr>
            <w:tcW w:w="1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820" w:type="dxa"/>
            <w:vAlign w:val="bottom"/>
            <w:tcBorders>
              <w:top w:val="single" w:sz="8" w:color="CFF0FC"/>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140,775,22</w:t>
            </w: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12,799,99</w:t>
            </w: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(18,844,6</w:t>
            </w: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380" w:type="dxa"/>
            <w:vAlign w:val="bottom"/>
            <w:gridSpan w:val="2"/>
          </w:tcPr>
          <w:p>
            <w:pPr>
              <w:ind w:left="24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ind w:left="120"/>
              <w:spacing w:after="0"/>
              <w:rPr>
                <w:sz w:val="20"/>
                <w:szCs w:val="20"/>
                <w:color w:val="auto"/>
              </w:rPr>
            </w:pPr>
            <w:r>
              <w:rPr>
                <w:rFonts w:ascii="Arial" w:cs="Arial" w:eastAsia="Arial" w:hAnsi="Arial"/>
                <w:sz w:val="13"/>
                <w:szCs w:val="13"/>
                <w:b w:val="1"/>
                <w:bCs w:val="1"/>
                <w:color w:val="auto"/>
                <w:w w:val="91"/>
              </w:rPr>
              <w:t>—</w:t>
            </w: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rPr>
              <w:t>9</w:t>
            </w:r>
          </w:p>
        </w:tc>
        <w:tc>
          <w:tcPr>
            <w:tcW w:w="24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ind w:left="100"/>
              <w:spacing w:after="0"/>
              <w:rPr>
                <w:sz w:val="20"/>
                <w:szCs w:val="20"/>
                <w:color w:val="auto"/>
              </w:rPr>
            </w:pPr>
            <w:r>
              <w:rPr>
                <w:rFonts w:ascii="Arial" w:cs="Arial" w:eastAsia="Arial" w:hAnsi="Arial"/>
                <w:sz w:val="13"/>
                <w:szCs w:val="13"/>
                <w:b w:val="1"/>
                <w:bCs w:val="1"/>
                <w:color w:val="auto"/>
                <w:w w:val="91"/>
              </w:rPr>
              <w:t>—</w:t>
            </w: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1,253</w:t>
            </w:r>
          </w:p>
        </w:tc>
        <w:tc>
          <w:tcPr>
            <w:tcW w:w="2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389</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(34 )</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14 )</w:t>
            </w:r>
          </w:p>
        </w:tc>
        <w:tc>
          <w:tcPr>
            <w:tcW w:w="160" w:type="dxa"/>
            <w:vAlign w:val="bottom"/>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4"/>
              </w:rPr>
              <w:t>(722 )</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886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(148 )</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(148 )</w:t>
            </w: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(22 )</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51"/>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Issuance of common stock related to exercise of</w:t>
            </w: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options and vesting of RSUs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3,881,428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ind w:left="12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820" w:type="dxa"/>
            <w:vAlign w:val="bottom"/>
          </w:tcPr>
          <w:p>
            <w:pPr>
              <w:ind w:left="20"/>
              <w:spacing w:after="0"/>
              <w:rPr>
                <w:sz w:val="20"/>
                <w:szCs w:val="20"/>
                <w:color w:val="auto"/>
              </w:rPr>
            </w:pPr>
            <w:r>
              <w:rPr>
                <w:rFonts w:ascii="Arial" w:cs="Arial" w:eastAsia="Arial" w:hAnsi="Arial"/>
                <w:sz w:val="13"/>
                <w:szCs w:val="13"/>
                <w:color w:val="auto"/>
                <w:w w:val="99"/>
              </w:rPr>
              <w:t>Purchase of capped calls, net of tax of $9 million</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20" w:type="dxa"/>
            <w:vAlign w:val="bottom"/>
          </w:tcPr>
          <w:p>
            <w:pPr>
              <w:ind w:left="20"/>
              <w:spacing w:after="0"/>
              <w:rPr>
                <w:sz w:val="20"/>
                <w:szCs w:val="20"/>
                <w:color w:val="auto"/>
              </w:rPr>
            </w:pPr>
            <w:r>
              <w:rPr>
                <w:rFonts w:ascii="Arial" w:cs="Arial" w:eastAsia="Arial" w:hAnsi="Arial"/>
                <w:sz w:val="13"/>
                <w:szCs w:val="13"/>
                <w:color w:val="auto"/>
              </w:rPr>
              <w:t>(Note 9)</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(26 )</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51"/>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Withholding taxes on net share settlements of</w:t>
            </w: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 awards</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(44 )</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(44 )</w:t>
            </w: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 (Note 14)</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144,656,64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12,799,99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(18,844,6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December 31, 2021</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w:t>
            </w:r>
          </w:p>
        </w:tc>
        <w:tc>
          <w:tcPr>
            <w:tcW w:w="380" w:type="dxa"/>
            <w:vAlign w:val="bottom"/>
            <w:gridSpan w:val="2"/>
            <w:shd w:val="clear" w:color="auto" w:fill="CFF0FC"/>
          </w:tcPr>
          <w:p>
            <w:pPr>
              <w:ind w:left="240"/>
              <w:spacing w:after="0"/>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w w:val="9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1"/>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1,326</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241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(56 )</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14 )</w:t>
            </w:r>
          </w:p>
        </w:tc>
        <w:tc>
          <w:tcPr>
            <w:tcW w:w="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w w:val="94"/>
              </w:rPr>
              <w:t>(722 )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(26 )</w:t>
            </w: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51"/>
        </w:trPr>
        <w:tc>
          <w:tcPr>
            <w:tcW w:w="2820" w:type="dxa"/>
            <w:vAlign w:val="bottom"/>
          </w:tcPr>
          <w:p>
            <w:pPr>
              <w:ind w:left="20"/>
              <w:spacing w:after="0"/>
              <w:rPr>
                <w:sz w:val="20"/>
                <w:szCs w:val="20"/>
                <w:color w:val="auto"/>
              </w:rPr>
            </w:pPr>
            <w:r>
              <w:rPr>
                <w:rFonts w:ascii="Arial" w:cs="Arial" w:eastAsia="Arial" w:hAnsi="Arial"/>
                <w:sz w:val="13"/>
                <w:szCs w:val="13"/>
                <w:color w:val="auto"/>
                <w:w w:val="99"/>
              </w:rPr>
              <w:t>Issuance of common stock related to exercise of</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20" w:type="dxa"/>
            <w:vAlign w:val="bottom"/>
          </w:tcPr>
          <w:p>
            <w:pPr>
              <w:ind w:left="20"/>
              <w:spacing w:after="0"/>
              <w:rPr>
                <w:sz w:val="20"/>
                <w:szCs w:val="20"/>
                <w:color w:val="auto"/>
              </w:rPr>
            </w:pPr>
            <w:r>
              <w:rPr>
                <w:rFonts w:ascii="Arial" w:cs="Arial" w:eastAsia="Arial" w:hAnsi="Arial"/>
                <w:sz w:val="13"/>
                <w:szCs w:val="13"/>
                <w:color w:val="auto"/>
              </w:rPr>
              <w:t>options and vesting of RSUs</w:t>
            </w:r>
          </w:p>
        </w:tc>
        <w:tc>
          <w:tcPr>
            <w:tcW w:w="760" w:type="dxa"/>
            <w:vAlign w:val="bottom"/>
          </w:tcPr>
          <w:p>
            <w:pPr>
              <w:jc w:val="right"/>
              <w:spacing w:after="0"/>
              <w:rPr>
                <w:sz w:val="20"/>
                <w:szCs w:val="20"/>
                <w:color w:val="auto"/>
              </w:rPr>
            </w:pPr>
            <w:r>
              <w:rPr>
                <w:rFonts w:ascii="Arial" w:cs="Arial" w:eastAsia="Arial" w:hAnsi="Arial"/>
                <w:sz w:val="13"/>
                <w:szCs w:val="13"/>
                <w:color w:val="auto"/>
              </w:rPr>
              <w:t>2,234,889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Withholding taxes on net share settlements of</w:t>
            </w: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 awards</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(20 )</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rPr>
                <w:sz w:val="20"/>
                <w:szCs w:val="20"/>
                <w:color w:val="auto"/>
              </w:rPr>
            </w:pPr>
            <w:r>
              <w:rPr>
                <w:rFonts w:ascii="Arial" w:cs="Arial" w:eastAsia="Arial" w:hAnsi="Arial"/>
                <w:sz w:val="13"/>
                <w:szCs w:val="13"/>
                <w:color w:val="auto"/>
              </w:rPr>
              <w:t>Stock-based compensation (Note 14)</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146,891,53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12,799,99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(18,844,6</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December 31, 2022</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w w:val="91"/>
              </w:rPr>
              <w:t>—</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1"/>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1,404</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261</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b w:val="1"/>
                <w:bCs w:val="1"/>
                <w:color w:val="auto"/>
              </w:rPr>
              <w:t>(82 )</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14 )</w:t>
            </w:r>
          </w:p>
        </w:tc>
        <w:tc>
          <w:tcPr>
            <w:tcW w:w="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w w:val="94"/>
              </w:rPr>
              <w:t>(722 )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861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-2362835</wp:posOffset>
            </wp:positionV>
            <wp:extent cx="76835" cy="2139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-2362835</wp:posOffset>
            </wp:positionV>
            <wp:extent cx="76835" cy="2139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-2362835</wp:posOffset>
            </wp:positionV>
            <wp:extent cx="76835" cy="2139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-2362835</wp:posOffset>
            </wp:positionV>
            <wp:extent cx="76835" cy="2139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-2362835</wp:posOffset>
            </wp:positionV>
            <wp:extent cx="76835" cy="2139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-2362835</wp:posOffset>
            </wp:positionV>
            <wp:extent cx="68580" cy="2139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-2362835</wp:posOffset>
            </wp:positionV>
            <wp:extent cx="68580" cy="2139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-2362835</wp:posOffset>
            </wp:positionV>
            <wp:extent cx="68580" cy="2139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-2362835</wp:posOffset>
            </wp:positionV>
            <wp:extent cx="68580" cy="2139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2139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6615430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84"/>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82"/>
        </w:trPr>
        <w:tc>
          <w:tcPr>
            <w:tcW w:w="77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6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20</w:t>
            </w:r>
          </w:p>
        </w:tc>
        <w:tc>
          <w:tcPr>
            <w:tcW w:w="24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(148 )</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(289 )</w:t>
            </w:r>
          </w:p>
        </w:tc>
      </w:tr>
      <w:tr>
        <w:trPr>
          <w:trHeight w:val="189"/>
        </w:trPr>
        <w:tc>
          <w:tcPr>
            <w:tcW w:w="7760" w:type="dxa"/>
            <w:vAlign w:val="bottom"/>
            <w:shd w:val="clear" w:color="auto" w:fill="CFF0FC"/>
          </w:tcPr>
          <w:p>
            <w:pPr>
              <w:ind w:left="2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Stock-based compensation expense (Note 14)</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Deferred income tax expense (benefit) (Note 11)</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(19 )</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(44 )</w:t>
            </w:r>
          </w:p>
        </w:tc>
        <w:tc>
          <w:tcPr>
            <w:tcW w:w="2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(1 )</w:t>
            </w: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Provision for expected credit losses (Note 2)</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Impairment of goodwill (Note 7)</w:t>
            </w:r>
          </w:p>
        </w:tc>
        <w:tc>
          <w:tcPr>
            <w:tcW w:w="2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Loss on sale/disposal of business (Note 17)</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Other, net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r>
      <w:tr>
        <w:trPr>
          <w:trHeight w:val="162"/>
        </w:trPr>
        <w:tc>
          <w:tcPr>
            <w:tcW w:w="7760" w:type="dxa"/>
            <w:vAlign w:val="bottom"/>
            <w:shd w:val="clear" w:color="auto" w:fill="CFF0FC"/>
          </w:tcPr>
          <w:p>
            <w:pPr>
              <w:ind w:left="200"/>
              <w:spacing w:after="0" w:line="162" w:lineRule="exact"/>
              <w:rPr>
                <w:sz w:val="20"/>
                <w:szCs w:val="20"/>
                <w:color w:val="auto"/>
              </w:rPr>
            </w:pPr>
            <w:r>
              <w:rPr>
                <w:rFonts w:ascii="Arial" w:cs="Arial" w:eastAsia="Arial" w:hAnsi="Arial"/>
                <w:sz w:val="15"/>
                <w:szCs w:val="15"/>
                <w:color w:val="auto"/>
              </w:rPr>
              <w:t>Changes in operating assets and liabilities, net of effects from acquisitions and other</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60" w:type="dxa"/>
            <w:vAlign w:val="bottom"/>
            <w:shd w:val="clear" w:color="auto" w:fill="CFF0FC"/>
          </w:tcPr>
          <w:p>
            <w:pPr>
              <w:ind w:left="320"/>
              <w:spacing w:after="0"/>
              <w:rPr>
                <w:sz w:val="20"/>
                <w:szCs w:val="20"/>
                <w:color w:val="auto"/>
              </w:rPr>
            </w:pPr>
            <w:r>
              <w:rPr>
                <w:rFonts w:ascii="Arial" w:cs="Arial" w:eastAsia="Arial" w:hAnsi="Arial"/>
                <w:sz w:val="15"/>
                <w:szCs w:val="15"/>
                <w:color w:val="auto"/>
              </w:rPr>
              <w:t>investments:</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380"/>
              <w:spacing w:after="0"/>
              <w:rPr>
                <w:sz w:val="20"/>
                <w:szCs w:val="20"/>
                <w:color w:val="auto"/>
              </w:rPr>
            </w:pPr>
            <w:r>
              <w:rPr>
                <w:rFonts w:ascii="Arial" w:cs="Arial" w:eastAsia="Arial" w:hAnsi="Arial"/>
                <w:sz w:val="15"/>
                <w:szCs w:val="15"/>
                <w:color w:val="auto"/>
              </w:rPr>
              <w:t>Accounts receivable and contract assets, prepaid expenses and other assets</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(87 )</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(73 )</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payable, accrued expenses and other liabilities</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(28 )</w:t>
            </w:r>
          </w:p>
        </w:tc>
      </w:tr>
      <w:tr>
        <w:trPr>
          <w:trHeight w:val="189"/>
        </w:trPr>
        <w:tc>
          <w:tcPr>
            <w:tcW w:w="7760" w:type="dxa"/>
            <w:vAlign w:val="bottom"/>
          </w:tcPr>
          <w:p>
            <w:pPr>
              <w:ind w:left="380"/>
              <w:spacing w:after="0"/>
              <w:rPr>
                <w:sz w:val="20"/>
                <w:szCs w:val="20"/>
                <w:color w:val="auto"/>
              </w:rPr>
            </w:pPr>
            <w:r>
              <w:rPr>
                <w:rFonts w:ascii="Arial" w:cs="Arial" w:eastAsia="Arial" w:hAnsi="Arial"/>
                <w:sz w:val="15"/>
                <w:szCs w:val="15"/>
                <w:color w:val="auto"/>
              </w:rPr>
              <w:t>Deferred merchant payables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(124 )</w:t>
            </w:r>
          </w:p>
        </w:tc>
      </w:tr>
      <w:tr>
        <w:trPr>
          <w:trHeight w:val="189"/>
        </w:trPr>
        <w:tc>
          <w:tcPr>
            <w:tcW w:w="7760" w:type="dxa"/>
            <w:vAlign w:val="bottom"/>
            <w:shd w:val="clear" w:color="auto" w:fill="CFF0FC"/>
          </w:tcPr>
          <w:p>
            <w:pPr>
              <w:ind w:left="380"/>
              <w:spacing w:after="0"/>
              <w:rPr>
                <w:sz w:val="20"/>
                <w:szCs w:val="20"/>
                <w:color w:val="auto"/>
              </w:rPr>
            </w:pPr>
            <w:r>
              <w:rPr>
                <w:rFonts w:ascii="Arial" w:cs="Arial" w:eastAsia="Arial" w:hAnsi="Arial"/>
                <w:sz w:val="15"/>
                <w:szCs w:val="15"/>
                <w:color w:val="auto"/>
              </w:rPr>
              <w:t>Income tax receivables/payables, net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(81 )</w:t>
            </w:r>
          </w:p>
        </w:tc>
      </w:tr>
      <w:tr>
        <w:trPr>
          <w:trHeight w:val="189"/>
        </w:trPr>
        <w:tc>
          <w:tcPr>
            <w:tcW w:w="7760" w:type="dxa"/>
            <w:vAlign w:val="bottom"/>
          </w:tcPr>
          <w:p>
            <w:pPr>
              <w:ind w:left="38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(34 )</w:t>
            </w:r>
          </w:p>
        </w:tc>
      </w:tr>
      <w:tr>
        <w:trPr>
          <w:trHeight w:val="20"/>
        </w:trPr>
        <w:tc>
          <w:tcPr>
            <w:tcW w:w="7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Net cash provided by (used in) operating activities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(194 )</w:t>
            </w:r>
          </w:p>
        </w:tc>
      </w:tr>
      <w:tr>
        <w:trPr>
          <w:trHeight w:val="189"/>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Capital expenditures, including capitalized website development</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(56 )</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(54 )</w:t>
            </w:r>
          </w:p>
        </w:tc>
        <w:tc>
          <w:tcPr>
            <w:tcW w:w="2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(55 )</w:t>
            </w: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Acquisitions and other investments, net of cash acquired</w:t>
            </w:r>
          </w:p>
        </w:tc>
        <w:tc>
          <w:tcPr>
            <w:tcW w:w="2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(4 )</w:t>
            </w:r>
          </w:p>
        </w:tc>
      </w:tr>
      <w:tr>
        <w:trPr>
          <w:trHeight w:val="18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Other investing activities, net</w:t>
            </w: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Net cash provided by (used in) investing activities</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(52 )</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(54 )</w:t>
            </w:r>
          </w:p>
        </w:tc>
        <w:tc>
          <w:tcPr>
            <w:tcW w:w="2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(56 )</w:t>
            </w:r>
          </w:p>
        </w:tc>
      </w:tr>
      <w:tr>
        <w:trPr>
          <w:trHeight w:val="189"/>
        </w:trPr>
        <w:tc>
          <w:tcPr>
            <w:tcW w:w="77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Repurchase of common stock (Note 15)</w:t>
            </w:r>
          </w:p>
        </w:tc>
        <w:tc>
          <w:tcPr>
            <w:tcW w:w="2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(115 )</w:t>
            </w: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issuance of 2026 Senior Notes, net of financing costs (Note 9)</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Purchase of capped calls in connection with 2026 Senior Notes (Note 9)</w:t>
            </w:r>
          </w:p>
        </w:tc>
        <w:tc>
          <w:tcPr>
            <w:tcW w:w="2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(35 )</w:t>
            </w:r>
          </w:p>
        </w:tc>
        <w:tc>
          <w:tcPr>
            <w:tcW w:w="2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issuance of 2025 Senior Notes (Note 9)</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Payment of financing costs for the issuance of 2025 Senior Notes (Note 9)</w:t>
            </w:r>
          </w:p>
        </w:tc>
        <w:tc>
          <w:tcPr>
            <w:tcW w:w="2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(10 )</w:t>
            </w: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Proceeds from Credit Facility (Note 9)</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Payment of financing costs related to Credit Facility (Note 9)</w:t>
            </w:r>
          </w:p>
        </w:tc>
        <w:tc>
          <w:tcPr>
            <w:tcW w:w="2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(7 )</w:t>
            </w: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to Credit Facility (Note 9)</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(700 )</w:t>
            </w: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Proceeds from exercise of stock options (Note 14)</w:t>
            </w:r>
          </w:p>
        </w:tc>
        <w:tc>
          <w:tcPr>
            <w:tcW w:w="22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 of withholding taxes on net share settlements of equity awards</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(20 )</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(44 )</w:t>
            </w:r>
          </w:p>
        </w:tc>
        <w:tc>
          <w:tcPr>
            <w:tcW w:w="2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(21 )</w:t>
            </w: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Payments of finance lease obligation and other financing activities, net (Note 6)</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(7 )</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(6 )</w:t>
            </w:r>
          </w:p>
        </w:tc>
        <w:tc>
          <w:tcPr>
            <w:tcW w:w="22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(6 )</w:t>
            </w:r>
          </w:p>
        </w:tc>
      </w:tr>
      <w:tr>
        <w:trPr>
          <w:trHeight w:val="20"/>
        </w:trPr>
        <w:tc>
          <w:tcPr>
            <w:tcW w:w="7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(27 )</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341</w:t>
            </w:r>
          </w:p>
        </w:tc>
        <w:tc>
          <w:tcPr>
            <w:tcW w:w="100" w:type="dxa"/>
            <w:vAlign w:val="bottom"/>
            <w:shd w:val="clear" w:color="auto" w:fill="CFF0FC"/>
          </w:tcPr>
          <w:p>
            <w:pPr>
              <w:spacing w:after="0"/>
              <w:rPr>
                <w:sz w:val="15"/>
                <w:szCs w:val="15"/>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(23 )</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(12 )</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r>
      <w:tr>
        <w:trPr>
          <w:trHeight w:val="182"/>
        </w:trPr>
        <w:tc>
          <w:tcPr>
            <w:tcW w:w="77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Net increase (decrease) in cash, cash equivalents and restricted cash</w:t>
            </w:r>
          </w:p>
        </w:tc>
        <w:tc>
          <w:tcPr>
            <w:tcW w:w="2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298</w:t>
            </w:r>
          </w:p>
        </w:tc>
        <w:tc>
          <w:tcPr>
            <w:tcW w:w="2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305</w:t>
            </w:r>
          </w:p>
        </w:tc>
        <w:tc>
          <w:tcPr>
            <w:tcW w:w="2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99</w:t>
            </w:r>
          </w:p>
        </w:tc>
        <w:tc>
          <w:tcPr>
            <w:tcW w:w="100" w:type="dxa"/>
            <w:vAlign w:val="bottom"/>
            <w:shd w:val="clear" w:color="auto" w:fill="CFF0FC"/>
          </w:tcPr>
          <w:p>
            <w:pPr>
              <w:spacing w:after="0"/>
              <w:rPr>
                <w:sz w:val="15"/>
                <w:szCs w:val="15"/>
                <w:color w:val="auto"/>
              </w:rPr>
            </w:pPr>
          </w:p>
        </w:tc>
      </w:tr>
      <w:tr>
        <w:trPr>
          <w:trHeight w:val="189"/>
        </w:trPr>
        <w:tc>
          <w:tcPr>
            <w:tcW w:w="776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Pr>
          <w:p>
            <w:pPr>
              <w:spacing w:after="0"/>
              <w:rPr>
                <w:sz w:val="16"/>
                <w:szCs w:val="16"/>
                <w:color w:val="auto"/>
              </w:rPr>
            </w:pPr>
          </w:p>
        </w:tc>
      </w:tr>
      <w:tr>
        <w:trPr>
          <w:trHeight w:val="222"/>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1,021</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723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776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paid (received) during the period for income taxes, net of refunds</w:t>
            </w: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(40 )</w:t>
            </w: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5"/>
                <w:szCs w:val="15"/>
                <w:color w:val="auto"/>
              </w:rPr>
              <w:t>Cash paid during the period for interest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40</w:t>
            </w:r>
          </w:p>
        </w:tc>
        <w:tc>
          <w:tcPr>
            <w:tcW w:w="24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43</w:t>
            </w:r>
          </w:p>
        </w:tc>
        <w:tc>
          <w:tcPr>
            <w:tcW w:w="22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r>
      <w:tr>
        <w:trPr>
          <w:trHeight w:val="189"/>
        </w:trPr>
        <w:tc>
          <w:tcPr>
            <w:tcW w:w="776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62"/>
        </w:trPr>
        <w:tc>
          <w:tcPr>
            <w:tcW w:w="7760" w:type="dxa"/>
            <w:vAlign w:val="bottom"/>
          </w:tcPr>
          <w:p>
            <w:pPr>
              <w:ind w:left="200"/>
              <w:spacing w:after="0" w:line="162" w:lineRule="exact"/>
              <w:rPr>
                <w:sz w:val="20"/>
                <w:szCs w:val="20"/>
                <w:color w:val="auto"/>
              </w:rPr>
            </w:pPr>
            <w:r>
              <w:rPr>
                <w:rFonts w:ascii="Arial" w:cs="Arial" w:eastAsia="Arial" w:hAnsi="Arial"/>
                <w:sz w:val="15"/>
                <w:szCs w:val="15"/>
                <w:color w:val="auto"/>
              </w:rPr>
              <w:t>Stock-based compensation capitalized website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4"/>
        </w:trPr>
        <w:tc>
          <w:tcPr>
            <w:tcW w:w="7760" w:type="dxa"/>
            <w:vAlign w:val="bottom"/>
          </w:tcPr>
          <w:p>
            <w:pPr>
              <w:ind w:left="320"/>
              <w:spacing w:after="0"/>
              <w:rPr>
                <w:sz w:val="20"/>
                <w:szCs w:val="20"/>
                <w:color w:val="auto"/>
              </w:rPr>
            </w:pPr>
            <w:r>
              <w:rPr>
                <w:rFonts w:ascii="Arial" w:cs="Arial" w:eastAsia="Arial" w:hAnsi="Arial"/>
                <w:sz w:val="15"/>
                <w:szCs w:val="15"/>
                <w:color w:val="auto"/>
              </w:rPr>
              <w:t>development costs (Note 14)</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w:t>
            </w:r>
          </w:p>
        </w:tc>
        <w:tc>
          <w:tcPr>
            <w:tcW w:w="22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-2922905</wp:posOffset>
            </wp:positionV>
            <wp:extent cx="76835" cy="128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-2922905</wp:posOffset>
            </wp:positionV>
            <wp:extent cx="68580"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-2922905</wp:posOffset>
            </wp:positionV>
            <wp:extent cx="68580"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-730885</wp:posOffset>
            </wp:positionV>
            <wp:extent cx="159258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92580" cy="145415"/>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DESCRIPTION</w:t>
      </w:r>
    </w:p>
    <w:p>
      <w:pPr>
        <w:spacing w:after="0" w:line="12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“Tripadvisor group,” “the Company,” “us,” “we” and “our” in these notes to the consolidated financial statements.</w:t>
      </w:r>
    </w:p>
    <w:p>
      <w:pPr>
        <w:spacing w:after="0" w:line="169"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On December 20, 2011, Expedia Group, Inc. (“Expedia”) completed a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83"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64"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56"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As a result of these transactions, and as of December 31, 2022, LTRIP beneficially owned approximately 16.4 million shares of our common stock and 12.8 million shares of our Class B common stock, which constitute nearly 13% of the outstanding shares of common stock and 100% of the outstanding shares of Class B common stock. Assuming the conversion of all of LTRIP’s shares of Class B common stock into common stock, LTRIP would beneficially own nearly 21% of the outstanding common stock. Because each share of Class B common stock is entitled to ten votes per share and each share of common stock is entitled to one vote per share, LTRIP may be deemed to beneficially own equity securities representing approximately 56% of our voting power.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Tripadvisor group operates as a family of brands with a purpose of connecting people to experiences worth sharing. Our vision is to be the world’s most trusted source for travel and experiences. The Company operates across three reportable segments: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70"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Tripadvisor Core’s purpose is to empower everyone to be a better traveler by serving as the world’s most trusted and essential travel guidance platform. The Tripadvisor brand offers travelers and experience seekers an online global platform for travelers to discover, generate, and share authentic user-generated content (“UGC”) in the form of ratings and reviews for destinations, points-of-interest (“POIs”), experiences, accommodations, restaurants, and cruises in over 40 countries and over 20 languages across the world. As of December 31, 2022, Tripadvisor offered more than 1 billion user-generated ratings and reviews on nearly 8 million experiences, accommodations, restaurants, airlines, and cruises.</w:t>
      </w:r>
    </w:p>
    <w:p>
      <w:pPr>
        <w:spacing w:after="0" w:line="175"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Viator enables travelers to discover and book iconic, unique and memorable experiences from experience operators around the globe. Our online marketplace is comprehensive, connecting travelers to bookable tours, activities and attractions—consisting of over 300,000 experiences from more than 50,000 operators as of December 31, 2022.</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0" w:name="page61"/>
    <w:bookmarkEnd w:id="60"/>
    <w:p>
      <w:pPr>
        <w:ind w:firstLine="509"/>
        <w:spacing w:after="0" w:line="277" w:lineRule="auto"/>
        <w:rPr>
          <w:sz w:val="20"/>
          <w:szCs w:val="20"/>
          <w:color w:val="auto"/>
        </w:rPr>
      </w:pPr>
      <w:r>
        <w:rPr>
          <w:rFonts w:ascii="Arial" w:cs="Arial" w:eastAsia="Arial" w:hAnsi="Arial"/>
          <w:sz w:val="18"/>
          <w:szCs w:val="18"/>
          <w:color w:val="auto"/>
        </w:rPr>
        <w:t>TheFork provides an online marketplace that enables diners to discover and book online reservations at more than 55,000 restaurants in 12 countries, as of December 31, 2022, across the UK, western and central Europe, and Australia.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ind w:right="320" w:firstLine="509"/>
        <w:spacing w:after="0" w:line="271" w:lineRule="auto"/>
        <w:rPr>
          <w:sz w:val="20"/>
          <w:szCs w:val="20"/>
          <w:color w:val="auto"/>
        </w:rPr>
      </w:pPr>
      <w:r>
        <w:rPr>
          <w:rFonts w:ascii="Arial" w:cs="Arial" w:eastAsia="Arial" w:hAnsi="Arial"/>
          <w:sz w:val="17"/>
          <w:szCs w:val="17"/>
          <w:color w:val="auto"/>
        </w:rPr>
        <w:t>In December 2019, a novel strain of coronavirus (“COVID-19”) was reported in Wuhan, China, and on March 11, 2020 was declared a global pandemic. COVID-19 caused material and adverse declines in consumer demand within the travel, hospitality, restaurant, and leisure industry. The pandemic’s proliferation, concurrent with travel bans, varying levels of governmental restrictions and mandates globally to limit the spread of the virus, dampened consumer demand for our products and services, and impacted consumer sentiment and discretionary spending patterns. Consequently, the COVID-19 pandemic adversely and materially affected our business, results of operations, liquidity and financial condition during the years ended December 31, 2021 and 2020. In 2022, we generally experienced a travel demand recovery fueled by the continued easing of government restrictions globally and increased consumer travel demand.</w:t>
      </w:r>
    </w:p>
    <w:p>
      <w:pPr>
        <w:spacing w:after="0" w:line="18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 xml:space="preserve">During the year ended December 31, 2020, in response to the COVID-19 pandemic, we took several steps to further strengthen our financial position and balance sheet including but not limited to, restructuring activities, primarily by significantly reducing our ongoing operating expenses and headcount. During the year ended December 31, 2020, the Company incurred total restructuring and other related reorganization costs of $41 million which consisted of employee severance and related benefits. In addition, in order to maintain financial liquidity and flexibility during this time period, the Company (i) borrowed $700 million from our Credit Facility in the first quarter of 2020 (subsequently repaid during the third quarter of 2020); (ii) amended our Credit Agreement, which included short-term financial covenant relief and the extension of the maturity date from May 12, 2022 to May 12, 2024; and (iii) raised additional financing through the issuance of $500 million in Senior Notes by the Company in July 2020, all which are described in more detail in “Note 9: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9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may continue to be subject to risks and uncertainties related to the COVID-19 pandemic. We believe the travel, leisure, hospitality, and restaurant industries, and our financial results, would be adversely and materially affected upon a resurgence of existing COVID-19 variants (e.g., Delta, Omicron, and BA.5) or if new variants emerge, which result in reinstated travel bans and/or other government restrictions and mandates, all of which would likely negatively impact consumer demand, sentiment and discretionary spending patterns.</w:t>
      </w:r>
    </w:p>
    <w:p>
      <w:pPr>
        <w:spacing w:after="0" w:line="18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Additionally, other distinct health-related events, political instability, geopolitical conflicts, acts of terrorism, fluctuations in currency values, changes in global economic conditions, including the impact of a potential U.S. recession, and increased inflation, are examples of other events that could have a negative impact on the travel industry, and as a result, our financial results in the future.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 xml:space="preserve">Consumers'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 </w:t>
      </w:r>
      <w:r>
        <w:rPr>
          <w:rFonts w:ascii="Arial" w:cs="Arial" w:eastAsia="Arial" w:hAnsi="Arial"/>
          <w:sz w:val="17"/>
          <w:szCs w:val="17"/>
          <w:color w:val="231F20"/>
        </w:rPr>
        <w:t>In addition, during the first half of the year, experience bookings</w:t>
      </w:r>
      <w:r>
        <w:rPr>
          <w:rFonts w:ascii="Arial" w:cs="Arial" w:eastAsia="Arial" w:hAnsi="Arial"/>
          <w:sz w:val="17"/>
          <w:szCs w:val="17"/>
          <w:color w:val="auto"/>
        </w:rPr>
        <w:t xml:space="preserve"> </w:t>
      </w:r>
      <w:r>
        <w:rPr>
          <w:rFonts w:ascii="Arial" w:cs="Arial" w:eastAsia="Arial" w:hAnsi="Arial"/>
          <w:sz w:val="17"/>
          <w:szCs w:val="17"/>
          <w:color w:val="231F20"/>
        </w:rPr>
        <w:t>typically exceed the amount of completed experiences,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7"/>
          <w:szCs w:val="17"/>
          <w:color w:val="000000"/>
        </w:rPr>
        <w:t>.</w:t>
      </w:r>
    </w:p>
    <w:p>
      <w:pPr>
        <w:spacing w:after="0" w:line="176"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Certain factors may impact our typical seasonal fluctuations, which may include any significant shifts in our business mix or adverse economic conditions that could result in future seasonal patterns that are different from historical trends. For example, the negative impact to our business from COVID-19 materially affected our historical trends at varying levels during the years ended December 31, 2021 and 2020, while these trends significantly improved during the year ended December 31, 2022, resulting in increased revenues, and working capital and operating cash flow more akin to typical historical seasonality trends.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Additionally, certain prior period amounts may have been reclassified for comparability with the current period presentation, none of which were material.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or the results of our future operations and cash flows.</w:t>
      </w:r>
    </w:p>
    <w:p>
      <w:pPr>
        <w:spacing w:after="0" w:line="5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 xml:space="preserve">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 underlying our consolidated financial statements is accounting for income taxes. Refer to our accounting policy for income taxes disclosed below and "Note 11: </w:t>
      </w:r>
      <w:r>
        <w:rPr>
          <w:rFonts w:ascii="Arial" w:cs="Arial" w:eastAsia="Arial" w:hAnsi="Arial"/>
          <w:sz w:val="18"/>
          <w:szCs w:val="18"/>
          <w:i w:val="1"/>
          <w:iCs w:val="1"/>
          <w:color w:val="auto"/>
        </w:rPr>
        <w:t>Income Taxes</w:t>
      </w:r>
      <w:r>
        <w:rPr>
          <w:rFonts w:ascii="Arial" w:cs="Arial" w:eastAsia="Arial" w:hAnsi="Arial"/>
          <w:sz w:val="18"/>
          <w:szCs w:val="18"/>
          <w:color w:val="auto"/>
        </w:rPr>
        <w:t>" for information regarding our significant income tax estimates.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for a discussion about our revenue recognition policies and other financial disclosures.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Selling and marketing expenses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We incur advertising costs, consisting of online advertising expense, primarily SEM and other online traffic costs, and offline advertising costs, including television, to promote our brands. We expense the costs associated with communicating the advertisements in the period in which the advertisement takes place. We expense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2" w:name="page63"/>
    <w:bookmarkEnd w:id="62"/>
    <w:p>
      <w:pPr>
        <w:ind w:right="220"/>
        <w:spacing w:after="0" w:line="259" w:lineRule="auto"/>
        <w:rPr>
          <w:sz w:val="20"/>
          <w:szCs w:val="20"/>
          <w:color w:val="auto"/>
        </w:rPr>
      </w:pPr>
      <w:r>
        <w:rPr>
          <w:rFonts w:ascii="Arial" w:cs="Arial" w:eastAsia="Arial" w:hAnsi="Arial"/>
          <w:sz w:val="18"/>
          <w:szCs w:val="18"/>
          <w:color w:val="auto"/>
        </w:rPr>
        <w:t>production costs associated with advertisements in the period in which the advertisement first takes place. For the years ended December 31, 2022, 2021 and 2020, we recorded advertising expense of $572 million, $282 million, and $118 million, respectively, in selling and marketing expense on our consolidated statements of operations. We include prepaid advertising expenses in prepaid expenses and other current assets on our consolidated balance sheet, which was not material as of December 31, 2022 and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expense, computer supplies, telecom costs, content translation and localization costs, and consulting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operating costs including bad debt expense, non-income taxes, such as sales, use, digital services, and other non-income related taxes.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Our employee stock options generally consist of service based awards. The exercise price is equal to the market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shares of our common stock at the date of grant. In this regard, when granting stock option awards, our practice is to determine the applicable grant date and to specify that the exercise price shall be the closing price of our common stock on the date of grant. 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7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 Our risk-free interest rate is based on the yields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common stock. Historical volatility is determined using actual daily price observations of our common stock price over a period equivalent to or approximate to the expected term of our stock option grants to date. Implied volatility represents the volatility calculated from the observed prices of our actively traded options on our common stock. When measuring implied volatility for a specific employee stock option grant, we generally rely on traded contracts with six month maturities or more and exercise prices approximately equal to the exercise price of the specific option grant. We estimate our expected term using historical exercise behavior and expected post-vest termination data. Our expected dividend yield is zero as we have not historically paid regular cash dividends on our common stock and do not expect to pay regular cash dividends for the foreseeable future.</w:t>
      </w:r>
    </w:p>
    <w:p>
      <w:pPr>
        <w:spacing w:after="0" w:line="179" w:lineRule="exact"/>
        <w:rPr>
          <w:sz w:val="20"/>
          <w:szCs w:val="20"/>
          <w:color w:val="auto"/>
        </w:rPr>
      </w:pPr>
    </w:p>
    <w:p>
      <w:pPr>
        <w:jc w:val="both"/>
        <w:ind w:right="20" w:firstLine="509"/>
        <w:spacing w:after="0" w:line="301"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(“RSUs”) are stock awards that are granted to employees entitling the holder to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as the award vests. RSUs are measured at fair value based on the quoted price of our common stock at the date of grant. We amortize the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3" w:name="page64"/>
    <w:bookmarkEnd w:id="63"/>
    <w:p>
      <w:pPr>
        <w:ind w:right="40" w:firstLine="509"/>
        <w:spacing w:after="0" w:line="288"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Performance-based stock options and RSUs vest upon achievement of certain company-based performance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 requisite service period. On the date of grant, the fair value of a performance-based award is calculated using the same method as our service based stock options and RSUs described above. We then assess whether it is probable that the individual performance targets would be achieved. If assessed as probable, compensation expense will be recorded for these awards over the estimated performance period. At each reporting period, we reassess the probability of achieving the performance targets and the performance period required to meet those targets. The estimation of whether the performance targets will be achieved and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65"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i w:val="1"/>
          <w:iCs w:val="1"/>
          <w:color w:val="auto"/>
        </w:rPr>
        <w:t>Market-Based Awards</w:t>
      </w:r>
      <w:r>
        <w:rPr>
          <w:rFonts w:ascii="Arial" w:cs="Arial" w:eastAsia="Arial" w:hAnsi="Arial"/>
          <w:sz w:val="18"/>
          <w:szCs w:val="18"/>
          <w:color w:val="auto"/>
        </w:rPr>
        <w:t>. We issue market-based performance RSUs, or MSUs, which vest upon achievement of specified levels of market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our MSUs is estimated at the date of grant using a Monte-Carlo simulation model. The probabilities of the actual number of market-based performance units expected to vest and resultant actual number of shares of common stock expected to be awarded are reflected in the grant date fair values; therefore, the compensation expense for these awards will be recognized assuming the requisite service period is rendered and are not adjusted based on the actual number of awards that ultimately vest.</w:t>
      </w:r>
    </w:p>
    <w:p>
      <w:pPr>
        <w:spacing w:after="0" w:line="19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The Company accounts for forfeitures in the period in which they occur, rather than estimating expected forfeitures.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We classify deferred tax assets and liabilities as noncurrent on our consolidated balance sheet.</w:t>
      </w:r>
    </w:p>
    <w:p>
      <w:pPr>
        <w:spacing w:after="0" w:line="165"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Restricted Cash and Marketable Securities</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Our cash consists of bank deposits held in global financial institutions. Our cash equivalents generally consist of highly liquid investments, generally including money market funds, available on demand cash deposits, term deposits, and marketable securities, with maturities of 90 days or less at the date of purchase.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ind w:right="320" w:firstLine="509"/>
        <w:spacing w:after="0" w:line="277" w:lineRule="auto"/>
        <w:rPr>
          <w:sz w:val="20"/>
          <w:szCs w:val="20"/>
          <w:color w:val="auto"/>
        </w:rPr>
      </w:pPr>
      <w:r>
        <w:rPr>
          <w:rFonts w:ascii="Arial" w:cs="Arial" w:eastAsia="Arial" w:hAnsi="Arial"/>
          <w:sz w:val="18"/>
          <w:szCs w:val="18"/>
          <w:color w:val="auto"/>
        </w:rPr>
        <w:t>For all periods presented, our restricted cash, which primarily consists of escrowed security deposits, was not material and is included in prepaid expenses and other current assets on our consolidated balance sheet.</w:t>
      </w:r>
    </w:p>
    <w:p>
      <w:pPr>
        <w:spacing w:after="0" w:line="16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classify marketable securities as either short-term or long-term based on each instrument’s underlying contractual maturity date and as to whether and when we intend to sell a particular security prior to its maturity date. Marketable securities with maturities greater than 90 days at the date of purchase and 12 months or less remaining at the balance sheet date will be classified as short-term and marketable securities with maturities greater than 12 months from the balance sheet date will generally be classified as long-term. We classify marketable equity securities, limited by policy to money market funds and mutual funds, as either a cash equivalent, short-term or long-term based on the nature of each security and its availability for use in current operations.</w:t>
      </w:r>
    </w:p>
    <w:p>
      <w:pPr>
        <w:spacing w:after="0" w:line="8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marketable securities are classified and accounted for as available-for-sale, and therefore are carried at fair value, with unrealized gains and losses, net of taxes, reported in accumulated other comprehensive income (loss) as a component of stockholders’ equity. Fair values are determined for each individual security in the investment portfolio. We determine the appropriate classification of our marketable securities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 Realized gains and losses on the sale of marketable securities are determined by specific identification of each security’s cost basis. We may sell certain of our marketable securities prior to their stated maturities for strategic reasons including, but not limited to, anticipation of credit deterioration, liquidity, and duration management. The weighted average maturity of our total invested cash shall not exceed 18 months, and no security shall have a final maturity date greater than three years, according to our investment policy.</w:t>
      </w:r>
    </w:p>
    <w:p>
      <w:pPr>
        <w:spacing w:after="0" w:line="182"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continually review any available-for-sale securities to determine whether their fair value is below their carrying value. If the fair value of an available-for-sale security is below their carrying value, and either we intend to sell the security or we will be required to sell before recovery, then the difference between fair value and carrying value is recognized as a loss in other income (expense), net on our consolidated statements of operations. If we do not intend to sell and we will not be required to sell before recovery, then we analyze whether a portion of the unrealized loss is the result of a credit loss. When a portion of the unrealized loss is the result of a credit loss, we recognize an allowance for credit losses on our consolidated balance sheet and a corresponding loss in other income (expense), net on our consolidated statements of operations. Any portion of the unrealized loss on the available-for-sale securities that is not attributable to a credit loss would be recognized as an unrealized loss in accumulated other comprehensive income (loss) within our consolidated statements of changes in stockholders’ equity.</w:t>
      </w:r>
    </w:p>
    <w:p>
      <w:pPr>
        <w:spacing w:after="0" w:line="182"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The Company's investment portfolio at any point in time may contain various investments, including, in U.S. treasury and U.S. government agency securities, taxable and tax-exempt municipal notes, corporate notes and bonds, commercial paper, non-U.S. government agency securities, overnight demand deposits, and money market funds. The Company segments its portfolio based on the underlying risk profiles of the securities and has a zero loss expectation for U.S. treasury and U.S. government agency securities. The Company regularly reviews the securities in an unrealized loss position and evaluates the expected credit loss risk by considering factors such as historical experience, market data, issuer-specific factors, and current economic conditions. As of December 31, 2022 and 2021, the Company had no available-for-sale securities.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Accounts receivable are recognized when the right to consideration becomes unconditional and are recorded net of an allowance for credit losses. We record accounts receivable at the invoiced amount. Our customer invoices are generally due 30 days from the time of invoicing. The Company uses the “expected credit loss” methodology, allowed under GAAP, in estimating its allowance for credit losses. We apply the “expected credit loss” methodology by first assessing our historical losses based on credit sales and then adding in an assessment of expected changes in the foreseeable future, whether positive or negative, to the Company’s ability to collect its outstanding accounts receivables, or the expectation for future losses. The Company develops its expectation for future losses by assessing the profiles of its customers using their historical payment patterns, any known changes to those customers’ ability to fulfill their payment obligations, and assessing broader economic conditions that may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5" w:name="page66"/>
    <w:bookmarkEnd w:id="65"/>
    <w:p>
      <w:pPr>
        <w:spacing w:after="0" w:line="270" w:lineRule="auto"/>
        <w:rPr>
          <w:sz w:val="20"/>
          <w:szCs w:val="20"/>
          <w:color w:val="auto"/>
        </w:rPr>
      </w:pPr>
      <w:r>
        <w:rPr>
          <w:rFonts w:ascii="Arial" w:cs="Arial" w:eastAsia="Arial" w:hAnsi="Arial"/>
          <w:sz w:val="17"/>
          <w:szCs w:val="17"/>
          <w:color w:val="auto"/>
        </w:rPr>
        <w:t>impact our customers’ ability to pay their obligations. Where appropriate, the Company performs this analysis using a portfolio approach. Portfolios comprise customers with similar characteristics and payment history, and we have concluded that the aggregation of these customers into various portfolios does not produce a result that is materially different from considering the affected customers individually. Customers are assigned internal credit ratings, as determined by the Company, based on our collection profiles. Customers whose outstanding obligations are less likely to experience a credit loss are assigned a higher internal credit rating, and those customers whose outstanding obligations are more likely to experience a credit loss are assigned a lower credit rating. We recognize a greater credit loss allowance on the accounts receivable due from those customers in the lower credit tranche, as determined by the Company. When the Company becomes aware of facts and circumstances affecting an individual customer, it also takes that specific customer information into account as part of its calculation of expected credit losses.</w:t>
      </w:r>
    </w:p>
    <w:p>
      <w:pPr>
        <w:spacing w:after="0" w:line="182"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The Company's exposure to credit losses may increase if our customers are adversely affected by changes in macroeconomic pressures or uncertainty associated with local or global economic recessions, or other customer-specific factors.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our allowance for credit losses for the periods presented:</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7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Provision charged to expense</w:t>
            </w:r>
          </w:p>
        </w:tc>
        <w:tc>
          <w:tcPr>
            <w:tcW w:w="7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600" w:type="dxa"/>
            <w:vAlign w:val="bottom"/>
          </w:tcPr>
          <w:p>
            <w:pPr>
              <w:ind w:left="180"/>
              <w:spacing w:after="0"/>
              <w:rPr>
                <w:sz w:val="20"/>
                <w:szCs w:val="20"/>
                <w:color w:val="auto"/>
              </w:rPr>
            </w:pPr>
            <w:r>
              <w:rPr>
                <w:rFonts w:ascii="Arial" w:cs="Arial" w:eastAsia="Arial" w:hAnsi="Arial"/>
                <w:sz w:val="18"/>
                <w:szCs w:val="18"/>
                <w:color w:val="auto"/>
              </w:rPr>
              <w:t>Write-offs, net of recoveries and other</w:t>
            </w:r>
          </w:p>
        </w:tc>
        <w:tc>
          <w:tcPr>
            <w:tcW w:w="700" w:type="dxa"/>
            <w:vAlign w:val="bottom"/>
          </w:tcPr>
          <w:p>
            <w:pPr>
              <w:spacing w:after="0"/>
              <w:rPr>
                <w:sz w:val="18"/>
                <w:szCs w:val="18"/>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18"/>
                <w:szCs w:val="18"/>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(8 )</w:t>
            </w:r>
          </w:p>
        </w:tc>
        <w:tc>
          <w:tcPr>
            <w:tcW w:w="200" w:type="dxa"/>
            <w:vAlign w:val="bottom"/>
          </w:tcPr>
          <w:p>
            <w:pPr>
              <w:spacing w:after="0"/>
              <w:rPr>
                <w:sz w:val="18"/>
                <w:szCs w:val="18"/>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5600" w:type="dxa"/>
            <w:vAlign w:val="bottom"/>
          </w:tcPr>
          <w:p>
            <w:pPr>
              <w:ind w:left="320"/>
              <w:spacing w:after="0"/>
              <w:rPr>
                <w:sz w:val="20"/>
                <w:szCs w:val="20"/>
                <w:color w:val="auto"/>
              </w:rPr>
            </w:pPr>
            <w:r>
              <w:rPr>
                <w:rFonts w:ascii="Arial" w:cs="Arial" w:eastAsia="Arial" w:hAnsi="Arial"/>
                <w:sz w:val="18"/>
                <w:szCs w:val="18"/>
                <w:color w:val="auto"/>
              </w:rPr>
              <w:t>adjustments</w:t>
            </w:r>
          </w:p>
        </w:tc>
        <w:tc>
          <w:tcPr>
            <w:tcW w:w="70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Balance, end of period</w:t>
            </w:r>
          </w:p>
        </w:tc>
        <w:tc>
          <w:tcPr>
            <w:tcW w:w="70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-24765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-7620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-24765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63"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We compute depreciation using the straight-line method over the estimated useful lives of the assets, which is three to five years for computer equipment, capitalized website development, office furniture and other equipment. We depreciate leasehold improvements using the straight-line method, over the shorter of the estimated useful life of the improvement or the remaining term of the 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240" w:firstLine="509"/>
        <w:spacing w:after="0" w:line="279" w:lineRule="auto"/>
        <w:rPr>
          <w:sz w:val="20"/>
          <w:szCs w:val="20"/>
          <w:color w:val="auto"/>
        </w:rPr>
      </w:pPr>
      <w:r>
        <w:rPr>
          <w:rFonts w:ascii="Arial" w:cs="Arial" w:eastAsia="Arial" w:hAnsi="Arial"/>
          <w:sz w:val="17"/>
          <w:szCs w:val="17"/>
          <w:color w:val="auto"/>
        </w:rPr>
        <w:t xml:space="preserve">We lease office space in a number of countries around the world, generally under non-cancelable operating lease agreements. Our Headquarters Lease is our most significant office space lease and is accounted for as a finance lease under GAAP. The Company has also entered into data center and certain equipment leases, such as network equipment and other leases, which are not material to our consolidated financial statements. Refer to “Note 6: </w:t>
      </w:r>
      <w:r>
        <w:rPr>
          <w:rFonts w:ascii="Arial" w:cs="Arial" w:eastAsia="Arial" w:hAnsi="Arial"/>
          <w:sz w:val="17"/>
          <w:szCs w:val="17"/>
          <w:i w:val="1"/>
          <w:iCs w:val="1"/>
          <w:color w:val="auto"/>
        </w:rPr>
        <w:t>Leases</w:t>
      </w:r>
      <w:r>
        <w:rPr>
          <w:rFonts w:ascii="Arial" w:cs="Arial" w:eastAsia="Arial" w:hAnsi="Arial"/>
          <w:sz w:val="17"/>
          <w:szCs w:val="17"/>
          <w:color w:val="auto"/>
        </w:rPr>
        <w:t>” for a discussion of our lease accounting policy and other required financial disclosures.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Investments</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account for non-marketable equity investments through which we exercise significant influence but do not have control over the investee under the equity method. Under this method, the investment, originally recorded at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6" w:name="page67"/>
    <w:bookmarkEnd w:id="66"/>
    <w:p>
      <w:pPr>
        <w:ind w:right="80"/>
        <w:spacing w:after="0" w:line="311" w:lineRule="auto"/>
        <w:rPr>
          <w:sz w:val="20"/>
          <w:szCs w:val="20"/>
          <w:color w:val="auto"/>
        </w:rPr>
      </w:pPr>
      <w:r>
        <w:rPr>
          <w:rFonts w:ascii="Arial" w:cs="Arial" w:eastAsia="Arial" w:hAnsi="Arial"/>
          <w:sz w:val="16"/>
          <w:szCs w:val="16"/>
          <w:color w:val="auto"/>
        </w:rPr>
        <w:t>cost, is adjusted to recognize the Company’s share of net earnings or losses of the investment as they occur rather than as dividends or other distributions are received. Losses are limited to the extent of the Company’s investment in, advances to and commitments for the investee. In the event we are unable to obtain accurate financial information from the investee in a timely manner, we record our share of earnings or losses of such equity investment on a lag.</w:t>
      </w:r>
    </w:p>
    <w:p>
      <w:pPr>
        <w:spacing w:after="0" w:line="148"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Non-marketable equity investments that are not accounted for under the equity method and that do not have a readily determinable fair value are accounted for under the measurement alternative, allowed under GAAP.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We classify our non-marketable equity investments as long-term assets on our consolidated balance sheet as those investments do not have stated contractual maturity dates.</w:t>
      </w:r>
    </w:p>
    <w:p>
      <w:pPr>
        <w:spacing w:after="0" w:line="175"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On a quarterly basis, we perform a qualitative assessment considering impairment indicators, if any, to evaluate whether these investments are impaired. Qualitative factors considered include industry and market conditions, financial performance, business prospects, and other relevant events and factors. When indicators of impairment exist, we prepare a quantitative assessment of the fair value of our equity investments, which may include using both the market and income approaches which require judgment and the use of estimates, including discount rates, investee revenues and costs, and available comparable market data of private and public companies, among others. When our assessment indicates that an impairment exists, we measure our non-marketable equity investments at fair value.</w:t>
      </w:r>
    </w:p>
    <w:p>
      <w:pPr>
        <w:spacing w:after="0" w:line="1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Valuations of such privately-held companies are inherently complex and uncertain due to the lack of liquid market for such company’s securities. In addition,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account for acquired businesses using the acquisition method of accounting which requires that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estimates and assumptions, especially with respect to intangible assets. Significant estimates in valuing certain intangible assets may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third-party valuation specialists under management's supervision, where appropriate. Any changes to provisional amounts identified during the measurement period, calculated as if the accounting had been completed as of the acquisition date, are recognized in the consolidated financial statements in the reporting period in which the adjustment amounts are determined.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0" w:firstLine="509"/>
        <w:spacing w:after="0" w:line="275"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in which such goodwill was generated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7" w:name="page68"/>
    <w:bookmarkEnd w:id="67"/>
    <w:p>
      <w:pPr>
        <w:ind w:right="360"/>
        <w:spacing w:after="0" w:line="277" w:lineRule="auto"/>
        <w:rPr>
          <w:sz w:val="20"/>
          <w:szCs w:val="20"/>
          <w:color w:val="auto"/>
        </w:rPr>
      </w:pPr>
      <w:r>
        <w:rPr>
          <w:rFonts w:ascii="Arial" w:cs="Arial" w:eastAsia="Arial" w:hAnsi="Arial"/>
          <w:sz w:val="18"/>
          <w:szCs w:val="18"/>
          <w:color w:val="auto"/>
        </w:rPr>
        <w:t>with a particular acquisition and becomes identified with the reporting unit in its entirety. Accordingly, the fair value of the reporting unit as a whole is available to support the recoverability of its goodwill.</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 value at the last quantitative assessment date, the amount of time in between quantitative fair value assessments from the date of acquisition or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183"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In determining the estimated fair values of reporting units in a quantitative goodwill impairment test, we generally use a blend, of the following recognized valuation methods: the income approach (i.e.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valuation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substantially different assumptions, estimates or judgments could trigger the need for an impairment charge, or materially increase or decrease the amount of any such impairment charge.</w:t>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During the second quarter of 2022, subsequent to our annual impairment test in the fourth quarter of 2021, the composition of our reportable</w:t>
      </w:r>
    </w:p>
    <w:p>
      <w:pPr>
        <w:spacing w:after="0" w:line="3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segments was changed, as discussed in “Note 19: </w:t>
      </w:r>
      <w:r>
        <w:rPr>
          <w:rFonts w:ascii="Arial" w:cs="Arial" w:eastAsia="Arial" w:hAnsi="Arial"/>
          <w:sz w:val="16"/>
          <w:szCs w:val="16"/>
          <w:i w:val="1"/>
          <w:iCs w:val="1"/>
          <w:color w:val="auto"/>
        </w:rPr>
        <w:t>Segment and Geographic Information</w:t>
      </w:r>
      <w:r>
        <w:rPr>
          <w:rFonts w:ascii="Arial" w:cs="Arial" w:eastAsia="Arial" w:hAnsi="Arial"/>
          <w:sz w:val="16"/>
          <w:szCs w:val="16"/>
          <w:color w:val="auto"/>
        </w:rPr>
        <w:t>.” Following the change in reportable segments, our new reporting units for the purposes of goodwill impairment testing are as follows: (1) Tripadvisor Core, (2) Viator (formerly Experiences), and (3) TheFork. The Tripadvisor Core reporting unit includes the operations of the following legacy reporting units (including the carrying value of their related goodwill): Hotels, Media &amp; Platform, Rentals, Flights &amp; Car, Cruises, and Tripadvisor Restaurants. As a result of this reporting unit change, we performed a qualitative assessment on our legacy reporting units prior to operationalizing the new segment reporting structure and determined that it was more likely than not that the fair value of all legacy reporting units was greater than the carrying value, which is consistent with our conclusion reached in the fourth quarter of 2021. We then performed a goodwill impairment test for each of the three new reporting units (Tripadvisor Core, Viator, and TheFork) upon the change in reportable segments using a quantitative assessment. We concluded the estimated fair values were significantly in excess of the carrying values for these reporting units, and therefore, no indications of impairment were identified as a result of these changes in the second quarter of 2022.</w:t>
      </w:r>
    </w:p>
    <w:p>
      <w:pPr>
        <w:spacing w:after="0" w:line="170"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During the Company's annual goodwill impairment test in the fourth quarter of 2022, a qualitative assessment was performed for all our reporting units. We determined that it was not more likely than not that the fair value of</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8" w:name="page69"/>
    <w:bookmarkEnd w:id="68"/>
    <w:p>
      <w:pPr>
        <w:spacing w:after="0" w:line="290" w:lineRule="auto"/>
        <w:rPr>
          <w:sz w:val="20"/>
          <w:szCs w:val="20"/>
          <w:color w:val="auto"/>
        </w:rPr>
      </w:pPr>
      <w:r>
        <w:rPr>
          <w:rFonts w:ascii="Arial" w:cs="Arial" w:eastAsia="Arial" w:hAnsi="Arial"/>
          <w:sz w:val="16"/>
          <w:szCs w:val="16"/>
          <w:color w:val="auto"/>
        </w:rPr>
        <w:t>any reporting unit was less than its carrying value, and, accordingly, no impairment charges were recorded during the year ended December 31, 2022. As part of the qualitative assessment for our annual 2022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(h) changes in estimates, valuation inputs, and/or assumptions since the last quantitative analysis of the reporting units during the second quarter of 2022, (i) changes in the regulatory environment, (j) changes in strategic outlook or organizational structure and leadership of the reporting units; and (k) other relevant factors, and how these factors might impact specific performance in future periods.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Intangible assets with estimable useful lives, or definite-lived intangibles, are carried at cost and are amortized on a straight-line basis over their estimated useful lives and reviewed for impairment upon certain triggering events. We routinely review the remaining estimated useful lives of our definite-lived intangible assets. If we reduce the estimated useful life assumption, the remaining unamortized balance is amortized over the revised estimated useful life.</w:t>
      </w:r>
    </w:p>
    <w:p>
      <w:pPr>
        <w:spacing w:after="0" w:line="7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amount of an individual indefinite-lived intangible asset exceeds its implied fair value, the individual asset's carrying value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quantitative measurement of fair value of indefinite-lived intangible assets,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however, such assumptions are inherently uncertain and actual results could differ from those estimates. The use of significantly different assumptions, estimates or judgments could trigger the need for an impairment charge, or materially increase or decrease the amount of any such impairment charge.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periodically review the carrying amount of our definite-lived intangible assets and other long-term assets, including property and equipment, net and operating lease right-of-use assets,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The Company’s impairment evaluation is performed at the asset group level or the lowest level for which identified cash flows are largely independent, which the Company has defined as the reporting unit level.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spacing w:after="0" w:line="259" w:lineRule="auto"/>
        <w:rPr>
          <w:sz w:val="20"/>
          <w:szCs w:val="20"/>
          <w:color w:val="auto"/>
        </w:rPr>
      </w:pPr>
      <w:r>
        <w:rPr>
          <w:rFonts w:ascii="Arial" w:cs="Arial" w:eastAsia="Arial" w:hAnsi="Arial"/>
          <w:sz w:val="18"/>
          <w:szCs w:val="18"/>
          <w:color w:val="auto"/>
        </w:rPr>
        <w:t>fair value and would be included in operating income (loss)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long-term assets on our consolidated balance sheets at December 31, 2022 or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 xml:space="preserve">In our experiences and rentals free-to-list offerings, we receive payment from travelers at the time of booking or prior to the experience date, and we record these amounts, net of our commissions, on our consolidated balance sheet as deferred merchant payables. We pay the operators, generally the third-party experience providers and vacation rental owners, after the travelers’ use. Therefore, we receive payment from the traveler prior to paying the operator and this operating cycle represents a working capital source or use of cash to us. Our deferred merchant payables balance was $203 million and $113 million at December 31, 2022 and 2021, respectively, on our consolidated balance sheets. </w:t>
      </w:r>
      <w:r>
        <w:rPr>
          <w:rFonts w:ascii="Arial" w:cs="Arial" w:eastAsia="Arial" w:hAnsi="Arial"/>
          <w:sz w:val="17"/>
          <w:szCs w:val="17"/>
          <w:color w:val="231F20"/>
        </w:rPr>
        <w:t>The increase in our deferred merchant payables during the year</w:t>
      </w:r>
      <w:r>
        <w:rPr>
          <w:rFonts w:ascii="Arial" w:cs="Arial" w:eastAsia="Arial" w:hAnsi="Arial"/>
          <w:sz w:val="17"/>
          <w:szCs w:val="17"/>
          <w:color w:val="auto"/>
        </w:rPr>
        <w:t xml:space="preserve"> </w:t>
      </w:r>
      <w:r>
        <w:rPr>
          <w:rFonts w:ascii="Arial" w:cs="Arial" w:eastAsia="Arial" w:hAnsi="Arial"/>
          <w:sz w:val="17"/>
          <w:szCs w:val="17"/>
          <w:color w:val="231F20"/>
        </w:rPr>
        <w:t xml:space="preserve">ended December 31, 2022 was primarily due to </w:t>
      </w:r>
      <w:r>
        <w:rPr>
          <w:rFonts w:ascii="Arial" w:cs="Arial" w:eastAsia="Arial" w:hAnsi="Arial"/>
          <w:sz w:val="17"/>
          <w:szCs w:val="17"/>
          <w:color w:val="000000"/>
        </w:rPr>
        <w:t>increased consumer demand for travel industry related services, combined with the easing of government</w:t>
      </w:r>
      <w:r>
        <w:rPr>
          <w:rFonts w:ascii="Arial" w:cs="Arial" w:eastAsia="Arial" w:hAnsi="Arial"/>
          <w:sz w:val="17"/>
          <w:szCs w:val="17"/>
          <w:color w:val="231F20"/>
        </w:rPr>
        <w:t xml:space="preserve"> </w:t>
      </w:r>
      <w:r>
        <w:rPr>
          <w:rFonts w:ascii="Arial" w:cs="Arial" w:eastAsia="Arial" w:hAnsi="Arial"/>
          <w:sz w:val="17"/>
          <w:szCs w:val="17"/>
          <w:color w:val="000000"/>
        </w:rPr>
        <w:t>travel restrictions put in place due to COVID-19.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11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Our consolidated financial statements are reported in U.S. dollars. Certain of our subsidiaries outside of the U.S. use the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reporting period. The resulting unrealized cumulative translation adjustment is recorded as a component of accumulated other comprehensive income (loss) in stockholders’ equity on our consolidated balance sheet.</w:t>
      </w:r>
    </w:p>
    <w:p>
      <w:pPr>
        <w:spacing w:after="0" w:line="83"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In addition, our subsidiaries also engage in transactions in currencies other than its functional currency. Transactions denominated in currencies other than the functional currency are recorded based on foreign currency exchange rates at the time such transactions arise. Subsequent changes in foreign currency exchange rates result in transaction gains and losses which are reflected in our consolidated statements of operations as unrealized (based on the applicable period-end exchange rate) or realized upon settlement of the transactions. Accordingly, we have recorded net foreign currency exchange losses of $5 million and $4 million for the years ended December 31, 2022 and 2021, respectively, and a net foreign currency exchange gain of $5 million for the year ended December 31, 2020, in other income (expense), net on our consolidated statements of operations. These amounts also include transaction gains and losses, both realized and unrealized from forward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 xml:space="preserve">We account for derivative instruments that do not qualify for hedge accounting as either assets or liabilities and carry them at fair value, with any subsequent adjustments to fair value recorded in other income (expense), net on our consolidated statements of operations. Monetary assets and liabilities denominated in a currency other than the functional currency of a given subsidiary are remeasured at spot rates in effect on the balance sheet date with the effects of changes in foreign currency exchange rates reported in other income (expense), net on our consolidated statements of operations. In certain circumstances, we enter into forward contracts to reduce, to the extent practical, our potential exposure to the effects of fluctuating foreign currency exchange rates on our cash flows denominated in foreign currencies.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typically had maturities at inception of 90 days or less. The net cash received or paid related to our derivative instruments are classified in other investing activities in our consolidated statements of cash flows. Counterparties to forward contracts consist of major international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during the years ended December 31, 2022, 2021 or 2020. Refer to “Note 4: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for additional information on derivatives.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Fair Value Measurements and Disclosures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GAAP provides the following hierarchical levels of inputs used to measure fair value:</w:t>
      </w:r>
    </w:p>
    <w:p>
      <w:pPr>
        <w:spacing w:after="0" w:line="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jc w:val="both"/>
        <w:ind w:left="520" w:right="220" w:firstLine="509"/>
        <w:spacing w:after="0" w:line="263"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5" w:lineRule="exact"/>
        <w:rPr>
          <w:sz w:val="20"/>
          <w:szCs w:val="20"/>
          <w:color w:val="auto"/>
        </w:rPr>
      </w:pPr>
    </w:p>
    <w:p>
      <w:pPr>
        <w:ind w:left="520" w:right="360" w:firstLine="509"/>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defer costs we incur to issue debt, which are presented in the balance sheet as a direct deduction from the carrying amount of the related debt liability, and amortize these costs using the effective interest rate method to interest expense over the term of the debt. We also defer costs we incur to enter into a credit facility or to amend our existing revolving credit facility, which are presented in the balance sheet as a long-term asset, and amortize these costs using the effective interest rate method to interest expense over the term of the credit facility.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225"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 xml:space="preserve">Our business is subject to certain risks and concentrations, including a concentration related to dependence on our relationships with our customers. For the years ended December 31, 2022, 2021 and 2020 our two most significant travel partners, Expedia (and its subsidiaries) and Booking (and its subsidiaries), each accounted for 10% or more of our consolidated revenue and together accounted for approximately 35%, 34% and 25%, respectively, of our consolidated revenue, with nearly all of this revenue concentrated in our Tripadvisor Core segment. Additionally, our business is dependent on relationships with third-party service operators that we rely on to fulfill service obligations to our customers where the Company is the merchant of record, such as our experience providers and vacation rental owners. However, no one operator’s inventory resulted in more than 10% of our revenue on a consolidated basis or at a reportable segment level in any period presented. Refer to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“Note 19: </w:t>
      </w:r>
      <w:r>
        <w:rPr>
          <w:rFonts w:ascii="Arial" w:cs="Arial" w:eastAsia="Arial" w:hAnsi="Arial"/>
          <w:sz w:val="17"/>
          <w:szCs w:val="17"/>
          <w:i w:val="1"/>
          <w:iCs w:val="1"/>
          <w:color w:val="auto"/>
        </w:rPr>
        <w:t>Segment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Geographic Information</w:t>
      </w:r>
      <w:r>
        <w:rPr>
          <w:rFonts w:ascii="Arial" w:cs="Arial" w:eastAsia="Arial" w:hAnsi="Arial"/>
          <w:sz w:val="17"/>
          <w:szCs w:val="17"/>
          <w:color w:val="auto"/>
        </w:rPr>
        <w:t>” for information regarding concentrations related to geographic and product revenues, respectively. As of December 31, 2022 and</w:t>
      </w:r>
      <w:r>
        <w:rPr>
          <w:rFonts w:ascii="Arial" w:cs="Arial" w:eastAsia="Arial" w:hAnsi="Arial"/>
          <w:sz w:val="17"/>
          <w:szCs w:val="17"/>
          <w:i w:val="1"/>
          <w:iCs w:val="1"/>
          <w:color w:val="auto"/>
        </w:rPr>
        <w:t xml:space="preserve"> </w:t>
      </w:r>
      <w:r>
        <w:rPr>
          <w:rFonts w:ascii="Arial" w:cs="Arial" w:eastAsia="Arial" w:hAnsi="Arial"/>
          <w:sz w:val="17"/>
          <w:szCs w:val="17"/>
          <w:color w:val="auto"/>
        </w:rPr>
        <w:t>2021, Expedia accounted for approximately 19% and 10%, respectively, of our total accounts receivable and contract assets. Our overall credit risk related to accounts receivable is mitigated by the relatively short collection period.</w:t>
      </w:r>
    </w:p>
    <w:p>
      <w:pPr>
        <w:spacing w:after="0" w:line="182" w:lineRule="exact"/>
        <w:rPr>
          <w:sz w:val="20"/>
          <w:szCs w:val="20"/>
          <w:color w:val="auto"/>
        </w:rPr>
      </w:pPr>
    </w:p>
    <w:p>
      <w:pPr>
        <w:ind w:firstLine="554"/>
        <w:spacing w:after="0" w:line="291" w:lineRule="auto"/>
        <w:rPr>
          <w:sz w:val="20"/>
          <w:szCs w:val="20"/>
          <w:color w:val="auto"/>
        </w:rPr>
      </w:pPr>
      <w:r>
        <w:rPr>
          <w:rFonts w:ascii="Arial" w:cs="Arial" w:eastAsia="Arial" w:hAnsi="Arial"/>
          <w:sz w:val="16"/>
          <w:szCs w:val="16"/>
          <w:color w:val="auto"/>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programs outside the U.S. Our cash is generally composed of available on demand bank deposits or term deposits with major global financial institutions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1" w:name="page72"/>
    <w:bookmarkEnd w:id="71"/>
    <w:p>
      <w:pPr>
        <w:ind w:right="400"/>
        <w:spacing w:after="0" w:line="277" w:lineRule="auto"/>
        <w:rPr>
          <w:sz w:val="20"/>
          <w:szCs w:val="20"/>
          <w:color w:val="auto"/>
        </w:rPr>
      </w:pPr>
      <w:r>
        <w:rPr>
          <w:rFonts w:ascii="Arial" w:cs="Arial" w:eastAsia="Arial" w:hAnsi="Arial"/>
          <w:sz w:val="18"/>
          <w:szCs w:val="18"/>
          <w:color w:val="auto"/>
        </w:rPr>
        <w:t>international financial institutions with high credit standings. Forward contracts, which, to date, have typically had maturities of less than 90 days, also mitigates risk.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 of operations. We provide disclosure in the notes to the consolidated financial statements for loss contingencies that do not meet both these conditions if there is a reasonable possibility that a loss may have been incurred that would be material to the consolidated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Shares of our common stock repurchased are recorded at cost as treasury stock and result in the reduction of stockholders' equity on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any remaining balance is charged to retained earnings.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“Note 16: </w:t>
      </w:r>
      <w:r>
        <w:rPr>
          <w:rFonts w:ascii="Arial" w:cs="Arial" w:eastAsia="Arial" w:hAnsi="Arial"/>
          <w:sz w:val="18"/>
          <w:szCs w:val="18"/>
          <w:i w:val="1"/>
          <w:iCs w:val="1"/>
          <w:color w:val="auto"/>
        </w:rPr>
        <w:t>Earnings Per Share</w:t>
      </w:r>
      <w:r>
        <w:rPr>
          <w:rFonts w:ascii="Arial" w:cs="Arial" w:eastAsia="Arial" w:hAnsi="Arial"/>
          <w:sz w:val="18"/>
          <w:szCs w:val="18"/>
          <w:color w:val="auto"/>
        </w:rPr>
        <w:t>” for a discussion as to how we compute Basic EPS and Diluted EPS.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As of December 31, 2022, there are no recently issued accounting standards which are expected to have a material impact on the Company’s financial statements or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generate all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85"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10"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years ended December 31, 2022, 2021 and 2020 related to performance obligations satisfied in prior periods, respectively. We have applied a practical expedient and do not disclose the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ind w:right="80"/>
        <w:spacing w:after="0" w:line="256" w:lineRule="auto"/>
        <w:rPr>
          <w:sz w:val="20"/>
          <w:szCs w:val="20"/>
          <w:color w:val="auto"/>
        </w:rPr>
      </w:pPr>
      <w:r>
        <w:rPr>
          <w:rFonts w:ascii="Arial" w:cs="Arial" w:eastAsia="Arial" w:hAnsi="Arial"/>
          <w:sz w:val="18"/>
          <w:szCs w:val="18"/>
          <w:color w:val="auto"/>
        </w:rPr>
        <w:t>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91"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recognize an asset for the incremental costs of obtaining a contract with a customer if we expect the benefit of those costs to be longer than one year. Although the substantial majority of our contract costs have an amortization period of less than one year, we have determined contract costs arising from certain sales incentives have an amortization period in excess of one year given the high likelihood of contract renewal. Sales incentives are not paid upon renewal of these contracts and therefore are not commensurate with the initial sales incentive costs. As of both December 31, 2022 and 2021, there were $4 million of unamortized contract costs in other long-term assets on our consolidated balance sheet. We amortize these contract costs on a straight-line basis over the estimated customer life, which is based on historical customer retention rates. Amortization expense recorded to selling and marketing expense on our consolidated statements of operations during each of the years ended December 31, 2022, 2021 and 2020, was $1 million. We assess such asset for impairment when events or circumstances indicate that the carrying amount may not be recoverable. No impairments were recognized during the years ended December 31, 2022, 2021 and 2020.</w:t>
      </w:r>
    </w:p>
    <w:p>
      <w:pPr>
        <w:spacing w:after="0" w:line="17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recognition of revenue may require the application of judgment related to the determination of the performance obligations, the timing of when the performance obligations are satisfied and other areas. The determination of our performance obligations does not require significant judgment given that we generally do not provide multiple services to a customer in a transaction, and the point in which control is transferred to the customer is readily determinable. In instances where we recognize revenue over time, we generally have either a subscription service 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cancellation rates and current trends. Taxes assessed by a government authority that are both imposed on and concurrent with a specific revenue–producing transaction, that are collected by us from a customer, are reported on a net basis, or in other words excluded from revenue on our consolidated financial statements.</w:t>
      </w:r>
    </w:p>
    <w:p>
      <w:pPr>
        <w:spacing w:after="0" w:line="163"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application of our revenue recognition policies and a description of our principal activities, organized by reportable segment, from which we generate our revenue, are presented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Core Segment</w:t>
      </w:r>
    </w:p>
    <w:p>
      <w:pPr>
        <w:spacing w:after="0" w:line="22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b w:val="1"/>
          <w:bCs w:val="1"/>
          <w:color w:val="auto"/>
        </w:rPr>
        <w:t>Tripadvisor-branded Hotels Revenue</w:t>
      </w:r>
      <w:r>
        <w:rPr>
          <w:rFonts w:ascii="Arial" w:cs="Arial" w:eastAsia="Arial" w:hAnsi="Arial"/>
          <w:sz w:val="17"/>
          <w:szCs w:val="17"/>
          <w:color w:val="auto"/>
        </w:rPr>
        <w:t>. Our largest source of Tripadvisor Core segment revenue is generated from click-based advertising on</w:t>
      </w:r>
      <w:r>
        <w:rPr>
          <w:rFonts w:ascii="Arial" w:cs="Arial" w:eastAsia="Arial" w:hAnsi="Arial"/>
          <w:sz w:val="17"/>
          <w:szCs w:val="17"/>
          <w:b w:val="1"/>
          <w:bCs w:val="1"/>
          <w:color w:val="auto"/>
        </w:rPr>
        <w:t xml:space="preserve"> </w:t>
      </w:r>
      <w:r>
        <w:rPr>
          <w:rFonts w:ascii="Arial" w:cs="Arial" w:eastAsia="Arial" w:hAnsi="Arial"/>
          <w:sz w:val="17"/>
          <w:szCs w:val="17"/>
          <w:color w:val="auto"/>
        </w:rPr>
        <w:t>Tripadvisor-branded websites, which we refer to as our hotel meta (formerly referred to as hotel auction) revenue, which is primarily comprised of contextually-relevant booking links to our travel partners’ websites. Our click-based travel partners are predominantly online travel agencies, or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the travel partner bids for rates and availability to be listed on our platform. When a CPC bid is submitted, the travel partner agrees to pay us the bid amount each time a traveler clicks on the link to that travel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 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GAAP. Our performance obligation is complete at the time of the hotel reservation booking, and the commission earned is recognized upon booking, as we have no post-booking service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3" w:name="page74"/>
    <w:bookmarkEnd w:id="73"/>
    <w:p>
      <w:pPr>
        <w:ind w:right="240"/>
        <w:spacing w:after="0" w:line="263" w:lineRule="auto"/>
        <w:rPr>
          <w:sz w:val="20"/>
          <w:szCs w:val="20"/>
          <w:color w:val="auto"/>
        </w:rPr>
      </w:pPr>
      <w:r>
        <w:rPr>
          <w:rFonts w:ascii="Arial" w:cs="Arial" w:eastAsia="Arial" w:hAnsi="Arial"/>
          <w:sz w:val="18"/>
          <w:szCs w:val="18"/>
          <w:color w:val="auto"/>
        </w:rPr>
        <w:t>obligations. We recognize this revenue net of an estimate of the impact of cancellations, using historical cancellation rates and current trends. Contract assets are recognized at the time of booking for commissions that are billable upon the completion of a traveler's stay. CPA revenue is generally billed to our travel partners monthly for traveler stays completed in that month.</w:t>
      </w:r>
    </w:p>
    <w:p>
      <w:pPr>
        <w:spacing w:after="0" w:line="183"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In addition, we offer business-to-business (“B2B”) solutions to hotels, including subscription-based advertising to hotels, owners of B&amp;Bs, and other specialty lodging properties. Our performance obligation is generally to enable subscribers to advertise their businesses on our platform,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To a lesser extent, we offer travel partners the opportunity to advertise and promote their business through hotel sponsored placements on our platform.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our travel partner’s websites. Bids may be submitted periodically – as often as daily – on a property-by-property basis. We record this click-based advertising revenue as the click occurs and traveler leads are sent to the travel partner as our performance obligation is fulfilled at that time. Hotel sponsored placements revenue is generally billed to our travel partners monthly, consistent with the timing of the service.</w:t>
      </w:r>
    </w:p>
    <w:p>
      <w:pPr>
        <w:spacing w:after="0" w:line="16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b w:val="1"/>
          <w:bCs w:val="1"/>
          <w:color w:val="auto"/>
        </w:rPr>
        <w:t xml:space="preserve">Tripadvisor-branded Display and Platform Revenue. </w:t>
      </w:r>
      <w:r>
        <w:rPr>
          <w:rFonts w:ascii="Arial" w:cs="Arial" w:eastAsia="Arial" w:hAnsi="Arial"/>
          <w:sz w:val="18"/>
          <w:szCs w:val="18"/>
          <w:color w:val="auto"/>
        </w:rPr>
        <w:t>We offer travel partners the ability to promote their brands through display-based</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placements across our platform.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platform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89"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b w:val="1"/>
          <w:bCs w:val="1"/>
          <w:color w:val="auto"/>
        </w:rPr>
        <w:t>Tripadvisor Experiences and Dining Revenue</w:t>
      </w:r>
      <w:r>
        <w:rPr>
          <w:rFonts w:ascii="Arial" w:cs="Arial" w:eastAsia="Arial" w:hAnsi="Arial"/>
          <w:sz w:val="16"/>
          <w:szCs w:val="16"/>
          <w:color w:val="auto"/>
        </w:rPr>
        <w:t>. We generate revenue from our experiences and restaurant service offerings on Tripadvisor-branded</w:t>
      </w:r>
      <w:r>
        <w:rPr>
          <w:rFonts w:ascii="Arial" w:cs="Arial" w:eastAsia="Arial" w:hAnsi="Arial"/>
          <w:sz w:val="16"/>
          <w:szCs w:val="16"/>
          <w:b w:val="1"/>
          <w:bCs w:val="1"/>
          <w:color w:val="auto"/>
        </w:rPr>
        <w:t xml:space="preserve"> </w:t>
      </w:r>
      <w:r>
        <w:rPr>
          <w:rFonts w:ascii="Arial" w:cs="Arial" w:eastAsia="Arial" w:hAnsi="Arial"/>
          <w:sz w:val="16"/>
          <w:szCs w:val="16"/>
          <w:color w:val="auto"/>
        </w:rPr>
        <w:t>websites and mobile apps. Tripadvisor receives intercompany (intersegment) revenue consisting of affiliate marketing commissions earned primarily from experience bookings and, to a lesser extent, restaurant reservation bookings, on Tripadvisor-branded websites and mobile apps, fulfilled by Viator and TheFork, respectively, which are eliminated on a consolidated basis. The performance obligations, timing of customer payments for our experiences and dining transactions, and methods of revenue recognition are consistent with the Viator and TheFork segments, as described below. In addition, Tripadvisor restaurant service offerings, or B2B restaurants offering, generate subscription fees for subscription-based advertising to our restaurant partners that allow restaurants to manage and promote their website URL, email address, phone number, special offers and other information related to their business, as well as access to certain online reservation management services, marketing analytic tools, and menu syndication services.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In addition, we offer restaurant partners the opportunity to advertise and promote their business through restaurant media advertising placements on our platform. This service is generally priced on a CPC basis, with payments from restaurant partners determined by the number of clicks by consumers on the sponsored link multiplied by the CPC rate for each specific click. CPC rates for media advertising placements agreed to by our restaurant partners are based on a pre-determined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4" w:name="page75"/>
    <w:bookmarkEnd w:id="74"/>
    <w:p>
      <w:pPr>
        <w:ind w:right="380"/>
        <w:spacing w:after="0" w:line="341" w:lineRule="auto"/>
        <w:rPr>
          <w:sz w:val="20"/>
          <w:szCs w:val="20"/>
          <w:color w:val="auto"/>
        </w:rPr>
      </w:pPr>
      <w:r>
        <w:rPr>
          <w:rFonts w:ascii="Arial" w:cs="Arial" w:eastAsia="Arial" w:hAnsi="Arial"/>
          <w:sz w:val="16"/>
          <w:szCs w:val="16"/>
          <w:color w:val="auto"/>
        </w:rPr>
        <w:t>contractual rate. We record this click-based advertising revenue as the click occurs and diner leads are sent to the restaurant partner as our performance obligation is fulfilled at that time. Click-based revenue is generally billed to our restaurant partners monthly, consistent with the timing of the service.</w:t>
      </w:r>
    </w:p>
    <w:p>
      <w:pPr>
        <w:spacing w:after="0" w:line="120"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b w:val="1"/>
          <w:bCs w:val="1"/>
          <w:color w:val="auto"/>
        </w:rPr>
        <w:t>Other Revenue</w:t>
      </w:r>
      <w:r>
        <w:rPr>
          <w:rFonts w:ascii="Arial" w:cs="Arial" w:eastAsia="Arial" w:hAnsi="Arial"/>
          <w:sz w:val="17"/>
          <w:szCs w:val="17"/>
          <w:color w:val="auto"/>
        </w:rPr>
        <w:t>. We also offer travelers alternative accommodations rentals (formerly referred to as vacation rentals), cruises, flights, and rental cars</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on our platforms which complement our end-to-end travel experience. Our alternative accommodation rentals offering provides information and services that allow travelers to research and book vacation and short-term rental properties, including full homes, condominiums, villas, beach properties, cabins and cottages. Our alternative accommodation rentals offering primarily generates revenue by offering individual property owners and managers the ability to list their properties on our platform thereby connecting with travelers through a free-to-list, commission-based option. These properties are listed on our Tripadvisor-branded websites and mobile apps, and Tripadvisor's portfolio of travel media brands, including, www.flipkey.com, www.holidaylettings.co.uk, www.niumba.com, and www.vacationhomerentals.com.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in the transactions, under GAAP,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on our consolidated balance sheet until revenue is recognized, and that portion of the payment representing the amount due to the property owner is recorded as a deferred merchant payable on our consolidated balance sheet until payment is made to the property owner after the completion of the rental.</w:t>
      </w:r>
    </w:p>
    <w:p>
      <w:pPr>
        <w:spacing w:after="0" w:line="18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 addition, Other Revenue includes revenue generated from cruises, flights, and rental cars offerings on Tripadvisor-branded websites and mobile apps and Tripadvisor’s portfolio of brands, which primarily includes click-based advertising and display-based advertising revenue. The performance obligations, timing of customer payments for these offerings, and methods of revenue recognition are generally consistent with click-based advertising and display-based advertising revenue, as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Viator Segment</w:t>
      </w:r>
    </w:p>
    <w:p>
      <w:pPr>
        <w:spacing w:after="0" w:line="225"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We provide an online marketplace that allows travelers to research and book tours, activities and attractions in popular travel destinations across the globe through our stand-alone Viator-branded platform, which includes website, mobile web, and mobile app. Through Viator, we also power traveler bookings of tours, activities and attractions on behalf of third-party distribution partner websites, including the Tripadvisor platform as well as many of the world’s major OTA, airlines, hotels, online and offline travel agencies, and other prominent content and eCommerce brands.</w:t>
      </w:r>
    </w:p>
    <w:p>
      <w:pPr>
        <w:spacing w:after="0" w:line="170"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work with local tour, activities, and experience operators (“operators”) to provide travelers (“customers”) the ability to book tours, activities and attractions (the “experience”) in destinations worldwide. We generate commissions for each booking transaction we facilitate through our online reservation system, in exchange for certain activities, including the use of the Company’s booking platform, post-booking customer support (24/7) until the time of the experience and payment processing activities as the merchant of record, which is the completion of the performance obligation. These activities are not distinct from each other and are not separate performance obligations. As a result, the Company’s single performance obligation is to facilitate an experience, which is complete upon the time the experience occurs, and when revenue is recognized. We do not control the experience or have inventory risk before the operator provides the experience to our customer and therefore act as agent for substantially all of these transactions under GAAP.</w:t>
      </w:r>
    </w:p>
    <w:p>
      <w:pPr>
        <w:spacing w:after="0" w:line="164"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We collect payment from the customer prior to the experience occurring, which includes both our commission and the amount due to the operator. We record our commissions as deferred revenue on our consolidated balance sheet when payment is received, including amounts which are refundable subject to cancellation, until the experience occurs when revenue is recognized. The amount due to the operator is recorded as a deferred merchant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payable on our consolidated balance sheet until completion of the experience, after which payment is made to the operator.</w:t>
      </w:r>
    </w:p>
    <w:p>
      <w:pPr>
        <w:spacing w:after="0" w:line="22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To a much lesser extent, we earn commissions from third-party distribution partners, in this case the customers, who display and promote on their websites the operator experiences available on our platform to generate bookings. In these transactions, we are not the merchant of record, and we generally invoice and receive commissions directly from the third-party distribution partners. Our performance obligation is to allow the third-party distribution partners to display and promote on their website experiences, offered by operators who utilize our platform, and we earn a commission when travelers book and complete an experience on the third-party distribution partner website. We do not control the service or have inventory risk, and therefore act as an agent for these transactions under GAAP. We receive payment prior to the experience date in the majority of these transactions and make payments to the operators after the experience is complete. Our performance obligation is complete, and revenue is recognized at the time of the booking, as we have no post-booking obligations to the customer. We recognize this revenue net of an estimate of the impact of cancellations, which is not material, using historical cancellation rates and current trends. Contract assets are recognized for commissions that are contractually billable contingent upon completion of the experience.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TheFork Segment</w:t>
      </w:r>
    </w:p>
    <w:p>
      <w:pPr>
        <w:spacing w:after="0" w:line="225"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provide information and services for consumers to research and book restaurants through our dedicated online restaurant reservations platform, TheFork.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providing access to certain online reservation management services, marketing analytic tools, and menu syndication services. Our performance obligation is to provide restaurants with access to these services over the subscription period, which generally is one-month, and we recognize revenue once our performance obligation is met and invoice restaurants monthly for these subscription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expense costs to obtain a contract as incurred, such as sales incentives, when the amortization period would have been one year or less.</w:t>
      </w:r>
    </w:p>
    <w:p>
      <w:pPr>
        <w:spacing w:after="0" w:line="236"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right="100" w:firstLine="509"/>
        <w:spacing w:after="0" w:line="287" w:lineRule="auto"/>
        <w:rPr>
          <w:sz w:val="20"/>
          <w:szCs w:val="20"/>
          <w:color w:val="auto"/>
        </w:rPr>
      </w:pPr>
      <w:r>
        <w:rPr>
          <w:rFonts w:ascii="Arial" w:cs="Arial" w:eastAsia="Arial" w:hAnsi="Arial"/>
          <w:sz w:val="16"/>
          <w:szCs w:val="16"/>
          <w:color w:val="auto"/>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19: </w:t>
      </w:r>
      <w:r>
        <w:rPr>
          <w:rFonts w:ascii="Arial" w:cs="Arial" w:eastAsia="Arial" w:hAnsi="Arial"/>
          <w:sz w:val="16"/>
          <w:szCs w:val="16"/>
          <w:i w:val="1"/>
          <w:iCs w:val="1"/>
          <w:color w:val="auto"/>
        </w:rPr>
        <w:t>Segment and Geographic Information</w:t>
      </w:r>
      <w:r>
        <w:rPr>
          <w:rFonts w:ascii="Arial" w:cs="Arial" w:eastAsia="Arial" w:hAnsi="Arial"/>
          <w:sz w:val="16"/>
          <w:szCs w:val="16"/>
          <w:color w:val="auto"/>
        </w:rPr>
        <w:t>” our business consists of three reportable segments –</w:t>
      </w:r>
    </w:p>
    <w:p>
      <w:pPr>
        <w:spacing w:after="0" w:line="2" w:lineRule="exact"/>
        <w:rPr>
          <w:sz w:val="20"/>
          <w:szCs w:val="20"/>
          <w:color w:val="auto"/>
        </w:rPr>
      </w:pPr>
    </w:p>
    <w:p>
      <w:pPr>
        <w:ind w:left="5540" w:right="1000" w:hanging="5532"/>
        <w:spacing w:after="0" w:line="666" w:lineRule="auto"/>
        <w:tabs>
          <w:tab w:leader="none" w:pos="2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Tripadvisor Core; (2) Viator; and (3) TheFork. A reconciliation of disaggregated revenue to reportable segment revenue is included below.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6" w:name="page77"/>
    <w:bookmarkEnd w:id="76"/>
    <w:tbl>
      <w:tblPr>
        <w:tblLayout w:type="fixed"/>
        <w:tblInd w:w="114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b w:val="1"/>
                <w:bCs w:val="1"/>
                <w:color w:val="auto"/>
              </w:rPr>
              <w:t>Major products/revenue sources (1):</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Tripadvisor Core</w:t>
            </w: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4900" w:type="dxa"/>
            <w:vAlign w:val="bottom"/>
          </w:tcPr>
          <w:p>
            <w:pPr>
              <w:ind w:left="140"/>
              <w:spacing w:after="0"/>
              <w:rPr>
                <w:sz w:val="20"/>
                <w:szCs w:val="20"/>
                <w:color w:val="auto"/>
              </w:rPr>
            </w:pPr>
            <w:r>
              <w:rPr>
                <w:rFonts w:ascii="Arial" w:cs="Arial" w:eastAsia="Arial" w:hAnsi="Arial"/>
                <w:sz w:val="18"/>
                <w:szCs w:val="18"/>
                <w:color w:val="auto"/>
              </w:rPr>
              <w:t>Tripadvisor-branded hotels</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0"/>
                <w:szCs w:val="20"/>
                <w:color w:val="auto"/>
              </w:rPr>
            </w:pPr>
          </w:p>
        </w:tc>
      </w:tr>
      <w:tr>
        <w:trPr>
          <w:trHeight w:val="249"/>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Tripadvisor-branded display and platform</w:t>
            </w: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21"/>
                <w:szCs w:val="21"/>
                <w:color w:val="auto"/>
              </w:rPr>
            </w:pPr>
          </w:p>
        </w:tc>
      </w:tr>
      <w:tr>
        <w:trPr>
          <w:trHeight w:val="236"/>
        </w:trPr>
        <w:tc>
          <w:tcPr>
            <w:tcW w:w="4900" w:type="dxa"/>
            <w:vAlign w:val="bottom"/>
          </w:tcPr>
          <w:p>
            <w:pPr>
              <w:ind w:left="140"/>
              <w:spacing w:after="0"/>
              <w:rPr>
                <w:sz w:val="20"/>
                <w:szCs w:val="20"/>
                <w:color w:val="auto"/>
              </w:rPr>
            </w:pPr>
            <w:r>
              <w:rPr>
                <w:rFonts w:ascii="Arial" w:cs="Arial" w:eastAsia="Arial" w:hAnsi="Arial"/>
                <w:sz w:val="18"/>
                <w:szCs w:val="18"/>
                <w:color w:val="auto"/>
              </w:rPr>
              <w:t xml:space="preserve">Tripadvisor experiences and dining </w:t>
            </w:r>
            <w:r>
              <w:rPr>
                <w:rFonts w:ascii="Arial" w:cs="Arial" w:eastAsia="Arial" w:hAnsi="Arial"/>
                <w:sz w:val="14"/>
                <w:szCs w:val="14"/>
                <w:color w:val="auto"/>
              </w:rPr>
              <w:t>(2)</w:t>
            </w: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p>
        </w:tc>
      </w:tr>
      <w:tr>
        <w:trPr>
          <w:trHeight w:val="243"/>
        </w:trPr>
        <w:tc>
          <w:tcPr>
            <w:tcW w:w="49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Total Tripadvisor Core</w:t>
            </w: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20"/>
                <w:szCs w:val="20"/>
                <w:color w:val="auto"/>
              </w:rPr>
            </w:pPr>
          </w:p>
        </w:tc>
      </w:tr>
      <w:tr>
        <w:trPr>
          <w:trHeight w:val="249"/>
        </w:trPr>
        <w:tc>
          <w:tcPr>
            <w:tcW w:w="49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Viator</w:t>
            </w: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r>
      <w:tr>
        <w:trPr>
          <w:trHeight w:val="24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TheFork</w:t>
            </w: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21"/>
                <w:szCs w:val="21"/>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14"/>
                <w:szCs w:val="14"/>
                <w:color w:val="auto"/>
              </w:rPr>
              <w:t>(2)</w:t>
            </w:r>
          </w:p>
        </w:tc>
        <w:tc>
          <w:tcPr>
            <w:tcW w:w="760" w:type="dxa"/>
            <w:vAlign w:val="bottom"/>
          </w:tcPr>
          <w:p>
            <w:pPr>
              <w:spacing w:after="0"/>
              <w:rPr>
                <w:sz w:val="20"/>
                <w:szCs w:val="20"/>
                <w:color w:val="auto"/>
              </w:rPr>
            </w:pPr>
          </w:p>
        </w:tc>
        <w:tc>
          <w:tcPr>
            <w:tcW w:w="660" w:type="dxa"/>
            <w:vAlign w:val="bottom"/>
            <w:gridSpan w:val="2"/>
          </w:tcPr>
          <w:p>
            <w:pPr>
              <w:jc w:val="right"/>
              <w:ind w:right="59"/>
              <w:spacing w:after="0"/>
              <w:rPr>
                <w:sz w:val="20"/>
                <w:szCs w:val="20"/>
                <w:color w:val="auto"/>
              </w:rPr>
            </w:pPr>
            <w:r>
              <w:rPr>
                <w:rFonts w:ascii="Arial" w:cs="Arial" w:eastAsia="Arial" w:hAnsi="Arial"/>
                <w:sz w:val="18"/>
                <w:szCs w:val="18"/>
                <w:color w:val="auto"/>
              </w:rPr>
              <w:t>(93 )</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(32 )</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r>
      <w:tr>
        <w:trPr>
          <w:trHeight w:val="282"/>
        </w:trPr>
        <w:tc>
          <w:tcPr>
            <w:tcW w:w="4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76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1,492</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-967105</wp:posOffset>
            </wp:positionV>
            <wp:extent cx="59690"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-967105</wp:posOffset>
            </wp:positionV>
            <wp:extent cx="51435"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-967105</wp:posOffset>
            </wp:positionV>
            <wp:extent cx="51435"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-24765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-7620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-24765</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4" w:lineRule="exact"/>
        <w:rPr>
          <w:sz w:val="20"/>
          <w:szCs w:val="20"/>
          <w:color w:val="auto"/>
        </w:rPr>
      </w:pPr>
    </w:p>
    <w:p>
      <w:pPr>
        <w:ind w:left="1460" w:hanging="374"/>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4"/>
          <w:szCs w:val="14"/>
          <w:color w:val="auto"/>
        </w:rPr>
        <w:t>Our revenue is recognized primarily at a point in time for all reported segments.</w:t>
      </w:r>
    </w:p>
    <w:p>
      <w:pPr>
        <w:spacing w:after="0" w:line="20" w:lineRule="exact"/>
        <w:rPr>
          <w:rFonts w:ascii="Arial" w:cs="Arial" w:eastAsia="Arial" w:hAnsi="Arial"/>
          <w:sz w:val="16"/>
          <w:szCs w:val="16"/>
          <w:color w:val="auto"/>
        </w:rPr>
      </w:pPr>
    </w:p>
    <w:p>
      <w:pPr>
        <w:ind w:left="1460" w:right="160" w:hanging="374"/>
        <w:spacing w:after="0" w:line="253" w:lineRule="auto"/>
        <w:tabs>
          <w:tab w:leader="none" w:pos="1460" w:val="left"/>
        </w:tabs>
        <w:numPr>
          <w:ilvl w:val="0"/>
          <w:numId w:val="30"/>
        </w:numPr>
        <w:rPr>
          <w:rFonts w:ascii="Arial" w:cs="Arial" w:eastAsia="Arial" w:hAnsi="Arial"/>
          <w:sz w:val="15"/>
          <w:szCs w:val="15"/>
          <w:color w:val="auto"/>
        </w:rPr>
      </w:pPr>
      <w:r>
        <w:rPr>
          <w:rFonts w:ascii="Arial" w:cs="Arial" w:eastAsia="Arial" w:hAnsi="Arial"/>
          <w:sz w:val="13"/>
          <w:szCs w:val="13"/>
          <w:color w:val="auto"/>
        </w:rPr>
        <w:t xml:space="preserve">Tripadvisor experiences and dining revenue within the Tripadvisor Core segment are shown gross of intersegment (intercompany) revenue, which is eliminated on a consolidated basis. See “Note 19: </w:t>
      </w:r>
      <w:r>
        <w:rPr>
          <w:rFonts w:ascii="Arial" w:cs="Arial" w:eastAsia="Arial" w:hAnsi="Arial"/>
          <w:sz w:val="13"/>
          <w:szCs w:val="13"/>
          <w:i w:val="1"/>
          <w:iCs w:val="1"/>
          <w:color w:val="auto"/>
        </w:rPr>
        <w:t>Segment and Geographic Information</w:t>
      </w:r>
      <w:r>
        <w:rPr>
          <w:rFonts w:ascii="Arial" w:cs="Arial" w:eastAsia="Arial" w:hAnsi="Arial"/>
          <w:sz w:val="13"/>
          <w:szCs w:val="13"/>
          <w:color w:val="auto"/>
        </w:rPr>
        <w:t>” for a discussion of intersegment revenue for all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net of allowance for credit losses, from contracts with customers (in millions):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22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80" w:type="dxa"/>
            <w:vAlign w:val="bottom"/>
          </w:tcPr>
          <w:p>
            <w:pPr>
              <w:spacing w:after="0"/>
              <w:rPr>
                <w:sz w:val="16"/>
                <w:szCs w:val="16"/>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r>
      <w:tr>
        <w:trPr>
          <w:trHeight w:val="24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5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000" w:type="dxa"/>
            <w:vAlign w:val="bottom"/>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w:t>
            </w:r>
          </w:p>
        </w:tc>
        <w:tc>
          <w:tcPr>
            <w:tcW w:w="760" w:type="dxa"/>
            <w:vAlign w:val="bottom"/>
            <w:gridSpan w:val="2"/>
          </w:tcPr>
          <w:p>
            <w:pPr>
              <w:jc w:val="right"/>
              <w:ind w:right="35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r>
      <w:tr>
        <w:trPr>
          <w:trHeight w:val="20"/>
        </w:trPr>
        <w:tc>
          <w:tcPr>
            <w:tcW w:w="5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-187960</wp:posOffset>
            </wp:positionV>
            <wp:extent cx="5143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18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w:t>
      </w:r>
    </w:p>
    <w:p>
      <w:pPr>
        <w:spacing w:after="0" w:line="191"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During the year ended December 31, 2021, bad debt expense recorded to our allowance for expected credit losses on accounts receivable and contract assets decreased by $14 million, when compared to the same period in 2020, primarily due to improved collection trends with our customers driven by the ongoing travel industry recovery from COVID-19 during that year.</w:t>
      </w:r>
    </w:p>
    <w:p>
      <w:pPr>
        <w:spacing w:after="0" w:line="18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As of January 1, 2022 and 2021, we had $36 million and $28 million, respectively, recorded as deferred revenue on our consolidated balance sheets, of which $34 million and $23 million, respectively, was recognized in revenue and $2 million and $4 million was refunded due to cancellations by travelers during the years ended December 31, 2022 and 2021, respectively. The difference between the opening and closing balances of our deferred revenue primarily results from the timing differences between when we receive customer payments and the time in which we satisfy our performance obligations. There were no significant changes in contract assets or deferred revenue during the years ended December 31, 2022 and 2021 related to business combinations, impairments, cumulative catch-ups or other material adjustments.</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97" w:right="5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4: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22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of December 31, 2022 and 2021, we had $1.0 billion and $723 million of cash and cash equivalents, respectively, which consisted of available on demand cash deposits and term deposits with maturities of 90 days or less at the date of purchase, in each case, with major global financial institutions. We had no outstanding investments classified as either short-term or long-term marketable securities as of December 31, 2022 and 2021, respectively, and there were no purchases or sales of any marketable securities during the years ended December 31, 2022, 2021 and 2020.</w:t>
      </w:r>
    </w:p>
    <w:p>
      <w:pPr>
        <w:spacing w:after="0" w:line="4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following table shows our cash equivalents, which are measured at fair value on a recurring basis and categorized using the fair value hierarchy, as well as their classification on our consolidated balance sheet as of December 31, 2022 (in millions):</w:t>
      </w:r>
    </w:p>
    <w:p>
      <w:pPr>
        <w:spacing w:after="0" w:line="67" w:lineRule="exact"/>
        <w:rPr>
          <w:sz w:val="20"/>
          <w:szCs w:val="20"/>
          <w:color w:val="auto"/>
        </w:rPr>
      </w:pPr>
    </w:p>
    <w:p>
      <w:pPr>
        <w:ind w:left="5920"/>
        <w:spacing w:after="0"/>
        <w:tabs>
          <w:tab w:leader="none" w:pos="7540" w:val="left"/>
          <w:tab w:leader="none" w:pos="8900" w:val="left"/>
        </w:tabs>
        <w:rPr>
          <w:sz w:val="20"/>
          <w:szCs w:val="20"/>
          <w:color w:val="auto"/>
        </w:rPr>
      </w:pPr>
      <w:r>
        <w:rPr>
          <w:rFonts w:ascii="Arial" w:cs="Arial" w:eastAsia="Arial" w:hAnsi="Arial"/>
          <w:sz w:val="14"/>
          <w:szCs w:val="14"/>
          <w:b w:val="1"/>
          <w:bCs w:val="1"/>
          <w:color w:val="auto"/>
        </w:rPr>
        <w:t>Amortized Cost</w:t>
      </w:r>
      <w:r>
        <w:rPr>
          <w:sz w:val="20"/>
          <w:szCs w:val="20"/>
          <w:color w:val="auto"/>
        </w:rPr>
        <w:tab/>
      </w:r>
      <w:r>
        <w:rPr>
          <w:rFonts w:ascii="Arial" w:cs="Arial" w:eastAsia="Arial" w:hAnsi="Arial"/>
          <w:sz w:val="14"/>
          <w:szCs w:val="14"/>
          <w:b w:val="1"/>
          <w:bCs w:val="1"/>
          <w:color w:val="auto"/>
        </w:rPr>
        <w:t>Fair Value (1)</w:t>
      </w:r>
      <w:r>
        <w:rPr>
          <w:sz w:val="20"/>
          <w:szCs w:val="20"/>
          <w:color w:val="auto"/>
        </w:rPr>
        <w:tab/>
      </w:r>
      <w:r>
        <w:rPr>
          <w:rFonts w:ascii="Arial" w:cs="Arial" w:eastAsia="Arial" w:hAnsi="Arial"/>
          <w:sz w:val="12"/>
          <w:szCs w:val="12"/>
          <w:b w:val="1"/>
          <w:bCs w:val="1"/>
          <w:color w:val="auto"/>
        </w:rPr>
        <w:t>Cash Equivalents</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236"/>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5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Term deposits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8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1"/>
                <w:szCs w:val="21"/>
                <w:color w:val="auto"/>
              </w:rPr>
            </w:pPr>
          </w:p>
        </w:tc>
      </w:tr>
      <w:tr>
        <w:trPr>
          <w:trHeight w:val="276"/>
        </w:trPr>
        <w:tc>
          <w:tcPr>
            <w:tcW w:w="458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-24765</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-7620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-24765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9" w:lineRule="exact"/>
        <w:rPr>
          <w:sz w:val="20"/>
          <w:szCs w:val="20"/>
          <w:color w:val="auto"/>
        </w:rPr>
      </w:pPr>
    </w:p>
    <w:p>
      <w:pPr>
        <w:ind w:left="1540" w:hanging="514"/>
        <w:spacing w:after="0"/>
        <w:tabs>
          <w:tab w:leader="none" w:pos="1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did not have any unrealized gains and losses related to our cash equivalents.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material financial assets or liabilities measured at fair value on a recurring basis as of December 31, 2021.</w:t>
      </w:r>
    </w:p>
    <w:p>
      <w:pPr>
        <w:spacing w:after="0" w:line="117"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We generally classify any existing cash equivalents and marketable securities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generally use forward contracts to reduce the effects of foreign currency exchange rate fluctuations on our cash flows for the Euro versus the U.S. Dollar. For the periods ended December 31, 2022, 2021 and 2020, respectively, our forward contracts have not been designated as hedges and generally had maturities of less than 90 days. Our outstanding or unsettled forward contracts were carried at fair value on our consolidated balance sheets at December 31, 2022 and 2021.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forward contracts in other income (expense), net on our consolidated statement of operations. We recorded a net gain of $4 million, $2 million, and $1 million for the years ended December 31, 2022, 2021 and 2020, respectively, related to our forward contracts.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net notional principal amounts of our outstanding derivative instruments for the periods presented: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3"/>
              </w:rPr>
              <w:t>December 31, 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22"/>
              <w:spacing w:after="0"/>
              <w:rPr>
                <w:sz w:val="20"/>
                <w:szCs w:val="20"/>
                <w:color w:val="auto"/>
              </w:rPr>
            </w:pPr>
            <w:r>
              <w:rPr>
                <w:rFonts w:ascii="Arial" w:cs="Arial" w:eastAsia="Arial" w:hAnsi="Arial"/>
                <w:sz w:val="14"/>
                <w:szCs w:val="14"/>
                <w:b w:val="1"/>
                <w:bCs w:val="1"/>
                <w:color w:val="auto"/>
              </w:rPr>
              <w:t>(in</w:t>
            </w:r>
          </w:p>
        </w:tc>
        <w:tc>
          <w:tcPr>
            <w:tcW w:w="1680" w:type="dxa"/>
            <w:vAlign w:val="bottom"/>
            <w:gridSpan w:val="3"/>
          </w:tcPr>
          <w:p>
            <w:pPr>
              <w:jc w:val="right"/>
              <w:ind w:right="1119"/>
              <w:spacing w:after="0"/>
              <w:rPr>
                <w:sz w:val="20"/>
                <w:szCs w:val="20"/>
                <w:color w:val="auto"/>
              </w:rPr>
            </w:pPr>
            <w:r>
              <w:rPr>
                <w:rFonts w:ascii="Arial" w:cs="Arial" w:eastAsia="Arial" w:hAnsi="Arial"/>
                <w:sz w:val="14"/>
                <w:szCs w:val="14"/>
                <w:b w:val="1"/>
                <w:bCs w:val="1"/>
                <w:color w:val="auto"/>
                <w:w w:val="79"/>
              </w:rPr>
              <w:t>millions)</w:t>
            </w:r>
          </w:p>
        </w:tc>
        <w:tc>
          <w:tcPr>
            <w:tcW w:w="100" w:type="dxa"/>
            <w:vAlign w:val="bottom"/>
          </w:tcPr>
          <w:p>
            <w:pPr>
              <w:spacing w:after="0"/>
              <w:rPr>
                <w:sz w:val="14"/>
                <w:szCs w:val="14"/>
                <w:color w:val="auto"/>
              </w:rPr>
            </w:pPr>
          </w:p>
        </w:tc>
      </w:tr>
      <w:tr>
        <w:trPr>
          <w:trHeight w:val="24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left="1120" w:right="680" w:hanging="513"/>
        <w:spacing w:after="0" w:line="252" w:lineRule="auto"/>
        <w:tabs>
          <w:tab w:leader="none" w:pos="11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8" w:name="page79"/>
    <w:bookmarkEnd w:id="78"/>
    <w:p>
      <w:pPr>
        <w:ind w:left="1120" w:right="220" w:hanging="513"/>
        <w:spacing w:after="0" w:line="312" w:lineRule="auto"/>
        <w:tabs>
          <w:tab w:leader="none" w:pos="11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fair value of our outstanding derivatives as of December 31, 2022 and 2021, respectively, was not material. The notional amount of a forward contract is the contracted amount of foreign currency to be exchanged and is not recorded on the consolidated balance sheet.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225"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As of December 31, 2022 and 2021, financial instruments not measured at fair value on a recurring basis including accounts payable, accrued expenses and other current liabilities, and deferred merchant bookings, were carried at cost on our consolidated balance sheets, which approximates their fair values because of the short-term nature of these items. Accounts receivable and contract assets, on our consolidated balance sheets, as well as certain other financial assets, were measured at amortized cost and are carried at cost less an allowance for expected credit losses to present the net amount expected to be collected.</w:t>
      </w:r>
    </w:p>
    <w:p>
      <w:pPr>
        <w:spacing w:after="0" w:line="191"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 xml:space="preserve">The following table shows the aggregate principal and fair value amount of our outstanding 2025 Senior Notes and 2026 Senior Notes as of the periods presented, which are classified as long-term debt on our consolidated balance sheets, and considered Level 2 fair value measurements. Refer to “Note 9: </w:t>
      </w:r>
      <w:r>
        <w:rPr>
          <w:rFonts w:ascii="Arial" w:cs="Arial" w:eastAsia="Arial" w:hAnsi="Arial"/>
          <w:sz w:val="18"/>
          <w:szCs w:val="18"/>
          <w:i w:val="1"/>
          <w:iCs w:val="1"/>
          <w:color w:val="auto"/>
        </w:rPr>
        <w:t>Debt</w:t>
      </w:r>
      <w:r>
        <w:rPr>
          <w:rFonts w:ascii="Arial" w:cs="Arial" w:eastAsia="Arial" w:hAnsi="Arial"/>
          <w:sz w:val="18"/>
          <w:szCs w:val="18"/>
          <w:color w:val="auto"/>
        </w:rPr>
        <w:t>” for additional information related to our 2025 Senior Notes and 2026 Senior Notes.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Pr>
          <w:p>
            <w:pPr>
              <w:spacing w:after="0"/>
              <w:rPr>
                <w:sz w:val="16"/>
                <w:szCs w:val="16"/>
                <w:color w:val="auto"/>
              </w:rPr>
            </w:pPr>
          </w:p>
        </w:tc>
      </w:tr>
      <w:tr>
        <w:trPr>
          <w:trHeight w:val="236"/>
        </w:trPr>
        <w:tc>
          <w:tcPr>
            <w:tcW w:w="6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4"/>
          </w:tcPr>
          <w:p>
            <w:pPr>
              <w:jc w:val="right"/>
              <w:ind w:right="111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0"/>
                <w:szCs w:val="20"/>
                <w:color w:val="auto"/>
              </w:rPr>
            </w:pPr>
          </w:p>
        </w:tc>
      </w:tr>
      <w:tr>
        <w:trPr>
          <w:trHeight w:val="243"/>
        </w:trPr>
        <w:tc>
          <w:tcPr>
            <w:tcW w:w="6840" w:type="dxa"/>
            <w:vAlign w:val="bottom"/>
            <w:shd w:val="clear" w:color="auto" w:fill="CFF0FC"/>
          </w:tcPr>
          <w:p>
            <w:pPr>
              <w:ind w:left="60"/>
              <w:spacing w:after="0"/>
              <w:rPr>
                <w:sz w:val="20"/>
                <w:szCs w:val="20"/>
                <w:color w:val="auto"/>
              </w:rPr>
            </w:pPr>
            <w:r>
              <w:rPr>
                <w:rFonts w:ascii="Arial" w:cs="Arial" w:eastAsia="Arial" w:hAnsi="Arial"/>
                <w:sz w:val="18"/>
                <w:szCs w:val="18"/>
                <w:b w:val="1"/>
                <w:bCs w:val="1"/>
                <w:color w:val="auto"/>
              </w:rPr>
              <w:t>2025 Senior Notes</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840" w:type="dxa"/>
            <w:vAlign w:val="bottom"/>
          </w:tcPr>
          <w:p>
            <w:pPr>
              <w:ind w:left="140"/>
              <w:spacing w:after="0"/>
              <w:rPr>
                <w:sz w:val="20"/>
                <w:szCs w:val="20"/>
                <w:color w:val="auto"/>
              </w:rPr>
            </w:pPr>
            <w:r>
              <w:rPr>
                <w:rFonts w:ascii="Arial" w:cs="Arial" w:eastAsia="Arial" w:hAnsi="Arial"/>
                <w:sz w:val="18"/>
                <w:szCs w:val="18"/>
                <w:color w:val="auto"/>
              </w:rPr>
              <w:t>Aggregate principal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r>
      <w:tr>
        <w:trPr>
          <w:trHeight w:val="249"/>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Carrying value amount (1)</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21"/>
                <w:szCs w:val="21"/>
                <w:color w:val="auto"/>
              </w:rPr>
            </w:pPr>
          </w:p>
        </w:tc>
      </w:tr>
      <w:tr>
        <w:trPr>
          <w:trHeight w:val="236"/>
        </w:trPr>
        <w:tc>
          <w:tcPr>
            <w:tcW w:w="6840" w:type="dxa"/>
            <w:vAlign w:val="bottom"/>
          </w:tcPr>
          <w:p>
            <w:pPr>
              <w:ind w:left="140"/>
              <w:spacing w:after="0"/>
              <w:rPr>
                <w:sz w:val="20"/>
                <w:szCs w:val="20"/>
                <w:color w:val="auto"/>
              </w:rPr>
            </w:pPr>
            <w:r>
              <w:rPr>
                <w:rFonts w:ascii="Arial" w:cs="Arial" w:eastAsia="Arial" w:hAnsi="Arial"/>
                <w:sz w:val="18"/>
                <w:szCs w:val="18"/>
                <w:color w:val="auto"/>
              </w:rPr>
              <w:t>Fair value amount (2)</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r>
      <w:tr>
        <w:trPr>
          <w:trHeight w:val="249"/>
        </w:trPr>
        <w:tc>
          <w:tcPr>
            <w:tcW w:w="6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840" w:type="dxa"/>
            <w:vAlign w:val="bottom"/>
          </w:tcPr>
          <w:p>
            <w:pPr>
              <w:ind w:left="60"/>
              <w:spacing w:after="0"/>
              <w:rPr>
                <w:sz w:val="20"/>
                <w:szCs w:val="20"/>
                <w:color w:val="auto"/>
              </w:rPr>
            </w:pPr>
            <w:r>
              <w:rPr>
                <w:rFonts w:ascii="Arial" w:cs="Arial" w:eastAsia="Arial" w:hAnsi="Arial"/>
                <w:sz w:val="18"/>
                <w:szCs w:val="18"/>
                <w:b w:val="1"/>
                <w:bCs w:val="1"/>
                <w:color w:val="auto"/>
              </w:rPr>
              <w:t>2026 Senior Notes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Aggregate principal amount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21"/>
                <w:szCs w:val="21"/>
                <w:color w:val="auto"/>
              </w:rPr>
            </w:pPr>
          </w:p>
        </w:tc>
      </w:tr>
      <w:tr>
        <w:trPr>
          <w:trHeight w:val="236"/>
        </w:trPr>
        <w:tc>
          <w:tcPr>
            <w:tcW w:w="6840" w:type="dxa"/>
            <w:vAlign w:val="bottom"/>
          </w:tcPr>
          <w:p>
            <w:pPr>
              <w:ind w:left="140"/>
              <w:spacing w:after="0"/>
              <w:rPr>
                <w:sz w:val="20"/>
                <w:szCs w:val="20"/>
                <w:color w:val="auto"/>
              </w:rPr>
            </w:pPr>
            <w:r>
              <w:rPr>
                <w:rFonts w:ascii="Arial" w:cs="Arial" w:eastAsia="Arial" w:hAnsi="Arial"/>
                <w:sz w:val="18"/>
                <w:szCs w:val="18"/>
                <w:color w:val="auto"/>
              </w:rPr>
              <w:t>Carrying value amount (3)</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r>
      <w:tr>
        <w:trPr>
          <w:trHeight w:val="249"/>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Fair value amount (2)</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21"/>
                <w:szCs w:val="21"/>
                <w:color w:val="auto"/>
              </w:rPr>
            </w:pPr>
          </w:p>
        </w:tc>
      </w:tr>
    </w:tbl>
    <w:p>
      <w:pPr>
        <w:spacing w:after="0" w:line="88" w:lineRule="exact"/>
        <w:rPr>
          <w:sz w:val="20"/>
          <w:szCs w:val="20"/>
          <w:color w:val="auto"/>
        </w:rPr>
      </w:pPr>
    </w:p>
    <w:p>
      <w:pPr>
        <w:ind w:left="1260" w:hanging="503"/>
        <w:spacing w:after="0"/>
        <w:tabs>
          <w:tab w:leader="none" w:pos="1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Net of $5 million and $7 million of unamortized debt issuance costs as of December 31, 2022 and 2021, respectively.</w:t>
      </w:r>
    </w:p>
    <w:p>
      <w:pPr>
        <w:ind w:left="1260" w:right="100" w:hanging="503"/>
        <w:spacing w:after="0" w:line="221" w:lineRule="auto"/>
        <w:tabs>
          <w:tab w:leader="none" w:pos="1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estimate the fair value of our outstanding 2025 Senior Notes and 2026 Senior Notes based on recently reported market transactions and/or prices for identical or similar financial instruments obtained from a third-party pricing source.</w:t>
      </w:r>
    </w:p>
    <w:p>
      <w:pPr>
        <w:ind w:left="1260" w:hanging="503"/>
        <w:spacing w:after="0"/>
        <w:tabs>
          <w:tab w:leader="none" w:pos="1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Net of $4 million and $5 million of unamortized debt issuance costs as of December 31, 2022 and 2021, respectively.</w:t>
      </w:r>
    </w:p>
    <w:p>
      <w:pPr>
        <w:spacing w:after="0" w:line="19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Company did not have any assets or liabilities measured at fair value on a recurring basis using Level 3 unobservable inputs at both December 31, 2022 and 2021.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November 2019, the Company and Ctrip Investment Holding Ltd, a majority-owned subsidiary of Trip.com Group Limited, entered into an agreement to combine certain assets in China through the creation of a new entity, Chelsea Investment Holding Company PTE, Ltd. Tripadvisor contributed a portion of its business in China, including a long-term exclusive brand and content license and other assets, in return for a 40% equity investment in Chelsea Investment Holding Company PTE Ltd. This investment resulted in the Company recording an initial equity method investment of $41 million and a $39 million deferred income liability attributable to the brand and content license in the fourth quarter of 2019. The Company expects to earn the deferred income ratably over a 15-year period, congruent with the initial term of the brand and content license, and recorded in other income (expense), net on the consolidated statement of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9" w:name="page80"/>
    <w:bookmarkEnd w:id="79"/>
    <w:p>
      <w:pPr>
        <w:ind w:right="60" w:firstLine="509"/>
        <w:spacing w:after="0" w:line="287" w:lineRule="auto"/>
        <w:rPr>
          <w:sz w:val="20"/>
          <w:szCs w:val="20"/>
          <w:color w:val="auto"/>
        </w:rPr>
      </w:pPr>
      <w:r>
        <w:rPr>
          <w:rFonts w:ascii="Arial" w:cs="Arial" w:eastAsia="Arial" w:hAnsi="Arial"/>
          <w:sz w:val="16"/>
          <w:szCs w:val="16"/>
          <w:color w:val="auto"/>
        </w:rPr>
        <w:t>The Company accounts for this minority investment under the equity method, given it has the ability to exercise significant influence over, but not control, the investee. The carrying value of this minority investment was $32 million and $34 million as of December 31, 2022 and 2021, respectively, and is included in non-marketable investments on our consolidated balance sheets. During the years ended December 31, 2022, 2021 and 2020, we recognized $2 million, $3 million and $3 million, respectively, representing our share of the investee’s net loss in other income (expenses), net within the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Due to ongoing operating losses, primarily due to the ongoing negative impact of COVID-19 in China, we performed a qualitative assessment to evaluate whether this equity investment is impaired as of December 31, 2022. During the years ended December 31, 2022, 2021 and 2020, respectively, we did not record any impairment loss on this equity investment. The remaining deferred income liability of $31 million is presented in accrued expenses and other current liabilities and other long-term liabilities on our consolidated balance sheet of $3 million and $28 million, respectively, as of December 31, 2022.</w:t>
      </w:r>
    </w:p>
    <w:p>
      <w:pPr>
        <w:spacing w:after="0" w:line="169"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During the year ended December 31, 2020, the Company entered into various commercial agreements with Chelsea Investment Holding Company PTE Ltd. and/or its subsidiaries. Transactions under these agreements with the equity method investee are considered related-party transactions, and were not material for the years ended December 31, 2022, 2021 and 2020, respectively.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Equity Investments</w:t>
      </w:r>
    </w:p>
    <w:p>
      <w:pPr>
        <w:spacing w:after="0" w:line="225"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We also hold a minority investment in equity securities of a privately-held company, which is at an early stage of development and does not have a readily determinable fair value. As of both December 31, 2022 and 2021, the total carrying value of this investment was $2 million, and included in non-marketable investments on our consolidated balance sheets.</w:t>
      </w:r>
    </w:p>
    <w:p>
      <w:pPr>
        <w:spacing w:after="0" w:line="1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policy is to measure this equity investment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if any, to evaluate whether this investment is impaired and monitor for any observable price changes. During the years ended December 31, 2022, 2021 and 2020, we did not record any impairment loss on this equity investment or note any observable price change indicators.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25"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June 2020, the Company was issued collateralized notes (the “Notes Receivable”) with a total principal amount of $20 million from a privately-held company, in exchange for an existing equity investment held in the investee by the Company, and other-long term receivables, net, which the Company held due from the same investee. The Company has classified the Notes Receivable as held-to-maturity, as the Company has concluded it has the positive intent and ability to hold the Notes Receivable until maturity, with 50% due in five years and remaining 50% due in 10 years from issuance date. The Company recorded a $5 million and $3 million allowance for credit losses under GAAP during the years ended December 31, 2021 and 2020, respectively, in other income (expense), net on the consolidated statement of operations, related to the Notes Receivable. As of both December 31, 2022 and 2021, the carrying value of the Notes Receivable was $9 million, net of accumulated allowance for credit losses, and is classified in other long-term assets, net on our consolidated balance sheet at amortized cost. On a quarterly basis, we perform a qualitative assessment considering impairment indicators to evaluate whether the Notes Receivable are impaired and monitor for changes to our allowance for credit losses.</w:t>
      </w:r>
    </w:p>
    <w:p>
      <w:pPr>
        <w:spacing w:after="0" w:line="17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 xml:space="preserve">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 Refer to “Note 5: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“Note 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Goodwill and Intangibles Assets, Net</w:t>
      </w:r>
      <w:r>
        <w:rPr>
          <w:rFonts w:ascii="Arial" w:cs="Arial" w:eastAsia="Arial" w:hAnsi="Arial"/>
          <w:sz w:val="18"/>
          <w:szCs w:val="18"/>
          <w:color w:val="auto"/>
        </w:rPr>
        <w:t>” for additional information regarding those assets.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millions)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website development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21"/>
                <w:szCs w:val="21"/>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8"/>
                <w:szCs w:val="18"/>
                <w:color w:val="auto"/>
              </w:rPr>
              <w:t>Finance lease right-of-use asset (Note 6)</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1"/>
                <w:szCs w:val="21"/>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8"/>
                <w:szCs w:val="18"/>
                <w:color w:val="auto"/>
              </w:rPr>
              <w:t>Computer equipment and purchased software</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Furniture, office equipment and other</w:t>
            </w: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(512 )</w:t>
            </w: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(460 )</w:t>
            </w:r>
          </w:p>
        </w:tc>
      </w:tr>
      <w:tr>
        <w:trPr>
          <w:trHeight w:val="236"/>
        </w:trPr>
        <w:tc>
          <w:tcPr>
            <w:tcW w:w="76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FF0FC"/>
            </w:tcBorders>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-504825</wp:posOffset>
            </wp:positionV>
            <wp:extent cx="6858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-187960</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76" w:lineRule="exact"/>
        <w:rPr>
          <w:sz w:val="20"/>
          <w:szCs w:val="20"/>
          <w:color w:val="auto"/>
        </w:rPr>
      </w:pPr>
    </w:p>
    <w:p>
      <w:pPr>
        <w:ind w:right="320" w:firstLine="509"/>
        <w:spacing w:after="0" w:line="273" w:lineRule="auto"/>
        <w:rPr>
          <w:sz w:val="20"/>
          <w:szCs w:val="20"/>
          <w:color w:val="auto"/>
        </w:rPr>
      </w:pPr>
      <w:r>
        <w:rPr>
          <w:rFonts w:ascii="Arial" w:cs="Arial" w:eastAsia="Arial" w:hAnsi="Arial"/>
          <w:sz w:val="17"/>
          <w:szCs w:val="17"/>
          <w:color w:val="auto"/>
        </w:rPr>
        <w:t>As of December 31, 2022 and 2021, the carrying value of our capitalized website development costs, net of accumulated amortization, was $91 million and $97 million, respectively. For the years ended December 31, 2022, 2021 and 2020, we capitalized $56 million, $55 million and $63 million, respectively, related to website development costs. For the years ended December 31, 2022, 2021 and 2020, we recorded amortization of capitalized website development costs of $61 million, $64 million and $67 million, respectively, which is included in depreciation expense on our consolidated statements of operations for those years. During the year ended December 31, 2022, we retired and subsequently disposed of certain capitalized website development projects, which were no longer in use and fully depreciated, with a total cost of $22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42"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color w:val="auto"/>
        </w:rPr>
        <w:t>We determine whether a contract is or contains a lease at inception of a contract. We define a lease as a contract, or part of a contract, that conveys the right to control the use of identified property or equipment (an identified asset) for a period of time in exchange for consideration. Control over the use of the identified asset means that we have both the right to obtain substantially all of the economic benefits from the use of the asset and the right to direct the use of the asset.</w:t>
      </w:r>
    </w:p>
    <w:p>
      <w:pPr>
        <w:spacing w:after="0" w:line="185" w:lineRule="exact"/>
        <w:rPr>
          <w:sz w:val="20"/>
          <w:szCs w:val="20"/>
          <w:color w:val="auto"/>
        </w:rPr>
      </w:pPr>
    </w:p>
    <w:p>
      <w:pPr>
        <w:ind w:right="140" w:firstLine="509"/>
        <w:spacing w:after="0" w:line="288" w:lineRule="auto"/>
        <w:rPr>
          <w:sz w:val="20"/>
          <w:szCs w:val="20"/>
          <w:color w:val="auto"/>
        </w:rPr>
      </w:pPr>
      <w:r>
        <w:rPr>
          <w:rFonts w:ascii="Arial" w:cs="Arial" w:eastAsia="Arial" w:hAnsi="Arial"/>
          <w:sz w:val="16"/>
          <w:szCs w:val="16"/>
          <w:color w:val="auto"/>
        </w:rPr>
        <w:t>Our lease contracts contain both lease and non-lease components which we combine as a single component under our accounting policy by asset class, except for office space leases and certain other leases, such as colocation data center leases, which we account separately for the lease and non-lease components. For leases which the consideration in the contract is allocated to lease and non-lease components, we base it on each component’s relative standalone price. We determine standalone prices for the lease components based on the prices for which other lessors lease similar assets on a standalone basis. We determine standalone prices for the non-lease component based on the prices that third-party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right-of-use ROU assets and operating lease liabilities.</w:t>
      </w:r>
    </w:p>
    <w:p>
      <w:pPr>
        <w:spacing w:after="0" w:line="17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Company uses its estimated incremental borrowing rate as the discount rate in measuring the present value of our lease payments given the rate implicit in our leases is not typically readily determinable. Given we do 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spacing w:after="0" w:line="19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We establish assets and liabilities for the estimated construction costs incurred under lease arrangements where we are considered the owner for accounting purposes only, or build-to-suit leases, to the extent we are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ind w:right="200"/>
        <w:spacing w:after="0" w:line="286" w:lineRule="auto"/>
        <w:rPr>
          <w:sz w:val="20"/>
          <w:szCs w:val="20"/>
          <w:color w:val="auto"/>
        </w:rPr>
      </w:pPr>
      <w:r>
        <w:rPr>
          <w:rFonts w:ascii="Arial" w:cs="Arial" w:eastAsia="Arial" w:hAnsi="Arial"/>
          <w:sz w:val="17"/>
          <w:szCs w:val="17"/>
          <w:color w:val="auto"/>
        </w:rPr>
        <w:t>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finance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1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Finance lease ROU assets and finance lease liabilities are recognized at the lease commencement date or the date the lessor makes the leased asset available for use. Finance lease ROU assets are generally amortized on a straight-line basis over the lease term, and the carrying amount of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are recorded to depreciation and interest expense, respectively, in our consolidated statement of operations.</w:t>
      </w:r>
    </w:p>
    <w:p>
      <w:pPr>
        <w:spacing w:after="0" w:line="6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lease approximately 280,000 square feet of office space for our corporate headquarters in Needham, Massachusetts (the “Headquarters Lease”). The Headquarters Lease has an expiration date of December 2030, with an option to extend the lease term for two consecutive terms of five years each. Our Headquarters Lease is accounted for as a finance lease.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office space leases, exclusive of our Headquarters Lease, are operating leases, which we lease an aggregate of approximately 400,000 square feet at approximately 30 locations across North America, Europe, Asia Pacific and South America, in cities such as New York, London, Sydney, Barcelona, Buenos Aires and Paris, primarily used as sales offices, subsidiary headquarters, and for international operations, pursuant to leases with various expiration dates, with the latest expiring in July 2027.</w:t>
      </w:r>
    </w:p>
    <w:p>
      <w:pPr>
        <w:spacing w:after="0" w:line="18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Operating lease ROU assets and liabilities are recognized at lease commencement date, or the date the lessor makes the leased asset available for use, based on the present value of lease payments over the lease term using the Company’s estimated incremental borrowing rate. ROU assets associated with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are recognized as a single operating lease cost in our consolidated statement of operations, which results effectively in recognition of rent expense on a straight-line basis over the lease period. The carrying amount of operating lease liabilities are (1) accreted to reflect interest using the incremental borrowing rate if the rate implicit in the lease is not readily determinable; and (2) reduced to reflect lease payments made during the period. We present the combination of both the amortization of operating lease ROU assets and the change in the operating lease liabilities in the same line item within the adjustments to reconcile net income (loss) to net cash provided by operating activities in our consolidated statement of cash flows. Lease incentives are recognized as reductions of rental expense on a straight-line basis over the term of the lease. Certain of our operating leases include options to extend the lease terms for up to 6 years and/or terminate the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consolidated statement of operations, which were not material during the years ended December 31, 2022, 2021 and 2020. In addition, our short-term lease costs were not material in any period presented.</w:t>
      </w:r>
    </w:p>
    <w:p>
      <w:pPr>
        <w:spacing w:after="0" w:line="16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also establish assets and liabilities at the present value of estimated future costs to return certain of our leased facilities to their original condition to satisfy any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both December 31, 2022 and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color w:val="auto"/>
        </w:rPr>
        <w:t>Operating and finance lease assets and liabilities are included on our consolidated balance sheet as follows for the periods presented: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6"/>
                <w:szCs w:val="16"/>
                <w:color w:val="auto"/>
              </w:rPr>
            </w:pPr>
          </w:p>
        </w:tc>
      </w:tr>
      <w:tr>
        <w:trPr>
          <w:trHeight w:val="236"/>
        </w:trPr>
        <w:tc>
          <w:tcPr>
            <w:tcW w:w="280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Presentation on Consolidated Balance Sheet</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r>
      <w:tr>
        <w:trPr>
          <w:trHeight w:val="197"/>
        </w:trPr>
        <w:tc>
          <w:tcPr>
            <w:tcW w:w="280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r>
      <w:tr>
        <w:trPr>
          <w:trHeight w:val="275"/>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Noncurrent Lease Assets:</w:t>
            </w:r>
          </w:p>
        </w:tc>
        <w:tc>
          <w:tcPr>
            <w:tcW w:w="5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9"/>
        </w:trPr>
        <w:tc>
          <w:tcPr>
            <w:tcW w:w="2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w:t>
            </w:r>
          </w:p>
        </w:tc>
        <w:tc>
          <w:tcPr>
            <w:tcW w:w="59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21"/>
                <w:szCs w:val="21"/>
                <w:color w:val="auto"/>
              </w:rPr>
            </w:pPr>
          </w:p>
        </w:tc>
      </w:tr>
      <w:tr>
        <w:trPr>
          <w:trHeight w:val="243"/>
        </w:trPr>
        <w:tc>
          <w:tcPr>
            <w:tcW w:w="280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5940" w:type="dxa"/>
            <w:vAlign w:val="bottom"/>
          </w:tcPr>
          <w:p>
            <w:pPr>
              <w:ind w:left="560"/>
              <w:spacing w:after="0"/>
              <w:rPr>
                <w:sz w:val="20"/>
                <w:szCs w:val="20"/>
                <w:color w:val="auto"/>
              </w:rPr>
            </w:pPr>
            <w:r>
              <w:rPr>
                <w:rFonts w:ascii="Arial" w:cs="Arial" w:eastAsia="Arial" w:hAnsi="Arial"/>
                <w:sz w:val="18"/>
                <w:szCs w:val="18"/>
                <w:color w:val="auto"/>
              </w:rPr>
              <w:t>Operating lease right-of-use-assets</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r>
      <w:tr>
        <w:trPr>
          <w:trHeight w:val="276"/>
        </w:trPr>
        <w:tc>
          <w:tcPr>
            <w:tcW w:w="2800" w:type="dxa"/>
            <w:vAlign w:val="bottom"/>
            <w:tcBorders>
              <w:bottom w:val="single" w:sz="8" w:color="CFF0FC"/>
            </w:tcBorders>
            <w:shd w:val="clear" w:color="auto" w:fill="CFF0FC"/>
          </w:tcPr>
          <w:p>
            <w:pPr>
              <w:spacing w:after="0"/>
              <w:rPr>
                <w:sz w:val="24"/>
                <w:szCs w:val="24"/>
                <w:color w:val="auto"/>
              </w:rPr>
            </w:pPr>
          </w:p>
        </w:tc>
        <w:tc>
          <w:tcPr>
            <w:tcW w:w="59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lease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80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800" w:type="dxa"/>
            <w:vAlign w:val="bottom"/>
            <w:shd w:val="clear" w:color="auto" w:fill="CFF0FC"/>
          </w:tcPr>
          <w:p>
            <w:pPr>
              <w:spacing w:after="0"/>
              <w:rPr>
                <w:sz w:val="21"/>
                <w:szCs w:val="21"/>
                <w:color w:val="auto"/>
              </w:rPr>
            </w:pPr>
          </w:p>
        </w:tc>
        <w:tc>
          <w:tcPr>
            <w:tcW w:w="5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Current Lease Liabilities:</w:t>
            </w: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w:t>
            </w:r>
          </w:p>
        </w:tc>
        <w:tc>
          <w:tcPr>
            <w:tcW w:w="5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r>
      <w:tr>
        <w:trPr>
          <w:trHeight w:val="243"/>
        </w:trPr>
        <w:tc>
          <w:tcPr>
            <w:tcW w:w="280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594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r>
      <w:tr>
        <w:trPr>
          <w:trHeight w:val="236"/>
        </w:trPr>
        <w:tc>
          <w:tcPr>
            <w:tcW w:w="2800" w:type="dxa"/>
            <w:vAlign w:val="bottom"/>
            <w:shd w:val="clear" w:color="auto" w:fill="CFF0FC"/>
          </w:tcPr>
          <w:p>
            <w:pPr>
              <w:spacing w:after="0"/>
              <w:rPr>
                <w:sz w:val="20"/>
                <w:szCs w:val="20"/>
                <w:color w:val="auto"/>
              </w:rPr>
            </w:pPr>
          </w:p>
        </w:tc>
        <w:tc>
          <w:tcPr>
            <w:tcW w:w="5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lease liabilities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r>
      <w:tr>
        <w:trPr>
          <w:trHeight w:val="243"/>
        </w:trPr>
        <w:tc>
          <w:tcPr>
            <w:tcW w:w="280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Noncurrent Lease Liabilities:</w:t>
            </w:r>
          </w:p>
        </w:tc>
        <w:tc>
          <w:tcPr>
            <w:tcW w:w="5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2800" w:type="dxa"/>
            <w:vAlign w:val="bottom"/>
          </w:tcPr>
          <w:p>
            <w:pPr>
              <w:ind w:left="20"/>
              <w:spacing w:after="0"/>
              <w:rPr>
                <w:sz w:val="20"/>
                <w:szCs w:val="20"/>
                <w:color w:val="auto"/>
              </w:rPr>
            </w:pPr>
            <w:r>
              <w:rPr>
                <w:rFonts w:ascii="Arial" w:cs="Arial" w:eastAsia="Arial" w:hAnsi="Arial"/>
                <w:sz w:val="18"/>
                <w:szCs w:val="18"/>
                <w:color w:val="auto"/>
              </w:rPr>
              <w:t>Finance lease</w:t>
            </w:r>
          </w:p>
        </w:tc>
        <w:tc>
          <w:tcPr>
            <w:tcW w:w="5940" w:type="dxa"/>
            <w:vAlign w:val="bottom"/>
          </w:tcPr>
          <w:p>
            <w:pPr>
              <w:ind w:left="520"/>
              <w:spacing w:after="0"/>
              <w:rPr>
                <w:sz w:val="20"/>
                <w:szCs w:val="20"/>
                <w:color w:val="auto"/>
              </w:rPr>
            </w:pPr>
            <w:r>
              <w:rPr>
                <w:rFonts w:ascii="Arial" w:cs="Arial" w:eastAsia="Arial" w:hAnsi="Arial"/>
                <w:sz w:val="18"/>
                <w:szCs w:val="18"/>
                <w:color w:val="auto"/>
              </w:rPr>
              <w:t>Finance lease liability, net of current portion</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r>
      <w:tr>
        <w:trPr>
          <w:trHeight w:val="249"/>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w:t>
            </w:r>
          </w:p>
        </w:tc>
        <w:tc>
          <w:tcPr>
            <w:tcW w:w="59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2800" w:type="dxa"/>
            <w:vAlign w:val="bottom"/>
          </w:tcPr>
          <w:p>
            <w:pPr>
              <w:spacing w:after="0"/>
              <w:rPr>
                <w:sz w:val="19"/>
                <w:szCs w:val="19"/>
                <w:color w:val="auto"/>
              </w:rPr>
            </w:pPr>
          </w:p>
        </w:tc>
        <w:tc>
          <w:tcPr>
            <w:tcW w:w="5940" w:type="dxa"/>
            <w:vAlign w:val="bottom"/>
          </w:tcPr>
          <w:p>
            <w:pPr>
              <w:ind w:left="740"/>
              <w:spacing w:after="0"/>
              <w:rPr>
                <w:sz w:val="20"/>
                <w:szCs w:val="20"/>
                <w:color w:val="auto"/>
              </w:rPr>
            </w:pPr>
            <w:r>
              <w:rPr>
                <w:rFonts w:ascii="Arial" w:cs="Arial" w:eastAsia="Arial" w:hAnsi="Arial"/>
                <w:sz w:val="18"/>
                <w:szCs w:val="18"/>
                <w:color w:val="auto"/>
              </w:rPr>
              <w:t>Total noncurrent lease liabilities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r>
      <w:tr>
        <w:trPr>
          <w:trHeight w:val="249"/>
        </w:trPr>
        <w:tc>
          <w:tcPr>
            <w:tcW w:w="2800" w:type="dxa"/>
            <w:vAlign w:val="bottom"/>
            <w:tcBorders>
              <w:bottom w:val="single" w:sz="8" w:color="CFF0FC"/>
            </w:tcBorders>
            <w:shd w:val="clear" w:color="auto" w:fill="CFF0FC"/>
          </w:tcPr>
          <w:p>
            <w:pPr>
              <w:spacing w:after="0"/>
              <w:rPr>
                <w:sz w:val="21"/>
                <w:szCs w:val="21"/>
                <w:color w:val="auto"/>
              </w:rPr>
            </w:pPr>
          </w:p>
        </w:tc>
        <w:tc>
          <w:tcPr>
            <w:tcW w:w="5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800" w:type="dxa"/>
            <w:vAlign w:val="bottom"/>
          </w:tcPr>
          <w:p>
            <w:pPr>
              <w:spacing w:after="0"/>
              <w:rPr>
                <w:sz w:val="20"/>
                <w:szCs w:val="20"/>
                <w:color w:val="auto"/>
              </w:rPr>
            </w:pPr>
          </w:p>
        </w:tc>
        <w:tc>
          <w:tcPr>
            <w:tcW w:w="5940" w:type="dxa"/>
            <w:vAlign w:val="bottom"/>
          </w:tcPr>
          <w:p>
            <w:pPr>
              <w:ind w:left="740"/>
              <w:spacing w:after="0"/>
              <w:rPr>
                <w:sz w:val="20"/>
                <w:szCs w:val="20"/>
                <w:color w:val="auto"/>
              </w:rPr>
            </w:pPr>
            <w:r>
              <w:rPr>
                <w:rFonts w:ascii="Arial" w:cs="Arial" w:eastAsia="Arial" w:hAnsi="Arial"/>
                <w:sz w:val="18"/>
                <w:szCs w:val="18"/>
                <w:color w:val="auto"/>
              </w:rPr>
              <w:t>Total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r>
      <w:tr>
        <w:trPr>
          <w:trHeight w:val="20"/>
        </w:trPr>
        <w:tc>
          <w:tcPr>
            <w:tcW w:w="28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-2080260</wp:posOffset>
            </wp:positionV>
            <wp:extent cx="89916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99160" cy="17970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-504825</wp:posOffset>
            </wp:positionV>
            <wp:extent cx="68580"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-187960</wp:posOffset>
            </wp:positionV>
            <wp:extent cx="685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right="140" w:firstLine="509"/>
        <w:spacing w:after="0" w:line="277" w:lineRule="auto"/>
        <w:rPr>
          <w:sz w:val="20"/>
          <w:szCs w:val="20"/>
          <w:color w:val="auto"/>
        </w:rPr>
      </w:pPr>
      <w:r>
        <w:rPr>
          <w:rFonts w:ascii="Arial" w:cs="Arial" w:eastAsia="Arial" w:hAnsi="Arial"/>
          <w:sz w:val="18"/>
          <w:szCs w:val="18"/>
          <w:color w:val="auto"/>
        </w:rPr>
        <w:t>As of December 31, 2022, we did not have any additional operating or finance leases that have not yet commenced but that create significant rights and obligations for us.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for the periods presented:</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5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35"/>
        </w:trPr>
        <w:tc>
          <w:tcPr>
            <w:tcW w:w="3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Operating lease cost (1)</w:t>
            </w:r>
          </w:p>
        </w:tc>
        <w:tc>
          <w:tcPr>
            <w:tcW w:w="1260" w:type="dxa"/>
            <w:vAlign w:val="bottom"/>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r>
      <w:tr>
        <w:trPr>
          <w:trHeight w:val="24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3500" w:type="dxa"/>
            <w:vAlign w:val="bottom"/>
          </w:tcPr>
          <w:p>
            <w:pPr>
              <w:ind w:left="100"/>
              <w:spacing w:after="0"/>
              <w:rPr>
                <w:sz w:val="20"/>
                <w:szCs w:val="20"/>
                <w:color w:val="auto"/>
              </w:rPr>
            </w:pPr>
            <w:r>
              <w:rPr>
                <w:rFonts w:ascii="Arial" w:cs="Arial" w:eastAsia="Arial" w:hAnsi="Arial"/>
                <w:sz w:val="18"/>
                <w:szCs w:val="18"/>
                <w:color w:val="auto"/>
              </w:rPr>
              <w:t>Amortization of right-of-use assets (2)</w:t>
            </w:r>
          </w:p>
        </w:tc>
        <w:tc>
          <w:tcPr>
            <w:tcW w:w="1260" w:type="dxa"/>
            <w:vAlign w:val="bottom"/>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49"/>
        </w:trPr>
        <w:tc>
          <w:tcPr>
            <w:tcW w:w="3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Interest on lease liabilities (3)</w:t>
            </w:r>
          </w:p>
        </w:tc>
        <w:tc>
          <w:tcPr>
            <w:tcW w:w="12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Total finance lease cost</w:t>
            </w:r>
          </w:p>
        </w:tc>
        <w:tc>
          <w:tcPr>
            <w:tcW w:w="1260" w:type="dxa"/>
            <w:vAlign w:val="bottom"/>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4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 (1)</w:t>
            </w:r>
          </w:p>
        </w:tc>
        <w:tc>
          <w:tcPr>
            <w:tcW w:w="12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(9 )</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(5 )</w:t>
            </w:r>
          </w:p>
        </w:tc>
        <w:tc>
          <w:tcPr>
            <w:tcW w:w="4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(3 )</w:t>
            </w:r>
          </w:p>
        </w:tc>
      </w:tr>
      <w:tr>
        <w:trPr>
          <w:trHeight w:val="236"/>
        </w:trPr>
        <w:tc>
          <w:tcPr>
            <w:tcW w:w="35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lease cost, net</w:t>
            </w:r>
          </w:p>
        </w:tc>
        <w:tc>
          <w:tcPr>
            <w:tcW w:w="1260" w:type="dxa"/>
            <w:vAlign w:val="bottom"/>
            <w:tcBorders>
              <w:top w:val="single" w:sz="8" w:color="auto"/>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FF0FC"/>
            </w:tcBorders>
          </w:tcPr>
          <w:p>
            <w:pPr>
              <w:spacing w:after="0"/>
              <w:rPr>
                <w:sz w:val="20"/>
                <w:szCs w:val="20"/>
                <w:color w:val="auto"/>
              </w:rPr>
            </w:pPr>
          </w:p>
        </w:tc>
      </w:tr>
      <w:tr>
        <w:trPr>
          <w:trHeight w:val="20"/>
        </w:trPr>
        <w:tc>
          <w:tcPr>
            <w:tcW w:w="3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-1442085</wp:posOffset>
            </wp:positionV>
            <wp:extent cx="5715000" cy="474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000" cy="47498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-504825</wp:posOffset>
            </wp:positionV>
            <wp:extent cx="5969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-504825</wp:posOffset>
            </wp:positionV>
            <wp:extent cx="51435"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-187960</wp:posOffset>
            </wp:positionV>
            <wp:extent cx="5969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-187960</wp:posOffset>
            </wp:positionV>
            <wp:extent cx="5143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68" w:lineRule="exact"/>
        <w:rPr>
          <w:sz w:val="20"/>
          <w:szCs w:val="20"/>
          <w:color w:val="auto"/>
        </w:rPr>
      </w:pPr>
    </w:p>
    <w:p>
      <w:pPr>
        <w:ind w:left="1140" w:hanging="383"/>
        <w:spacing w:after="0"/>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Operating lease costs, net of sublease income, are included within operating expenses in our consolidated statements of operations.</w:t>
      </w:r>
    </w:p>
    <w:p>
      <w:pPr>
        <w:ind w:left="1140" w:hanging="383"/>
        <w:spacing w:after="0" w:line="221" w:lineRule="auto"/>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 is included in depreciation expense in our consolidated statements of operations.</w:t>
      </w:r>
    </w:p>
    <w:p>
      <w:pPr>
        <w:ind w:left="1140" w:hanging="383"/>
        <w:spacing w:after="0"/>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 is included in interest expense in our consolidated statements of operations.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83" w:name="page84"/>
    <w:bookmarkEnd w:id="83"/>
    <w:p>
      <w:pPr>
        <w:ind w:left="520"/>
        <w:spacing w:after="0"/>
        <w:rPr>
          <w:sz w:val="20"/>
          <w:szCs w:val="20"/>
          <w:color w:val="auto"/>
        </w:rPr>
      </w:pPr>
      <w:r>
        <w:rPr>
          <w:rFonts w:ascii="Arial" w:cs="Arial" w:eastAsia="Arial" w:hAnsi="Arial"/>
          <w:sz w:val="16"/>
          <w:szCs w:val="16"/>
          <w:color w:val="auto"/>
        </w:rPr>
        <w:t>Additional information related to our leases is as follows for the periods presented:</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Supplemental Cash Flows Information:</w:t>
      </w:r>
    </w:p>
    <w:p>
      <w:pPr>
        <w:spacing w:after="0" w:line="59" w:lineRule="exact"/>
        <w:rPr>
          <w:sz w:val="20"/>
          <w:szCs w:val="20"/>
          <w:color w:val="auto"/>
        </w:rPr>
      </w:pPr>
    </w:p>
    <w:p>
      <w:pPr>
        <w:ind w:left="1140" w:right="520"/>
        <w:spacing w:after="0" w:line="283" w:lineRule="auto"/>
        <w:rPr>
          <w:sz w:val="20"/>
          <w:szCs w:val="20"/>
          <w:color w:val="auto"/>
        </w:rPr>
      </w:pPr>
      <w:r>
        <w:rPr>
          <w:rFonts w:ascii="Arial" w:cs="Arial" w:eastAsia="Arial" w:hAnsi="Arial"/>
          <w:sz w:val="17"/>
          <w:szCs w:val="17"/>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9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2540</wp:posOffset>
            </wp:positionV>
            <wp:extent cx="5715000" cy="3206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15000" cy="320675"/>
                    </a:xfrm>
                    <a:prstGeom prst="rect">
                      <a:avLst/>
                    </a:prstGeom>
                    <a:noFill/>
                  </pic:spPr>
                </pic:pic>
              </a:graphicData>
            </a:graphic>
          </wp:anchor>
        </w:drawing>
      </w:r>
    </w:p>
    <w:p>
      <w:pPr>
        <w:spacing w:after="0"/>
        <w:tabs>
          <w:tab w:leader="none" w:pos="944"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sz w:val="1"/>
          <w:szCs w:val="1"/>
          <w:color w:val="auto"/>
        </w:rPr>
        <w:drawing>
          <wp:inline distT="0" distB="0" distL="0" distR="0">
            <wp:extent cx="85090" cy="16192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090"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2021         </w:t>
      </w:r>
      <w:r>
        <w:rPr>
          <w:sz w:val="1"/>
          <w:szCs w:val="1"/>
          <w:color w:val="auto"/>
        </w:rPr>
        <w:drawing>
          <wp:inline distT="0" distB="0" distL="0" distR="0">
            <wp:extent cx="76835" cy="16192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61925"/>
                    </a:xfrm>
                    <a:prstGeom prst="rect">
                      <a:avLst/>
                    </a:prstGeom>
                    <a:noFill/>
                    <a:ln>
                      <a:noFill/>
                    </a:ln>
                  </pic:spPr>
                </pic:pic>
              </a:graphicData>
            </a:graphic>
          </wp:inline>
        </w:drawing>
      </w:r>
      <w:r>
        <w:rPr>
          <w:rFonts w:ascii="Arial" w:cs="Arial" w:eastAsia="Arial" w:hAnsi="Arial"/>
          <w:sz w:val="14"/>
          <w:szCs w:val="14"/>
          <w:b w:val="1"/>
          <w:bCs w:val="1"/>
          <w:color w:val="auto"/>
        </w:rPr>
        <w:t xml:space="preserve">          2020</w:t>
      </w:r>
    </w:p>
    <w:p>
      <w:pPr>
        <w:spacing w:after="0" w:line="40"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15240</wp:posOffset>
            </wp:positionV>
            <wp:extent cx="5702300" cy="290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02300" cy="290830"/>
                    </a:xfrm>
                    <a:prstGeom prst="rect">
                      <a:avLst/>
                    </a:prstGeom>
                    <a:noFill/>
                  </pic:spPr>
                </pic:pic>
              </a:graphicData>
            </a:graphic>
          </wp:anchor>
        </w:drawing>
      </w:r>
    </w:p>
    <w:p>
      <w:pPr>
        <w:spacing w:after="0" w:line="480" w:lineRule="exact"/>
        <w:rPr>
          <w:sz w:val="20"/>
          <w:szCs w:val="20"/>
          <w:color w:val="auto"/>
        </w:rPr>
      </w:pPr>
    </w:p>
    <w:p>
      <w:pPr>
        <w:sectPr>
          <w:pgSz w:w="11900" w:h="16838" w:orient="portrait"/>
          <w:cols w:equalWidth="0" w:num="2">
            <w:col w:w="4600" w:space="720"/>
            <w:col w:w="5920"/>
          </w:cols>
          <w:pgMar w:left="320" w:top="584"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2"/>
              </w:rPr>
              <w:t>Operating cash outflows from operating leases</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w w:val="99"/>
              </w:rPr>
              <w:t>Operating cash outflows from finance lease</w:t>
            </w:r>
          </w:p>
        </w:tc>
        <w:tc>
          <w:tcPr>
            <w:tcW w:w="5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9"/>
              </w:rPr>
              <w:t>Financing cash outflows from finance lease</w:t>
            </w:r>
          </w:p>
        </w:tc>
        <w:tc>
          <w:tcPr>
            <w:tcW w:w="5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4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w w:val="88"/>
              </w:rPr>
              <w:t>Right-of-use assets obtained in exchange for</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7"/>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w w:val="98"/>
              </w:rPr>
              <w:t>Weighted-average remaining lease term:</w:t>
            </w: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2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2.5 years</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 years</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Finance lease</w:t>
            </w: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tcPr>
          <w:p>
            <w:pPr>
              <w:ind w:left="340"/>
              <w:spacing w:after="0"/>
              <w:rPr>
                <w:sz w:val="20"/>
                <w:szCs w:val="20"/>
                <w:color w:val="auto"/>
              </w:rPr>
            </w:pPr>
            <w:r>
              <w:rPr>
                <w:rFonts w:ascii="Arial" w:cs="Arial" w:eastAsia="Arial" w:hAnsi="Arial"/>
                <w:sz w:val="18"/>
                <w:szCs w:val="18"/>
                <w:color w:val="auto"/>
              </w:rPr>
              <w:t>8.0 years</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 years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4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Operating leases</w:t>
            </w: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3.7 %</w:t>
            </w:r>
          </w:p>
        </w:tc>
        <w:tc>
          <w:tcPr>
            <w:tcW w:w="180" w:type="dxa"/>
            <w:vAlign w:val="bottom"/>
          </w:tcPr>
          <w:p>
            <w:pPr>
              <w:spacing w:after="0"/>
              <w:rPr>
                <w:sz w:val="20"/>
                <w:szCs w:val="20"/>
                <w:color w:val="auto"/>
              </w:rPr>
            </w:pPr>
          </w:p>
        </w:tc>
        <w:tc>
          <w:tcPr>
            <w:tcW w:w="2420" w:type="dxa"/>
            <w:vAlign w:val="bottom"/>
            <w:gridSpan w:val="3"/>
          </w:tcPr>
          <w:p>
            <w:pPr>
              <w:jc w:val="right"/>
              <w:ind w:right="104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Finance lease</w:t>
            </w: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4.5 %</w:t>
            </w:r>
          </w:p>
        </w:tc>
        <w:tc>
          <w:tcPr>
            <w:tcW w:w="180" w:type="dxa"/>
            <w:vAlign w:val="bottom"/>
          </w:tcPr>
          <w:p>
            <w:pPr>
              <w:spacing w:after="0"/>
              <w:rPr>
                <w:sz w:val="21"/>
                <w:szCs w:val="21"/>
                <w:color w:val="auto"/>
              </w:rPr>
            </w:pPr>
          </w:p>
        </w:tc>
        <w:tc>
          <w:tcPr>
            <w:tcW w:w="2420" w:type="dxa"/>
            <w:vAlign w:val="bottom"/>
            <w:gridSpan w:val="3"/>
          </w:tcPr>
          <w:p>
            <w:pPr>
              <w:jc w:val="right"/>
              <w:ind w:right="104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485"/>
        </w:trPr>
        <w:tc>
          <w:tcPr>
            <w:tcW w:w="7420" w:type="dxa"/>
            <w:vAlign w:val="bottom"/>
            <w:gridSpan w:val="7"/>
          </w:tcPr>
          <w:p>
            <w:pPr>
              <w:jc w:val="right"/>
              <w:ind w:right="79"/>
              <w:spacing w:after="0"/>
              <w:rPr>
                <w:sz w:val="20"/>
                <w:szCs w:val="20"/>
                <w:color w:val="auto"/>
              </w:rPr>
            </w:pPr>
            <w:r>
              <w:rPr>
                <w:rFonts w:ascii="Arial" w:cs="Arial" w:eastAsia="Arial" w:hAnsi="Arial"/>
                <w:sz w:val="18"/>
                <w:szCs w:val="18"/>
                <w:color w:val="auto"/>
                <w:w w:val="95"/>
              </w:rPr>
              <w:t>Future lease payments under non-cancelable leases as of December 31, 2022 were as follows: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4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w w:val="98"/>
              </w:rPr>
              <w:t>Operating Leases</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Finance Lease</w:t>
            </w:r>
          </w:p>
        </w:tc>
        <w:tc>
          <w:tcPr>
            <w:tcW w:w="1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80" w:type="dxa"/>
            <w:vAlign w:val="bottom"/>
            <w:gridSpan w:val="6"/>
          </w:tcPr>
          <w:p>
            <w:pPr>
              <w:jc w:val="right"/>
              <w:ind w:right="2280"/>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39"/>
        </w:trPr>
        <w:tc>
          <w:tcPr>
            <w:tcW w:w="1140" w:type="dxa"/>
            <w:vAlign w:val="bottom"/>
            <w:vMerge w:val="restart"/>
          </w:tcPr>
          <w:p>
            <w:pPr>
              <w:spacing w:after="0"/>
              <w:rPr>
                <w:sz w:val="3"/>
                <w:szCs w:val="3"/>
                <w:color w:val="auto"/>
              </w:rPr>
            </w:pPr>
          </w:p>
        </w:tc>
        <w:tc>
          <w:tcPr>
            <w:tcW w:w="3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40" w:type="dxa"/>
            <w:vAlign w:val="bottom"/>
            <w:gridSpan w:val="3"/>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2"/>
                <w:szCs w:val="22"/>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40" w:type="dxa"/>
            <w:vAlign w:val="bottom"/>
          </w:tcPr>
          <w:p>
            <w:pPr>
              <w:spacing w:after="0"/>
              <w:rPr>
                <w:sz w:val="22"/>
                <w:szCs w:val="22"/>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5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5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gridSpan w:val="2"/>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82</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-2927985</wp:posOffset>
            </wp:positionV>
            <wp:extent cx="570230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-538480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-521970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-538480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-521970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7: GOODWILL AND INTANGIBLE ASSETS,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goodwill activity by reportable segment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Hotels,</w:t>
            </w:r>
          </w:p>
        </w:tc>
        <w:tc>
          <w:tcPr>
            <w:tcW w:w="13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w w:val="99"/>
              </w:rPr>
              <w:t>Experiences &amp;</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Media &amp;</w:t>
            </w:r>
          </w:p>
        </w:tc>
        <w:tc>
          <w:tcPr>
            <w:tcW w:w="13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Other (2)</w:t>
            </w:r>
          </w:p>
        </w:tc>
        <w:tc>
          <w:tcPr>
            <w:tcW w:w="220" w:type="dxa"/>
            <w:vAlign w:val="bottom"/>
            <w:vMerge w:val="restart"/>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Tripadvisor Core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Viator</w:t>
            </w:r>
          </w:p>
        </w:tc>
        <w:tc>
          <w:tcPr>
            <w:tcW w:w="2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TheFork</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Dining</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553"/>
              <w:spacing w:after="0"/>
              <w:rPr>
                <w:sz w:val="20"/>
                <w:szCs w:val="20"/>
                <w:color w:val="auto"/>
              </w:rPr>
            </w:pPr>
            <w:r>
              <w:rPr>
                <w:rFonts w:ascii="Arial" w:cs="Arial" w:eastAsia="Arial" w:hAnsi="Arial"/>
                <w:sz w:val="14"/>
                <w:szCs w:val="14"/>
                <w:b w:val="1"/>
                <w:bCs w:val="1"/>
                <w:color w:val="auto"/>
                <w:w w:val="93"/>
              </w:rPr>
              <w:t>millions)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(18 )</w:t>
            </w:r>
          </w:p>
        </w:tc>
        <w:tc>
          <w:tcPr>
            <w:tcW w:w="160" w:type="dxa"/>
            <w:vAlign w:val="bottom"/>
          </w:tcPr>
          <w:p>
            <w:pPr>
              <w:spacing w:after="0"/>
              <w:rPr>
                <w:sz w:val="18"/>
                <w:szCs w:val="18"/>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(1 )</w:t>
            </w:r>
          </w:p>
        </w:tc>
        <w:tc>
          <w:tcPr>
            <w:tcW w:w="4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292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(18 )</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(5 )</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9"/>
        </w:trPr>
        <w:tc>
          <w:tcPr>
            <w:tcW w:w="2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Allocation to new segments (1)</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(407 )</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(326 )</w:t>
            </w: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(87 )</w:t>
            </w:r>
          </w:p>
        </w:tc>
        <w:tc>
          <w:tcPr>
            <w:tcW w:w="4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9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December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-187960</wp:posOffset>
            </wp:positionV>
            <wp:extent cx="76835"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-187960</wp:posOffset>
            </wp:positionV>
            <wp:extent cx="7683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-187960</wp:posOffset>
            </wp:positionV>
            <wp:extent cx="7683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-187960</wp:posOffset>
            </wp:positionV>
            <wp:extent cx="685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-187960</wp:posOffset>
            </wp:positionV>
            <wp:extent cx="685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-187960</wp:posOffset>
            </wp:positionV>
            <wp:extent cx="685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6" w:lineRule="exact"/>
        <w:rPr>
          <w:sz w:val="20"/>
          <w:szCs w:val="20"/>
          <w:color w:val="auto"/>
        </w:rPr>
      </w:pPr>
    </w:p>
    <w:p>
      <w:pPr>
        <w:ind w:left="900" w:hanging="518"/>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Refer to “Note 19: </w:t>
      </w:r>
      <w:r>
        <w:rPr>
          <w:rFonts w:ascii="Arial" w:cs="Arial" w:eastAsia="Arial" w:hAnsi="Arial"/>
          <w:sz w:val="15"/>
          <w:szCs w:val="15"/>
          <w:i w:val="1"/>
          <w:iCs w:val="1"/>
          <w:color w:val="auto"/>
        </w:rPr>
        <w:t>Segment and Geographic Information</w:t>
      </w:r>
      <w:r>
        <w:rPr>
          <w:rFonts w:ascii="Arial" w:cs="Arial" w:eastAsia="Arial" w:hAnsi="Arial"/>
          <w:sz w:val="15"/>
          <w:szCs w:val="15"/>
          <w:color w:val="auto"/>
        </w:rPr>
        <w:t>” for information regarding our reportable segment changes in the second quarter of 2022.</w:t>
      </w:r>
    </w:p>
    <w:p>
      <w:pPr>
        <w:spacing w:after="0" w:line="33" w:lineRule="exact"/>
        <w:rPr>
          <w:rFonts w:ascii="Arial" w:cs="Arial" w:eastAsia="Arial" w:hAnsi="Arial"/>
          <w:sz w:val="15"/>
          <w:szCs w:val="15"/>
          <w:color w:val="auto"/>
        </w:rPr>
      </w:pPr>
    </w:p>
    <w:p>
      <w:pPr>
        <w:ind w:left="900" w:hanging="518"/>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consists of the combination of Rentals, Flights &amp; Car, and Cruises, and did not previously constitute a reportable segment.</w:t>
      </w:r>
    </w:p>
    <w:p>
      <w:pPr>
        <w:spacing w:after="0" w:line="22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There were no goodwill impairment charges recognized on our consolidated statements of operations during the years ended December 31, 2022 and 2021, respectively.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for discussion regarding the Company’s 2022 interim and annual goodwill impairment assessments. During 2020, the Company recognized a goodwill impairment charge of $3 million, which represented all goodwill previously allocated to our former Tripadvisor China reporting unit. This impairment was driven by strategic operating decisions made by the Company. As of both December 31, 2022 and 2021, accumulated goodwill impairment losses totaled $3 million, which was associated with the Tripadvisor Core segment as of December 31, 2022 and Other as of December 31, 2021.</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Intangibles</w:t>
      </w:r>
    </w:p>
    <w:p>
      <w:pPr>
        <w:spacing w:after="0" w:line="22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Intangible assets, acquired in business combinations and recorded at fair value on the date of purchase, consisted of the following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13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8"/>
        </w:trPr>
        <w:tc>
          <w:tcPr>
            <w:tcW w:w="6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6"/>
              </w:rPr>
              <w:t>millions)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880" w:type="dxa"/>
            <w:vAlign w:val="bottom"/>
          </w:tcPr>
          <w:p>
            <w:pPr>
              <w:ind w:left="20"/>
              <w:spacing w:after="0"/>
              <w:rPr>
                <w:sz w:val="20"/>
                <w:szCs w:val="20"/>
                <w:color w:val="auto"/>
              </w:rPr>
            </w:pPr>
            <w:r>
              <w:rPr>
                <w:rFonts w:ascii="Arial" w:cs="Arial" w:eastAsia="Arial" w:hAnsi="Arial"/>
                <w:sz w:val="18"/>
                <w:szCs w:val="18"/>
                <w:color w:val="auto"/>
              </w:rPr>
              <w:t>Intangible assets with definite lives</w:t>
            </w:r>
          </w:p>
        </w:tc>
        <w:tc>
          <w:tcPr>
            <w:tcW w:w="1380" w:type="dxa"/>
            <w:vAlign w:val="bottom"/>
          </w:tcPr>
          <w:p>
            <w:pPr>
              <w:jc w:val="right"/>
              <w:ind w:right="11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r>
      <w:tr>
        <w:trPr>
          <w:trHeight w:val="249"/>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amortization</w:t>
            </w:r>
          </w:p>
        </w:tc>
        <w:tc>
          <w:tcPr>
            <w:tcW w:w="13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(198 )</w:t>
            </w:r>
          </w:p>
        </w:tc>
        <w:tc>
          <w:tcPr>
            <w:tcW w:w="5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(202 )</w:t>
            </w:r>
          </w:p>
        </w:tc>
      </w:tr>
      <w:tr>
        <w:trPr>
          <w:trHeight w:val="230"/>
        </w:trPr>
        <w:tc>
          <w:tcPr>
            <w:tcW w:w="68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Intangible assets with definite lives, net</w:t>
            </w:r>
          </w:p>
        </w:tc>
        <w:tc>
          <w:tcPr>
            <w:tcW w:w="13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tcPr>
          <w:p>
            <w:pPr>
              <w:spacing w:after="0"/>
              <w:rPr>
                <w:sz w:val="19"/>
                <w:szCs w:val="19"/>
                <w:color w:val="auto"/>
              </w:rPr>
            </w:pPr>
          </w:p>
        </w:tc>
      </w:tr>
      <w:tr>
        <w:trPr>
          <w:trHeight w:val="249"/>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13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880" w:type="dxa"/>
            <w:vAlign w:val="bottom"/>
          </w:tcPr>
          <w:p>
            <w:pPr>
              <w:ind w:left="20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1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-504825</wp:posOffset>
            </wp:positionV>
            <wp:extent cx="68580" cy="162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-187960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Amortization expense for definite-lived intangible assets was $13 million, $20 million, and $26 million, for the years ended December 31, 2022, 2021 and 2020, respectively.</w:t>
      </w:r>
    </w:p>
    <w:p>
      <w:pPr>
        <w:spacing w:after="0" w:line="16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Our indefinite-lived intangible assets relate to trade names and trademarks for the Tripadvisor brand. During the Company's annual indefinite-lived intangible impairment test during the fourth quarter of 2022, a qualitative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85" w:name="page86"/>
    <w:bookmarkEnd w:id="85"/>
    <w:p>
      <w:pPr>
        <w:ind w:right="140"/>
        <w:spacing w:after="0" w:line="301" w:lineRule="auto"/>
        <w:rPr>
          <w:sz w:val="20"/>
          <w:szCs w:val="20"/>
          <w:color w:val="auto"/>
        </w:rPr>
      </w:pPr>
      <w:r>
        <w:rPr>
          <w:rFonts w:ascii="Arial" w:cs="Arial" w:eastAsia="Arial" w:hAnsi="Arial"/>
          <w:sz w:val="16"/>
          <w:szCs w:val="16"/>
          <w:color w:val="auto"/>
        </w:rPr>
        <w:t>assessment was performed. As part of our qualitative assessment we considered, amongst other factors, the amount of excess fair value of our trade names and trademarks to the carrying value of those same assets, changes in estimates, and valuation input assumptions, since our previous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2022.</w:t>
      </w:r>
    </w:p>
    <w:p>
      <w:pPr>
        <w:spacing w:after="0" w:line="156"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There were no impairment charges recognized to our consolidated statements of operations for the years ended December 31, 2022, 2021 and 2020 related to our intangible assets.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components of our intangible assets with definite lives for the periods presented:</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Trade names and trademarks</w:t>
      </w:r>
    </w:p>
    <w:p>
      <w:pPr>
        <w:spacing w:after="0" w:line="45" w:lineRule="exact"/>
        <w:rPr>
          <w:sz w:val="20"/>
          <w:szCs w:val="20"/>
          <w:color w:val="auto"/>
        </w:rPr>
      </w:pPr>
    </w:p>
    <w:p>
      <w:pPr>
        <w:ind w:left="20"/>
        <w:spacing w:after="0" w:line="328" w:lineRule="auto"/>
        <w:rPr>
          <w:sz w:val="20"/>
          <w:szCs w:val="20"/>
          <w:color w:val="auto"/>
        </w:rPr>
      </w:pPr>
      <w:r>
        <w:rPr>
          <w:rFonts w:ascii="Arial" w:cs="Arial" w:eastAsia="Arial" w:hAnsi="Arial"/>
          <w:sz w:val="15"/>
          <w:szCs w:val="15"/>
          <w:color w:val="auto"/>
        </w:rPr>
        <w:t>Customer lists and supplier relationships Subscriber relationships</w:t>
      </w:r>
    </w:p>
    <w:p>
      <w:pPr>
        <w:ind w:left="20"/>
        <w:spacing w:after="0"/>
        <w:rPr>
          <w:sz w:val="20"/>
          <w:szCs w:val="20"/>
          <w:color w:val="auto"/>
        </w:rPr>
      </w:pPr>
      <w:r>
        <w:rPr>
          <w:rFonts w:ascii="Arial" w:cs="Arial" w:eastAsia="Arial" w:hAnsi="Arial"/>
          <w:sz w:val="16"/>
          <w:szCs w:val="16"/>
          <w:color w:val="auto"/>
        </w:rPr>
        <w:t>Technology and other</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w w:val="87"/>
              </w:rPr>
              <w:t>December 31, 2022</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28"/>
        </w:trPr>
        <w:tc>
          <w:tcPr>
            <w:tcW w:w="114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2"/>
        </w:trPr>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4"/>
                <w:szCs w:val="14"/>
                <w:color w:val="auto"/>
              </w:rPr>
            </w:pPr>
          </w:p>
        </w:tc>
        <w:tc>
          <w:tcPr>
            <w:tcW w:w="740" w:type="dxa"/>
            <w:vAlign w:val="bottom"/>
          </w:tcPr>
          <w:p>
            <w:pPr>
              <w:jc w:val="center"/>
              <w:ind w:right="66"/>
              <w:spacing w:after="0"/>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6"/>
              <w:spacing w:after="0"/>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6"/>
              <w:spacing w:after="0"/>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86"/>
              <w:spacing w:after="0"/>
              <w:rPr>
                <w:sz w:val="20"/>
                <w:szCs w:val="20"/>
                <w:color w:val="auto"/>
              </w:rPr>
            </w:pPr>
            <w:r>
              <w:rPr>
                <w:rFonts w:ascii="Arial" w:cs="Arial" w:eastAsia="Arial" w:hAnsi="Arial"/>
                <w:sz w:val="13"/>
                <w:szCs w:val="13"/>
                <w:b w:val="1"/>
                <w:bCs w:val="1"/>
                <w:color w:val="auto"/>
                <w:w w:val="85"/>
              </w:rPr>
              <w:t>Net</w:t>
            </w:r>
          </w:p>
        </w:tc>
      </w:tr>
      <w:tr>
        <w:trPr>
          <w:trHeight w:val="162"/>
        </w:trPr>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Remaining Life</w:t>
            </w:r>
          </w:p>
        </w:tc>
        <w:tc>
          <w:tcPr>
            <w:tcW w:w="140" w:type="dxa"/>
            <w:vAlign w:val="bottom"/>
          </w:tcPr>
          <w:p>
            <w:pPr>
              <w:spacing w:after="0"/>
              <w:rPr>
                <w:sz w:val="14"/>
                <w:szCs w:val="14"/>
                <w:color w:val="auto"/>
              </w:rPr>
            </w:pPr>
          </w:p>
        </w:tc>
        <w:tc>
          <w:tcPr>
            <w:tcW w:w="740" w:type="dxa"/>
            <w:vAlign w:val="bottom"/>
          </w:tcPr>
          <w:p>
            <w:pPr>
              <w:jc w:val="center"/>
              <w:ind w:right="86"/>
              <w:spacing w:after="0"/>
              <w:rPr>
                <w:sz w:val="20"/>
                <w:szCs w:val="20"/>
                <w:color w:val="auto"/>
              </w:rPr>
            </w:pPr>
            <w:r>
              <w:rPr>
                <w:rFonts w:ascii="Arial" w:cs="Arial" w:eastAsia="Arial" w:hAnsi="Arial"/>
                <w:sz w:val="13"/>
                <w:szCs w:val="13"/>
                <w:b w:val="1"/>
                <w:bCs w:val="1"/>
                <w:color w:val="auto"/>
                <w:w w:val="93"/>
              </w:rPr>
              <w:t>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4"/>
                <w:szCs w:val="14"/>
                <w:color w:val="auto"/>
              </w:rPr>
            </w:pPr>
          </w:p>
        </w:tc>
        <w:tc>
          <w:tcPr>
            <w:tcW w:w="740" w:type="dxa"/>
            <w:vAlign w:val="bottom"/>
          </w:tcPr>
          <w:p>
            <w:pPr>
              <w:jc w:val="center"/>
              <w:ind w:right="86"/>
              <w:spacing w:after="0"/>
              <w:rPr>
                <w:sz w:val="20"/>
                <w:szCs w:val="20"/>
                <w:color w:val="auto"/>
              </w:rPr>
            </w:pPr>
            <w:r>
              <w:rPr>
                <w:rFonts w:ascii="Arial" w:cs="Arial" w:eastAsia="Arial" w:hAnsi="Arial"/>
                <w:sz w:val="13"/>
                <w:szCs w:val="13"/>
                <w:b w:val="1"/>
                <w:bCs w:val="1"/>
                <w:color w:val="auto"/>
                <w:w w:val="93"/>
              </w:rPr>
              <w:t>Carrying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6"/>
              <w:spacing w:after="0"/>
              <w:rPr>
                <w:sz w:val="20"/>
                <w:szCs w:val="20"/>
                <w:color w:val="auto"/>
              </w:rPr>
            </w:pPr>
            <w:r>
              <w:rPr>
                <w:rFonts w:ascii="Arial" w:cs="Arial" w:eastAsia="Arial" w:hAnsi="Arial"/>
                <w:sz w:val="13"/>
                <w:szCs w:val="13"/>
                <w:b w:val="1"/>
                <w:bCs w:val="1"/>
                <w:color w:val="auto"/>
                <w:w w:val="89"/>
              </w:rPr>
              <w:t>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4"/>
                <w:szCs w:val="14"/>
                <w:color w:val="auto"/>
              </w:rPr>
            </w:pPr>
          </w:p>
        </w:tc>
        <w:tc>
          <w:tcPr>
            <w:tcW w:w="780" w:type="dxa"/>
            <w:vAlign w:val="bottom"/>
          </w:tcPr>
          <w:p>
            <w:pPr>
              <w:jc w:val="center"/>
              <w:ind w:right="86"/>
              <w:spacing w:after="0"/>
              <w:rPr>
                <w:sz w:val="20"/>
                <w:szCs w:val="20"/>
                <w:color w:val="auto"/>
              </w:rPr>
            </w:pPr>
            <w:r>
              <w:rPr>
                <w:rFonts w:ascii="Arial" w:cs="Arial" w:eastAsia="Arial" w:hAnsi="Arial"/>
                <w:sz w:val="13"/>
                <w:szCs w:val="13"/>
                <w:b w:val="1"/>
                <w:bCs w:val="1"/>
                <w:color w:val="auto"/>
                <w:w w:val="93"/>
              </w:rPr>
              <w:t>Carrying</w:t>
            </w:r>
          </w:p>
        </w:tc>
      </w:tr>
      <w:tr>
        <w:trPr>
          <w:trHeight w:val="164"/>
        </w:trPr>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 years)</w:t>
            </w:r>
          </w:p>
        </w:tc>
        <w:tc>
          <w:tcPr>
            <w:tcW w:w="140" w:type="dxa"/>
            <w:vAlign w:val="bottom"/>
          </w:tcPr>
          <w:p>
            <w:pPr>
              <w:spacing w:after="0"/>
              <w:rPr>
                <w:sz w:val="14"/>
                <w:szCs w:val="14"/>
                <w:color w:val="auto"/>
              </w:rPr>
            </w:pPr>
          </w:p>
        </w:tc>
        <w:tc>
          <w:tcPr>
            <w:tcW w:w="740" w:type="dxa"/>
            <w:vAlign w:val="bottom"/>
          </w:tcPr>
          <w:p>
            <w:pPr>
              <w:jc w:val="center"/>
              <w:ind w:right="66"/>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4"/>
                <w:szCs w:val="14"/>
                <w:color w:val="auto"/>
              </w:rPr>
            </w:pPr>
          </w:p>
        </w:tc>
        <w:tc>
          <w:tcPr>
            <w:tcW w:w="740" w:type="dxa"/>
            <w:vAlign w:val="bottom"/>
          </w:tcPr>
          <w:p>
            <w:pPr>
              <w:jc w:val="center"/>
              <w:ind w:right="66"/>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6"/>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4"/>
                <w:szCs w:val="14"/>
                <w:color w:val="auto"/>
              </w:rPr>
            </w:pPr>
          </w:p>
        </w:tc>
        <w:tc>
          <w:tcPr>
            <w:tcW w:w="780" w:type="dxa"/>
            <w:vAlign w:val="bottom"/>
          </w:tcPr>
          <w:p>
            <w:pPr>
              <w:jc w:val="center"/>
              <w:ind w:right="66"/>
              <w:spacing w:after="0"/>
              <w:rPr>
                <w:sz w:val="20"/>
                <w:szCs w:val="20"/>
                <w:color w:val="auto"/>
              </w:rPr>
            </w:pPr>
            <w:r>
              <w:rPr>
                <w:rFonts w:ascii="Arial" w:cs="Arial" w:eastAsia="Arial" w:hAnsi="Arial"/>
                <w:sz w:val="13"/>
                <w:szCs w:val="13"/>
                <w:b w:val="1"/>
                <w:bCs w:val="1"/>
                <w:color w:val="auto"/>
                <w:w w:val="89"/>
              </w:rPr>
              <w:t>Amount</w:t>
            </w:r>
          </w:p>
        </w:tc>
      </w:tr>
      <w:tr>
        <w:trPr>
          <w:trHeight w:val="158"/>
        </w:trPr>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0"/>
              </w:rPr>
              <w:t>(in millions)</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66"/>
              <w:spacing w:after="0"/>
              <w:rPr>
                <w:sz w:val="20"/>
                <w:szCs w:val="20"/>
                <w:color w:val="auto"/>
              </w:rPr>
            </w:pPr>
            <w:r>
              <w:rPr>
                <w:rFonts w:ascii="Arial" w:cs="Arial" w:eastAsia="Arial" w:hAnsi="Arial"/>
                <w:sz w:val="13"/>
                <w:szCs w:val="13"/>
                <w:b w:val="1"/>
                <w:bCs w:val="1"/>
                <w:color w:val="auto"/>
                <w:w w:val="98"/>
              </w:rPr>
              <w:t>(in millions)</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210"/>
        </w:trPr>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(43 )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(87 )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(87 )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(33 )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(36 )</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9"/>
        </w:trPr>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(38 )</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(36 )</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
        </w:trPr>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26"/>
        </w:trPr>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(198 )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237</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(202 )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-761365</wp:posOffset>
            </wp:positionV>
            <wp:extent cx="713232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-470535</wp:posOffset>
            </wp:positionV>
            <wp:extent cx="713232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-170815</wp:posOffset>
            </wp:positionV>
            <wp:extent cx="713232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60"/>
            <w:col w:w="7920"/>
          </w:cols>
          <w:pgMar w:left="320" w:top="584" w:right="339" w:bottom="1440" w:gutter="0" w:footer="0" w:header="0"/>
          <w:type w:val="continuous"/>
        </w:sectPr>
      </w:pPr>
    </w:p>
    <w:p>
      <w:pPr>
        <w:spacing w:after="0" w:line="42"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Our definite-lived intangible assets are being amortized on a straight-line basis. The straight-line method of amortization is currently our best estimate, or approximates to date, the distribution of the economic use of these intangible assets.</w:t>
      </w:r>
    </w:p>
    <w:p>
      <w:pPr>
        <w:spacing w:after="0" w:line="169" w:lineRule="exact"/>
        <w:rPr>
          <w:sz w:val="20"/>
          <w:szCs w:val="20"/>
          <w:color w:val="auto"/>
        </w:rPr>
      </w:pPr>
    </w:p>
    <w:p>
      <w:pPr>
        <w:ind w:right="160" w:firstLine="509"/>
        <w:spacing w:after="0" w:line="307" w:lineRule="auto"/>
        <w:rPr>
          <w:sz w:val="20"/>
          <w:szCs w:val="20"/>
          <w:color w:val="auto"/>
        </w:rPr>
      </w:pPr>
      <w:r>
        <w:rPr>
          <w:rFonts w:ascii="Arial" w:cs="Arial" w:eastAsia="Arial" w:hAnsi="Arial"/>
          <w:sz w:val="17"/>
          <w:szCs w:val="17"/>
          <w:color w:val="auto"/>
        </w:rPr>
        <w:t>The estimated amortization expense for intangible assets with definite lives for each of the next five years, and the expense thereafter, assuming no subsequent impairment of the underlying assets or change in estimate of remaining lives, is expected to be as follows (in millions):</w:t>
      </w:r>
    </w:p>
    <w:p>
      <w:pPr>
        <w:spacing w:after="0" w:line="66" w:lineRule="exact"/>
        <w:rPr>
          <w:sz w:val="20"/>
          <w:szCs w:val="20"/>
          <w:color w:val="auto"/>
        </w:rPr>
      </w:pPr>
    </w:p>
    <w:tbl>
      <w:tblPr>
        <w:tblLayout w:type="fixed"/>
        <w:tblInd w:w="2260" w:type="dxa"/>
        <w:tblCellMar>
          <w:top w:w="0" w:type="dxa"/>
          <w:left w:w="0" w:type="dxa"/>
          <w:bottom w:w="0" w:type="dxa"/>
          <w:right w:w="0" w:type="dxa"/>
        </w:tblCellMar>
      </w:tblP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2023</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FF0FC"/>
          </w:tcPr>
          <w:p>
            <w:pPr>
              <w:spacing w:after="0"/>
              <w:rPr>
                <w:sz w:val="21"/>
                <w:szCs w:val="2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6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21"/>
                <w:szCs w:val="21"/>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2027</w:t>
            </w:r>
          </w:p>
        </w:tc>
        <w:tc>
          <w:tcPr>
            <w:tcW w:w="6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 and thereafter</w:t>
            </w:r>
          </w:p>
        </w:tc>
        <w:tc>
          <w:tcPr>
            <w:tcW w:w="6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6"/>
        </w:trPr>
        <w:tc>
          <w:tcPr>
            <w:tcW w:w="52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CFF0FC"/>
            </w:tcBorders>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3429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24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w w:val="79"/>
              </w:rPr>
              <w:t>millions)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w w:val="90"/>
              </w:rPr>
              <w:t>Accrued salary, bonus, and other employee-related benefits</w:t>
            </w:r>
          </w:p>
        </w:tc>
        <w:tc>
          <w:tcPr>
            <w:tcW w:w="226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6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 (1)</w:t>
            </w:r>
          </w:p>
        </w:tc>
        <w:tc>
          <w:tcPr>
            <w:tcW w:w="17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income taxes payable (2)</w:t>
            </w: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liability - current portion (3)</w:t>
            </w:r>
          </w:p>
        </w:tc>
        <w:tc>
          <w:tcPr>
            <w:tcW w:w="17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lease liabilities - current portion (3)</w:t>
            </w: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w:t>
            </w:r>
          </w:p>
        </w:tc>
        <w:tc>
          <w:tcPr>
            <w:tcW w:w="86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00" w:type="dxa"/>
            <w:vAlign w:val="bottom"/>
            <w:vMerge w:val="restart"/>
          </w:tcPr>
          <w:p>
            <w:pPr>
              <w:jc w:val="right"/>
              <w:ind w:right="1370"/>
              <w:spacing w:after="0"/>
              <w:rPr>
                <w:sz w:val="20"/>
                <w:szCs w:val="20"/>
                <w:color w:val="auto"/>
              </w:rPr>
            </w:pPr>
            <w:r>
              <w:rPr>
                <w:rFonts w:ascii="Arial" w:cs="Arial" w:eastAsia="Arial" w:hAnsi="Arial"/>
                <w:sz w:val="18"/>
                <w:szCs w:val="18"/>
                <w:color w:val="auto"/>
              </w:rPr>
              <w:t>84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-701675</wp:posOffset>
            </wp:positionV>
            <wp:extent cx="5969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-701675</wp:posOffset>
            </wp:positionV>
            <wp:extent cx="51435"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86" w:name="page87"/>
    <w:bookmarkEnd w:id="86"/>
    <w:p>
      <w:pPr>
        <w:ind w:left="1140" w:hanging="383"/>
        <w:spacing w:after="0"/>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Amount relates primarily to unpaid interest accrued on our 2025 Senior Notes. Refer to “Note 9: </w:t>
      </w:r>
      <w:r>
        <w:rPr>
          <w:rFonts w:ascii="Arial" w:cs="Arial" w:eastAsia="Arial" w:hAnsi="Arial"/>
          <w:sz w:val="14"/>
          <w:szCs w:val="14"/>
          <w:i w:val="1"/>
          <w:iCs w:val="1"/>
          <w:color w:val="auto"/>
        </w:rPr>
        <w:t>Debt</w:t>
      </w:r>
      <w:r>
        <w:rPr>
          <w:rFonts w:ascii="Arial" w:cs="Arial" w:eastAsia="Arial" w:hAnsi="Arial"/>
          <w:sz w:val="14"/>
          <w:szCs w:val="14"/>
          <w:color w:val="auto"/>
        </w:rPr>
        <w:t>” for further information.</w:t>
      </w:r>
    </w:p>
    <w:p>
      <w:pPr>
        <w:ind w:left="1140" w:hanging="383"/>
        <w:spacing w:after="0" w:line="221"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Income Taxes</w:t>
      </w:r>
      <w:r>
        <w:rPr>
          <w:rFonts w:ascii="Arial" w:cs="Arial" w:eastAsia="Arial" w:hAnsi="Arial"/>
          <w:sz w:val="14"/>
          <w:szCs w:val="14"/>
          <w:color w:val="auto"/>
        </w:rPr>
        <w:t>” for further information regarding our income tax liabilities.</w:t>
      </w:r>
    </w:p>
    <w:p>
      <w:pPr>
        <w:ind w:left="1140" w:hanging="383"/>
        <w:spacing w:after="0"/>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Leases</w:t>
      </w:r>
      <w:r>
        <w:rPr>
          <w:rFonts w:ascii="Arial" w:cs="Arial" w:eastAsia="Arial" w:hAnsi="Arial"/>
          <w:sz w:val="14"/>
          <w:szCs w:val="14"/>
          <w:color w:val="auto"/>
        </w:rPr>
        <w:t>” for further information regarding our lease obligations.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Unamortized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700" w:type="dxa"/>
            <w:vAlign w:val="bottom"/>
          </w:tcPr>
          <w:p>
            <w:pPr>
              <w:spacing w:after="0"/>
              <w:rPr>
                <w:sz w:val="20"/>
                <w:szCs w:val="20"/>
                <w:color w:val="auto"/>
              </w:rPr>
            </w:pPr>
            <w:r>
              <w:rPr>
                <w:rFonts w:ascii="Arial" w:cs="Arial" w:eastAsia="Arial" w:hAnsi="Arial"/>
                <w:sz w:val="18"/>
                <w:szCs w:val="18"/>
                <w:b w:val="1"/>
                <w:bCs w:val="1"/>
                <w:color w:val="auto"/>
              </w:rPr>
              <w:t>December 31, 2022</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Principal 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Issuance Costs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Carrying Value</w:t>
            </w:r>
          </w:p>
        </w:tc>
        <w:tc>
          <w:tcPr>
            <w:tcW w:w="80" w:type="dxa"/>
            <w:vAlign w:val="bottom"/>
          </w:tcPr>
          <w:p>
            <w:pPr>
              <w:spacing w:after="0"/>
              <w:rPr>
                <w:sz w:val="20"/>
                <w:szCs w:val="20"/>
                <w:color w:val="auto"/>
              </w:rPr>
            </w:pPr>
          </w:p>
        </w:tc>
      </w:tr>
      <w:tr>
        <w:trPr>
          <w:trHeight w:val="238"/>
        </w:trPr>
        <w:tc>
          <w:tcPr>
            <w:tcW w:w="3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(in millions)</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3700" w:type="dxa"/>
            <w:vAlign w:val="bottom"/>
          </w:tcPr>
          <w:p>
            <w:pPr>
              <w:ind w:left="180"/>
              <w:spacing w:after="0"/>
              <w:rPr>
                <w:sz w:val="20"/>
                <w:szCs w:val="20"/>
                <w:color w:val="auto"/>
              </w:rPr>
            </w:pPr>
            <w:r>
              <w:rPr>
                <w:rFonts w:ascii="Arial" w:cs="Arial" w:eastAsia="Arial" w:hAnsi="Arial"/>
                <w:sz w:val="18"/>
                <w:szCs w:val="18"/>
                <w:color w:val="auto"/>
              </w:rPr>
              <w:t>2025 Senior Notes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20"/>
                <w:szCs w:val="20"/>
                <w:color w:val="auto"/>
              </w:rPr>
            </w:pPr>
          </w:p>
        </w:tc>
      </w:tr>
      <w:tr>
        <w:trPr>
          <w:trHeight w:val="249"/>
        </w:trPr>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2026 Senior Notes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FF0FC"/>
          </w:tcPr>
          <w:p>
            <w:pPr>
              <w:spacing w:after="0"/>
              <w:rPr>
                <w:sz w:val="21"/>
                <w:szCs w:val="2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3700" w:type="dxa"/>
            <w:vAlign w:val="bottom"/>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845</w:t>
            </w:r>
          </w:p>
        </w:tc>
        <w:tc>
          <w:tcPr>
            <w:tcW w:w="26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20"/>
                <w:szCs w:val="20"/>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-187960</wp:posOffset>
            </wp:positionV>
            <wp:extent cx="59690" cy="641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64198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-187960</wp:posOffset>
            </wp:positionV>
            <wp:extent cx="51435" cy="641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64198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796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796290"/>
                    </a:xfrm>
                    <a:prstGeom prst="rect">
                      <a:avLst/>
                    </a:prstGeom>
                    <a:noFill/>
                  </pic:spPr>
                </pic:pic>
              </a:graphicData>
            </a:graphic>
          </wp:anchor>
        </w:drawing>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Unamortized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70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Principal 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Issuance Costs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Carrying Value</w:t>
            </w:r>
          </w:p>
        </w:tc>
        <w:tc>
          <w:tcPr>
            <w:tcW w:w="80" w:type="dxa"/>
            <w:vAlign w:val="bottom"/>
          </w:tcPr>
          <w:p>
            <w:pPr>
              <w:spacing w:after="0"/>
              <w:rPr>
                <w:sz w:val="20"/>
                <w:szCs w:val="20"/>
                <w:color w:val="auto"/>
              </w:rPr>
            </w:pPr>
          </w:p>
        </w:tc>
      </w:tr>
      <w:tr>
        <w:trPr>
          <w:trHeight w:val="238"/>
        </w:trPr>
        <w:tc>
          <w:tcPr>
            <w:tcW w:w="3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(in millions)</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3700" w:type="dxa"/>
            <w:vAlign w:val="bottom"/>
          </w:tcPr>
          <w:p>
            <w:pPr>
              <w:ind w:left="180"/>
              <w:spacing w:after="0"/>
              <w:rPr>
                <w:sz w:val="20"/>
                <w:szCs w:val="20"/>
                <w:color w:val="auto"/>
              </w:rPr>
            </w:pPr>
            <w:r>
              <w:rPr>
                <w:rFonts w:ascii="Arial" w:cs="Arial" w:eastAsia="Arial" w:hAnsi="Arial"/>
                <w:sz w:val="18"/>
                <w:szCs w:val="18"/>
                <w:color w:val="auto"/>
              </w:rPr>
              <w:t>2025 Senior Notes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20"/>
                <w:szCs w:val="20"/>
                <w:color w:val="auto"/>
              </w:rPr>
            </w:pPr>
          </w:p>
        </w:tc>
      </w:tr>
      <w:tr>
        <w:trPr>
          <w:trHeight w:val="249"/>
        </w:trPr>
        <w:tc>
          <w:tcPr>
            <w:tcW w:w="3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2026 Senior Notes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21"/>
                <w:szCs w:val="2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3700" w:type="dxa"/>
            <w:vAlign w:val="bottom"/>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845</w:t>
            </w:r>
          </w:p>
        </w:tc>
        <w:tc>
          <w:tcPr>
            <w:tcW w:w="26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color w:val="auto"/>
                <w:highlight w:val="white"/>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20"/>
                <w:szCs w:val="20"/>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-187960</wp:posOffset>
            </wp:positionV>
            <wp:extent cx="5969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are party to a credit agreement with a group of lenders initially entered into in June 2015 (as amended, the “Credit Agreement”), which, among other things, provides for a $500 million secured revolving credit facility (the “Credit Facility”) with a maturity date of May 12, 2024. The Company may borrow from the Credit Facility in U.S. dollars and Euros. In addition, the Credit Facility includes $15 million of borrowing capacity available for letters of credit and $40 million for Swing Line borrowings on same-day notice. As of December 31, 2022 and 2021, we had issued $4 million and $3 million, respectively, of undrawn standby letters of credit under the Credit Facility. The Credit Facility, among other things, requires us to maintain a maximum leverage ratio and contains certain customary affirmative covenants and events of default, including a change of control.</w:t>
      </w:r>
    </w:p>
    <w:p>
      <w:pPr>
        <w:spacing w:after="0" w:line="176"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amended the Credit Facility during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equivalents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w:t>
      </w:r>
    </w:p>
    <w:p>
      <w:pPr>
        <w:spacing w:after="0" w:line="16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Company remained in the Leverage Covenant Holiday as of December 31, 2022.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2.00% with a London Inter-Bank Offered Rate (“LIBO rate”) floor of 1.00% per annum; or (ii) the Alternate Base Rate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In addition, based on the Company’s existing leverage ratio</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9" w:right="399" w:bottom="1440" w:gutter="0" w:footer="0" w:header="0"/>
        </w:sectPr>
      </w:pPr>
    </w:p>
    <w:bookmarkStart w:id="87" w:name="page88"/>
    <w:bookmarkEnd w:id="87"/>
    <w:p>
      <w:pPr>
        <w:ind w:right="440" w:firstLine="8"/>
        <w:spacing w:after="0" w:line="341" w:lineRule="auto"/>
        <w:tabs>
          <w:tab w:leader="none" w:pos="9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are required to pay a quarterly commitment fee, at an applicable rate ranging from 0.15% to 0.30% as of December 31, 2022, on the daily unused portion of the Credit Facility for each fiscal quarter during the Leverage Covenant Holiday and in connection with the issuance of letters of credit.</w:t>
      </w:r>
    </w:p>
    <w:p>
      <w:pPr>
        <w:spacing w:after="0" w:line="12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December 31, 2022 and 2021, the Company had no outstanding borrowings under the Credit Facility. During the first quarter of 2020, the Company borrowed $700 million under the Credit Facility. These funds were drawn down as a precautionary measure to reinforce the Company’s liquidity position and preserve financial flexibility in light of uncertainty in the global markets resulting from COVID-19. The Company repaid these borrowings in full during July 2020.</w:t>
      </w:r>
    </w:p>
    <w:p>
      <w:pPr>
        <w:spacing w:after="0" w:line="185" w:lineRule="exact"/>
        <w:rPr>
          <w:sz w:val="20"/>
          <w:szCs w:val="20"/>
          <w:color w:val="auto"/>
        </w:rPr>
      </w:pPr>
    </w:p>
    <w:p>
      <w:pPr>
        <w:ind w:firstLine="554"/>
        <w:spacing w:after="0" w:line="270" w:lineRule="auto"/>
        <w:rPr>
          <w:sz w:val="20"/>
          <w:szCs w:val="20"/>
          <w:color w:val="auto"/>
        </w:rPr>
      </w:pPr>
      <w:r>
        <w:rPr>
          <w:rFonts w:ascii="Arial" w:cs="Arial" w:eastAsia="Arial" w:hAnsi="Arial"/>
          <w:sz w:val="17"/>
          <w:szCs w:val="17"/>
          <w:color w:val="auto"/>
        </w:rPr>
        <w:t>For the years ended December 31, 2022, 2021 and 2020, we recorded total interest expense and commitment fees on the Credit Facility of $1 million, $3 million and $10 million, respectively, to interest expense on our consolidated statements of operations. In connection with the amendments to our Credit Facility in 2020, we incurred additional lender fees and debt financing costs totaling $7 million, which were capitalized as deferred financing costs and recorded to other long-term assets on the consolidated balance sheet, while $2 million of previously deferred financing costs related to the Credit Facility were immediately recognized to interest expense on our consolidated statement of operations for the year ended December 31, 2020. As of December 31, 2022 and 2021, the Company had $2 million and $4 million, respectively, remaining in deferred financing costs in connection with the Credit Facility. These costs will be amortized over the remaining term of the Credit Facility, using the effective interest rate method, and recorded to interest expense on our consolidated statement of operations.</w:t>
      </w:r>
    </w:p>
    <w:p>
      <w:pPr>
        <w:spacing w:after="0" w:line="182"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There is no specific repayment date prior to the maturity date for any borrowings under the Credit Agreement. We may voluntarily repay any outstanding borrowing under the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The Credit Agreement also contains certain customary affirmative covenants and events of default, including a change of control. If an event of default occurs, the lenders under the Credit Agreement will be entitled to take various actions, including the acceleration of all amounts due under the Credit Facility. As of December 31, 2022 and 2021, we were in compliance with our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On July 9, 2020, the Company completed the sale of $500 million aggregate principal amount of 7.0% Senior Notes due 2025 (the “2025 Senior Notes”), pursuant to a purchase agreement, dated July 7, 2020, among the Company, the guarantors party thereto and the initial purchasers party thereto in a private offering to qualified institutional buyers. The 2025 Senior Notes were issued pursuant to an indenture, dated July 9, 2020 (the “2025 Indenture”), among the Company, the guarantors and the trustee. The 2025 Indenture provides, among other things, that interest is payable on the 2025 Senior Notes semiannually on January 15 and July 15 of each year, which began on January 15, 2021, and continue until their maturity date of July 15, 2025. The 2025 Senior Notes are senior unsecured obligations of the Company and are guaranteed by certain of the Company’s domestic subsidiaries.</w:t>
      </w:r>
    </w:p>
    <w:p>
      <w:pPr>
        <w:spacing w:after="0" w:line="163" w:lineRule="exact"/>
        <w:rPr>
          <w:sz w:val="20"/>
          <w:szCs w:val="20"/>
          <w:color w:val="auto"/>
        </w:rPr>
      </w:pPr>
    </w:p>
    <w:p>
      <w:pPr>
        <w:ind w:right="80" w:firstLine="554"/>
        <w:spacing w:after="0" w:line="311" w:lineRule="auto"/>
        <w:rPr>
          <w:sz w:val="20"/>
          <w:szCs w:val="20"/>
          <w:color w:val="auto"/>
        </w:rPr>
      </w:pPr>
      <w:r>
        <w:rPr>
          <w:rFonts w:ascii="Arial" w:cs="Arial" w:eastAsia="Arial" w:hAnsi="Arial"/>
          <w:sz w:val="16"/>
          <w:szCs w:val="16"/>
          <w:color w:val="auto"/>
        </w:rPr>
        <w:t>The Company has the option to redeem all or a portion of the 2025 Senior Notes at any time on or after July 15, 2022 at the redemption prices set forth in the 2025 Indenture, plus accrued and unpaid interest, if any. Subject to certain limitations, in the event of a Change of Control Triggering Event (as defined in the 2025 Indenture), the Company will be required to make an offer to purchase the 2025 Senior Notes at a price equal to 101% of the aggregate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ind w:right="160"/>
        <w:spacing w:after="0" w:line="341" w:lineRule="auto"/>
        <w:rPr>
          <w:sz w:val="20"/>
          <w:szCs w:val="20"/>
          <w:color w:val="auto"/>
        </w:rPr>
      </w:pPr>
      <w:r>
        <w:rPr>
          <w:rFonts w:ascii="Arial" w:cs="Arial" w:eastAsia="Arial" w:hAnsi="Arial"/>
          <w:sz w:val="16"/>
          <w:szCs w:val="16"/>
          <w:color w:val="auto"/>
        </w:rPr>
        <w:t>principal amount of the 2025 Senior Notes repurchased, plus accrued and unpaid interest, if any, to the date of repurchase. These features have been evaluated as embedded derivatives under GAAP; however, the Company has concluded they do not meet the requirements to be accounted for separately.</w:t>
      </w:r>
    </w:p>
    <w:p>
      <w:pPr>
        <w:spacing w:after="0" w:line="124" w:lineRule="exact"/>
        <w:rPr>
          <w:sz w:val="20"/>
          <w:szCs w:val="20"/>
          <w:color w:val="auto"/>
        </w:rPr>
      </w:pPr>
    </w:p>
    <w:p>
      <w:pPr>
        <w:jc w:val="both"/>
        <w:ind w:right="80" w:firstLine="509"/>
        <w:spacing w:after="0" w:line="279" w:lineRule="auto"/>
        <w:rPr>
          <w:sz w:val="20"/>
          <w:szCs w:val="20"/>
          <w:color w:val="auto"/>
        </w:rPr>
      </w:pPr>
      <w:r>
        <w:rPr>
          <w:rFonts w:ascii="Arial" w:cs="Arial" w:eastAsia="Arial" w:hAnsi="Arial"/>
          <w:sz w:val="17"/>
          <w:szCs w:val="17"/>
          <w:color w:val="auto"/>
        </w:rPr>
        <w:t>As of both December 31, 2022 and 2021, unpaid interest on our 2025 Senior Notes totaled approximately $16 million and was included in accrued expenses and other current liabilities on our consolidated balance sheets, and $35 million, $35 million and $17 million was recorded as interest expense on our consolidated statements of operations for the years ended December 31, 2022, 2021 and 2020, respectively. In the third quarter of 2020, the Company used all proceeds from the 2025 Senior Notes to repay a portion of our Credit Facility outstanding borrowings.</w:t>
      </w:r>
    </w:p>
    <w:p>
      <w:pPr>
        <w:spacing w:after="0" w:line="17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2025 Indenture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Senior Notes</w:t>
      </w:r>
    </w:p>
    <w:p>
      <w:pPr>
        <w:spacing w:after="0" w:line="225"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On March 25, 2021, we entered into a purchase agreement for the sale of $300 million aggregate principal amount of 0.25% Convertible 2026 Senior Notes due 2026 (the “2026 Senior Notes”) in a private offering to qualified institutional buyers. The 2026 Senior Notes included an over-allotment option that provided the initial purchasers of the 2026 Senior Notes with the option to purchase an additional $45 million aggregate principal amount of the 2026 Senior Notes; such over-allotment option was fully exercised. In connection with the issuance of the 2026 Senior Notes, the Company entered into an Indenture, dated March 25, 2021 (the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which began on October 1, 2021. As of December 31, 2022 and 2021, unpaid interest on our 2026 Senior Notes was not material.</w:t>
      </w:r>
    </w:p>
    <w:p>
      <w:pPr>
        <w:spacing w:after="0" w:line="178"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2026 Senior Notes will be redeemable, in whole or in part, at our option at any time, and from time to time, on or after April 1, 2024 and on or before the 30th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4" w:lineRule="exact"/>
        <w:rPr>
          <w:sz w:val="20"/>
          <w:szCs w:val="20"/>
          <w:color w:val="auto"/>
        </w:rPr>
      </w:pPr>
    </w:p>
    <w:p>
      <w:pPr>
        <w:jc w:val="both"/>
        <w:ind w:right="60" w:firstLine="509"/>
        <w:spacing w:after="0" w:line="301" w:lineRule="auto"/>
        <w:rPr>
          <w:sz w:val="20"/>
          <w:szCs w:val="20"/>
          <w:color w:val="auto"/>
        </w:rPr>
      </w:pPr>
      <w:r>
        <w:rPr>
          <w:rFonts w:ascii="Arial" w:cs="Arial" w:eastAsia="Arial" w:hAnsi="Arial"/>
          <w:sz w:val="16"/>
          <w:szCs w:val="16"/>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the Credit Facility, to the extent of the value of the assets securing such indebtedness.</w:t>
      </w:r>
    </w:p>
    <w:p>
      <w:pPr>
        <w:spacing w:after="0" w:line="15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Holders may convert their 2026 Senior Notes at any time prior to the close of business on the business day immediately preceding January 1, 2026, in multiples of $1,000 principal amount, only under the following conditions and circumstances: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9" w:name="page90"/>
    <w:bookmarkEnd w:id="89"/>
    <w:p>
      <w:pPr>
        <w:ind w:left="1020" w:right="160" w:hanging="504"/>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77" w:lineRule="exact"/>
        <w:rPr>
          <w:rFonts w:ascii="Arial" w:cs="Arial" w:eastAsia="Arial" w:hAnsi="Arial"/>
          <w:sz w:val="18"/>
          <w:szCs w:val="18"/>
          <w:color w:val="auto"/>
        </w:rPr>
      </w:pPr>
    </w:p>
    <w:p>
      <w:pPr>
        <w:jc w:val="both"/>
        <w:ind w:left="1020" w:right="220" w:hanging="504"/>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2026 Indenture.</w:t>
      </w:r>
    </w:p>
    <w:p>
      <w:pPr>
        <w:spacing w:after="0" w:line="225"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8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70"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accounts for the 2026 Senior Notes as a liability measured at its amortized cost, and no other features of the 2026 Senior Notes are bifurcated and recognized as a derivative. The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proceeds from this offering for general corporate purposes, which may include repayment of debt, including the partial redemption and/or purchase of our 2025 Senior Notes prior to maturity. The debt issuance costs will be amortized over the remaining term of the 2026 Senior Notes, using the effective interest rate method, and recorded to interest expense on our consolidated statement of operations. During the years ended December 31, 2022 and 2021, our effective interest rate on our 2026 Senior Notes, including debt issuance costs, was approximately 0.47% and 0.53%, respectively, and $1 million was recorded as interest expense on our consolidated statements of operations for both the years ended December 31, 2022 and 2021.</w:t>
      </w:r>
    </w:p>
    <w:p>
      <w:pPr>
        <w:spacing w:after="0" w:line="178"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212529"/>
        </w:rPr>
        <w:t>The 2026 Senior Notes are unsecured and do not contain any financial covenants, restrictions on dividends, incurrence of senior debt or other indebtedness, or restrictions on the issuance or repurchase of securities by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C2C2C"/>
        </w:rPr>
        <w:t>Capped Call Transactions</w:t>
      </w:r>
    </w:p>
    <w:p>
      <w:pPr>
        <w:spacing w:after="0" w:line="225"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spacing w:after="0" w:line="191"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The Capped Calls cover, subject to anti-dilution adjustments, substantially similar to those applicable to the conversion rate of the 2026 Senior Notes, the number of shares of common stock initially underlying the 2026 Senior Notes, or up to approximately 4.7 million shares of our common stock. The Capped Calls are expected generally to reduce potential dilution to the common stock upon any conversion of 2026 Senior Notes and/or offset any potential cash payments the Company is required to make in excess of the principal amount of such converted 2026 Senior Notes, as the case may be, with such reduction and/or offset subject to a cap. The strike price of the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0" w:name="page91"/>
    <w:bookmarkEnd w:id="90"/>
    <w:p>
      <w:pPr>
        <w:ind w:right="140"/>
        <w:spacing w:after="0" w:line="263" w:lineRule="auto"/>
        <w:rPr>
          <w:sz w:val="20"/>
          <w:szCs w:val="20"/>
          <w:color w:val="auto"/>
        </w:rPr>
      </w:pPr>
      <w:r>
        <w:rPr>
          <w:rFonts w:ascii="Arial" w:cs="Arial" w:eastAsia="Arial" w:hAnsi="Arial"/>
          <w:sz w:val="18"/>
          <w:szCs w:val="18"/>
          <w:color w:val="auto"/>
        </w:rPr>
        <w:t>Capped Calls is $73.81, while the cap price of the Capped Calls will initially be $107.36 per share of our common stock, which represents a premium of 100% over the close price of our common stock of $53.68 per share on March 22, 2021 and is subject to certain customary adjustments under the terms of the Capped Calls.</w:t>
      </w:r>
    </w:p>
    <w:p>
      <w:pPr>
        <w:spacing w:after="0" w:line="183"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Capped Calls are considered indexed to our own stock and are considered equity classified under GAAP, and included as a reduction to additional paid-in-capital within stockholders’ equity on our consolidated balance sheets as of both December 31, 2022 and 2021. The Capped Calls are not accounted for as derivatives and their fair value is not remeasured each reporting period. In addition, upon entering into the Capped Calls we recorded an associated deferred tax asset of $9 million, as we made an income tax election allowable under the IRS regulations in order to recover the cost of the Capped Calls as interest expense for income tax purposes only over the term of the 2026 Senior Notes.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consisted of the following for the periods presented:</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24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80" w:type="dxa"/>
            <w:vAlign w:val="bottom"/>
          </w:tcPr>
          <w:p>
            <w:pPr>
              <w:spacing w:after="0"/>
              <w:rPr>
                <w:sz w:val="16"/>
                <w:szCs w:val="16"/>
                <w:color w:val="auto"/>
              </w:rPr>
            </w:pPr>
          </w:p>
        </w:tc>
      </w:tr>
      <w:tr>
        <w:trPr>
          <w:trHeight w:val="169"/>
        </w:trPr>
        <w:tc>
          <w:tcPr>
            <w:tcW w:w="6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w w:val="79"/>
              </w:rPr>
              <w:t>millions)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(1)</w:t>
            </w:r>
          </w:p>
        </w:tc>
        <w:tc>
          <w:tcPr>
            <w:tcW w:w="560" w:type="dxa"/>
            <w:vAlign w:val="bottom"/>
            <w:shd w:val="clear" w:color="auto" w:fill="CFF0FC"/>
          </w:tcPr>
          <w:p>
            <w:pPr>
              <w:jc w:val="right"/>
              <w:ind w:right="37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860" w:type="dxa"/>
            <w:vAlign w:val="bottom"/>
            <w:gridSpan w:val="2"/>
            <w:shd w:val="clear" w:color="auto" w:fill="CFF0FC"/>
          </w:tcPr>
          <w:p>
            <w:pPr>
              <w:jc w:val="right"/>
              <w:ind w:right="43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21"/>
                <w:szCs w:val="21"/>
                <w:color w:val="auto"/>
              </w:rPr>
            </w:pPr>
          </w:p>
        </w:tc>
      </w:tr>
      <w:tr>
        <w:trPr>
          <w:trHeight w:val="236"/>
        </w:trPr>
        <w:tc>
          <w:tcPr>
            <w:tcW w:w="6040" w:type="dxa"/>
            <w:vAlign w:val="bottom"/>
          </w:tcPr>
          <w:p>
            <w:pPr>
              <w:spacing w:after="0"/>
              <w:rPr>
                <w:sz w:val="20"/>
                <w:szCs w:val="20"/>
                <w:color w:val="auto"/>
              </w:rPr>
            </w:pPr>
            <w:r>
              <w:rPr>
                <w:rFonts w:ascii="Arial" w:cs="Arial" w:eastAsia="Arial" w:hAnsi="Arial"/>
                <w:sz w:val="18"/>
                <w:szCs w:val="18"/>
                <w:color w:val="auto"/>
              </w:rPr>
              <w:t>Deferred gain on equity method investment (2)</w:t>
            </w: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r>
      <w:tr>
        <w:trPr>
          <w:trHeight w:val="24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Long-term income taxes payable (3)</w:t>
            </w:r>
          </w:p>
        </w:tc>
        <w:tc>
          <w:tcPr>
            <w:tcW w:w="5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r>
      <w:tr>
        <w:trPr>
          <w:trHeight w:val="276"/>
        </w:trPr>
        <w:tc>
          <w:tcPr>
            <w:tcW w:w="6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FF0FC"/>
          </w:tcPr>
          <w:p>
            <w:pPr>
              <w:jc w:val="right"/>
              <w:ind w:right="3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-24765</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-7620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2" w:lineRule="exact"/>
        <w:rPr>
          <w:sz w:val="20"/>
          <w:szCs w:val="20"/>
          <w:color w:val="auto"/>
        </w:rPr>
      </w:pPr>
    </w:p>
    <w:p>
      <w:pPr>
        <w:ind w:left="1140" w:hanging="383"/>
        <w:spacing w:after="0"/>
        <w:tabs>
          <w:tab w:leader="none" w:pos="11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Refer to “Note 11: </w:t>
      </w:r>
      <w:r>
        <w:rPr>
          <w:rFonts w:ascii="Arial" w:cs="Arial" w:eastAsia="Arial" w:hAnsi="Arial"/>
          <w:sz w:val="15"/>
          <w:szCs w:val="15"/>
          <w:i w:val="1"/>
          <w:iCs w:val="1"/>
          <w:color w:val="auto"/>
        </w:rPr>
        <w:t>Income Taxes</w:t>
      </w:r>
      <w:r>
        <w:rPr>
          <w:rFonts w:ascii="Arial" w:cs="Arial" w:eastAsia="Arial" w:hAnsi="Arial"/>
          <w:sz w:val="15"/>
          <w:szCs w:val="15"/>
          <w:color w:val="auto"/>
        </w:rPr>
        <w:t>” for information regarding our unrecognized tax benefits. Amounts include accrued interest related to this liability.</w:t>
      </w:r>
    </w:p>
    <w:p>
      <w:pPr>
        <w:spacing w:after="0" w:line="33" w:lineRule="exact"/>
        <w:rPr>
          <w:rFonts w:ascii="Arial" w:cs="Arial" w:eastAsia="Arial" w:hAnsi="Arial"/>
          <w:sz w:val="15"/>
          <w:szCs w:val="15"/>
          <w:color w:val="auto"/>
        </w:rPr>
      </w:pPr>
    </w:p>
    <w:p>
      <w:pPr>
        <w:ind w:left="1140" w:right="140" w:hanging="383"/>
        <w:spacing w:after="0" w:line="263" w:lineRule="auto"/>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Amount relates to long-term portion of a deferred income liability recorded as a result of an equity method investment made in the fourth quarter of 2019. Refer to “Note 4: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for additional information.</w:t>
      </w:r>
    </w:p>
    <w:p>
      <w:pPr>
        <w:spacing w:after="0" w:line="1" w:lineRule="exact"/>
        <w:rPr>
          <w:rFonts w:ascii="Arial" w:cs="Arial" w:eastAsia="Arial" w:hAnsi="Arial"/>
          <w:sz w:val="16"/>
          <w:szCs w:val="16"/>
          <w:color w:val="auto"/>
        </w:rPr>
      </w:pPr>
    </w:p>
    <w:p>
      <w:pPr>
        <w:ind w:left="1140" w:hanging="383"/>
        <w:spacing w:after="0"/>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Amount relates to the long-term portion of transition tax payable related to the 2017 Tax Act. Refer to “Note 11: </w:t>
      </w:r>
      <w:r>
        <w:rPr>
          <w:rFonts w:ascii="Arial" w:cs="Arial" w:eastAsia="Arial" w:hAnsi="Arial"/>
          <w:sz w:val="14"/>
          <w:szCs w:val="14"/>
          <w:i w:val="1"/>
          <w:iCs w:val="1"/>
          <w:color w:val="auto"/>
        </w:rPr>
        <w:t>Income Taxes</w:t>
      </w:r>
      <w:r>
        <w:rPr>
          <w:rFonts w:ascii="Arial" w:cs="Arial" w:eastAsia="Arial" w:hAnsi="Arial"/>
          <w:sz w:val="14"/>
          <w:szCs w:val="14"/>
          <w:color w:val="auto"/>
        </w:rPr>
        <w:t>,” for additional information.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our domestic and foreign income (loss) before income taxes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2860" w:type="dxa"/>
            <w:vAlign w:val="bottom"/>
            <w:gridSpan w:val="2"/>
            <w:shd w:val="clear" w:color="auto" w:fill="CFF0FC"/>
          </w:tcPr>
          <w:p>
            <w:pPr>
              <w:jc w:val="right"/>
              <w:ind w:right="4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(127 )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(262 )</w:t>
            </w: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Foreign</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(58 )</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24"/>
                <w:szCs w:val="24"/>
                <w:color w:val="auto"/>
              </w:rPr>
            </w:pPr>
          </w:p>
        </w:tc>
      </w:tr>
      <w:tr>
        <w:trPr>
          <w:trHeight w:val="661"/>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80" w:type="dxa"/>
            <w:vAlign w:val="bottom"/>
          </w:tcPr>
          <w:p>
            <w:pPr>
              <w:jc w:val="right"/>
              <w:ind w:right="950"/>
              <w:spacing w:after="0"/>
              <w:rPr>
                <w:sz w:val="20"/>
                <w:szCs w:val="20"/>
                <w:color w:val="auto"/>
              </w:rPr>
            </w:pPr>
            <w:r>
              <w:rPr>
                <w:rFonts w:ascii="Arial" w:cs="Arial" w:eastAsia="Arial" w:hAnsi="Arial"/>
                <w:sz w:val="18"/>
                <w:szCs w:val="18"/>
                <w:color w:val="auto"/>
              </w:rPr>
              <w:t>89</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-538480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-521970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-538480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-521970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-538480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-521970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ind w:left="520"/>
        <w:spacing w:after="0"/>
        <w:rPr>
          <w:sz w:val="20"/>
          <w:szCs w:val="20"/>
          <w:color w:val="auto"/>
        </w:rPr>
      </w:pPr>
      <w:r>
        <w:rPr>
          <w:rFonts w:ascii="Arial" w:cs="Arial" w:eastAsia="Arial" w:hAnsi="Arial"/>
          <w:sz w:val="18"/>
          <w:szCs w:val="18"/>
          <w:color w:val="auto"/>
        </w:rPr>
        <w:t>The components of our provision (benefit) for income taxes consisted of the following for the periods presented:</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5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5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income tax expense (benefit):</w:t>
            </w:r>
          </w:p>
        </w:tc>
        <w:tc>
          <w:tcPr>
            <w:tcW w:w="6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600" w:type="dxa"/>
            <w:vAlign w:val="bottom"/>
          </w:tcPr>
          <w:p>
            <w:pPr>
              <w:ind w:left="180"/>
              <w:spacing w:after="0"/>
              <w:rPr>
                <w:sz w:val="20"/>
                <w:szCs w:val="20"/>
                <w:color w:val="auto"/>
              </w:rPr>
            </w:pPr>
            <w:r>
              <w:rPr>
                <w:rFonts w:ascii="Arial" w:cs="Arial" w:eastAsia="Arial" w:hAnsi="Arial"/>
                <w:sz w:val="18"/>
                <w:szCs w:val="18"/>
                <w:color w:val="auto"/>
              </w:rPr>
              <w:t>Federal</w:t>
            </w: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49"/>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(1 )</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6"/>
        </w:trPr>
        <w:tc>
          <w:tcPr>
            <w:tcW w:w="5600" w:type="dxa"/>
            <w:vAlign w:val="bottom"/>
          </w:tcPr>
          <w:p>
            <w:pPr>
              <w:ind w:left="180"/>
              <w:spacing w:after="0"/>
              <w:rPr>
                <w:sz w:val="20"/>
                <w:szCs w:val="20"/>
                <w:color w:val="auto"/>
              </w:rPr>
            </w:pPr>
            <w:r>
              <w:rPr>
                <w:rFonts w:ascii="Arial" w:cs="Arial" w:eastAsia="Arial" w:hAnsi="Arial"/>
                <w:sz w:val="18"/>
                <w:szCs w:val="18"/>
                <w:color w:val="auto"/>
              </w:rPr>
              <w:t>Foreign</w:t>
            </w:r>
          </w:p>
        </w:tc>
        <w:tc>
          <w:tcPr>
            <w:tcW w:w="6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42"/>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 (benefit)</w:t>
            </w:r>
          </w:p>
        </w:tc>
        <w:tc>
          <w:tcPr>
            <w:tcW w:w="680" w:type="dxa"/>
            <w:vAlign w:val="bottom"/>
            <w:tcBorders>
              <w:top w:val="single" w:sz="8" w:color="auto"/>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
        </w:trPr>
        <w:tc>
          <w:tcPr>
            <w:tcW w:w="5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43"/>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6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1"/>
              </w:rPr>
              <w:t>(19 )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(21 )</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1"/>
                <w:szCs w:val="21"/>
                <w:color w:val="auto"/>
              </w:rPr>
            </w:pPr>
          </w:p>
        </w:tc>
      </w:tr>
      <w:tr>
        <w:trPr>
          <w:trHeight w:val="236"/>
        </w:trPr>
        <w:tc>
          <w:tcPr>
            <w:tcW w:w="5600" w:type="dxa"/>
            <w:vAlign w:val="bottom"/>
          </w:tcPr>
          <w:p>
            <w:pPr>
              <w:ind w:left="180"/>
              <w:spacing w:after="0"/>
              <w:rPr>
                <w:sz w:val="20"/>
                <w:szCs w:val="20"/>
                <w:color w:val="auto"/>
              </w:rPr>
            </w:pPr>
            <w:r>
              <w:rPr>
                <w:rFonts w:ascii="Arial" w:cs="Arial" w:eastAsia="Arial" w:hAnsi="Arial"/>
                <w:sz w:val="18"/>
                <w:szCs w:val="18"/>
                <w:color w:val="auto"/>
              </w:rPr>
              <w:t>State</w:t>
            </w:r>
          </w:p>
        </w:tc>
        <w:tc>
          <w:tcPr>
            <w:tcW w:w="6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6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(18 )</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56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560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68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xml:space="preserve">(19 </w:t>
            </w:r>
            <w:r>
              <w:rPr>
                <w:rFonts w:ascii="Arial" w:cs="Arial" w:eastAsia="Arial" w:hAnsi="Arial"/>
                <w:sz w:val="18"/>
                <w:szCs w:val="18"/>
                <w:color w:val="auto"/>
                <w:highlight w:val="white"/>
                <w:w w:val="91"/>
              </w:rPr>
              <w:t>)</w:t>
            </w:r>
          </w:p>
        </w:tc>
        <w:tc>
          <w:tcPr>
            <w:tcW w:w="22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color w:val="auto"/>
                <w:highlight w:val="white"/>
              </w:rPr>
              <w:t>)</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color w:val="auto"/>
                <w:highlight w:val="white"/>
              </w:rPr>
              <w:t>)</w:t>
            </w:r>
          </w:p>
        </w:tc>
      </w:tr>
      <w:tr>
        <w:trPr>
          <w:trHeight w:val="276"/>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680" w:type="dxa"/>
            <w:vAlign w:val="bottom"/>
            <w:tcBorders>
              <w:top w:val="single" w:sz="8" w:color="auto"/>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-24765</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-7620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-24765</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significant components of our deferred tax assets and deferred tax liabilities consisted of the following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83"/>
              </w:rPr>
              <w:t>millions)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operating loss carryforwards</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Provision for accrued expenses</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financing obligation</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Foreign advertising spend</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credit carryforward</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Capitalized research expenses (1)</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carryforward</w:t>
            </w:r>
          </w:p>
        </w:tc>
        <w:tc>
          <w:tcPr>
            <w:tcW w:w="1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r>
      <w:tr>
        <w:trPr>
          <w:trHeight w:val="242"/>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deferred tax assets</w:t>
            </w:r>
          </w:p>
        </w:tc>
        <w:tc>
          <w:tcPr>
            <w:tcW w:w="1100" w:type="dxa"/>
            <w:vAlign w:val="bottom"/>
            <w:shd w:val="clear" w:color="auto" w:fill="CFF0FC"/>
          </w:tcPr>
          <w:p>
            <w:pPr>
              <w:jc w:val="right"/>
              <w:ind w:right="89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100" w:type="dxa"/>
            <w:vAlign w:val="bottom"/>
          </w:tcPr>
          <w:p>
            <w:pPr>
              <w:spacing w:after="0"/>
              <w:rPr>
                <w:sz w:val="20"/>
                <w:szCs w:val="20"/>
                <w:color w:val="auto"/>
              </w:rPr>
            </w:pPr>
          </w:p>
        </w:tc>
        <w:tc>
          <w:tcPr>
            <w:tcW w:w="760" w:type="dxa"/>
            <w:vAlign w:val="bottom"/>
            <w:gridSpan w:val="2"/>
          </w:tcPr>
          <w:p>
            <w:pPr>
              <w:jc w:val="right"/>
              <w:ind w:right="128"/>
              <w:spacing w:after="0"/>
              <w:rPr>
                <w:sz w:val="20"/>
                <w:szCs w:val="20"/>
                <w:color w:val="auto"/>
              </w:rPr>
            </w:pPr>
            <w:r>
              <w:rPr>
                <w:rFonts w:ascii="Arial" w:cs="Arial" w:eastAsia="Arial" w:hAnsi="Arial"/>
                <w:sz w:val="18"/>
                <w:szCs w:val="18"/>
                <w:color w:val="auto"/>
              </w:rPr>
              <w:t>(114 )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(123 )</w:t>
            </w: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top w:val="single" w:sz="8" w:color="auto"/>
              <w:bottom w:val="single" w:sz="8" w:color="auto"/>
            </w:tcBorders>
            <w:shd w:val="clear" w:color="auto" w:fill="CFF0FC"/>
          </w:tcPr>
          <w:p>
            <w:pPr>
              <w:jc w:val="right"/>
              <w:ind w:right="89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7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100" w:type="dxa"/>
            <w:vAlign w:val="bottom"/>
            <w:shd w:val="clear" w:color="auto" w:fill="CFF0FC"/>
          </w:tcPr>
          <w:p>
            <w:pPr>
              <w:jc w:val="right"/>
              <w:ind w:right="893"/>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(48 )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(51 )</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100" w:type="dxa"/>
            <w:vAlign w:val="bottom"/>
          </w:tcPr>
          <w:p>
            <w:pPr>
              <w:spacing w:after="0"/>
              <w:rPr>
                <w:sz w:val="20"/>
                <w:szCs w:val="20"/>
                <w:color w:val="auto"/>
              </w:rPr>
            </w:pPr>
          </w:p>
        </w:tc>
        <w:tc>
          <w:tcPr>
            <w:tcW w:w="760" w:type="dxa"/>
            <w:vAlign w:val="bottom"/>
            <w:gridSpan w:val="2"/>
          </w:tcPr>
          <w:p>
            <w:pPr>
              <w:jc w:val="right"/>
              <w:ind w:right="128"/>
              <w:spacing w:after="0"/>
              <w:rPr>
                <w:sz w:val="20"/>
                <w:szCs w:val="20"/>
                <w:color w:val="auto"/>
              </w:rPr>
            </w:pPr>
            <w:r>
              <w:rPr>
                <w:rFonts w:ascii="Arial" w:cs="Arial" w:eastAsia="Arial" w:hAnsi="Arial"/>
                <w:sz w:val="18"/>
                <w:szCs w:val="18"/>
                <w:color w:val="auto"/>
              </w:rPr>
              <w:t>(6 )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11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(4 )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Building - corporate headquarters</w:t>
            </w:r>
          </w:p>
        </w:tc>
        <w:tc>
          <w:tcPr>
            <w:tcW w:w="1100" w:type="dxa"/>
            <w:vAlign w:val="bottom"/>
          </w:tcPr>
          <w:p>
            <w:pPr>
              <w:spacing w:after="0"/>
              <w:rPr>
                <w:sz w:val="20"/>
                <w:szCs w:val="20"/>
                <w:color w:val="auto"/>
              </w:rPr>
            </w:pPr>
          </w:p>
        </w:tc>
        <w:tc>
          <w:tcPr>
            <w:tcW w:w="760" w:type="dxa"/>
            <w:vAlign w:val="bottom"/>
            <w:gridSpan w:val="2"/>
          </w:tcPr>
          <w:p>
            <w:pPr>
              <w:jc w:val="right"/>
              <w:ind w:right="128"/>
              <w:spacing w:after="0"/>
              <w:rPr>
                <w:sz w:val="20"/>
                <w:szCs w:val="20"/>
                <w:color w:val="auto"/>
              </w:rPr>
            </w:pPr>
            <w:r>
              <w:rPr>
                <w:rFonts w:ascii="Arial" w:cs="Arial" w:eastAsia="Arial" w:hAnsi="Arial"/>
                <w:sz w:val="18"/>
                <w:szCs w:val="18"/>
                <w:color w:val="auto"/>
              </w:rPr>
              <w:t>(16 )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r>
      <w:tr>
        <w:trPr>
          <w:trHeight w:val="20"/>
        </w:trPr>
        <w:tc>
          <w:tcPr>
            <w:tcW w:w="77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8"/>
              <w:spacing w:after="0"/>
              <w:rPr>
                <w:sz w:val="20"/>
                <w:szCs w:val="20"/>
                <w:color w:val="auto"/>
              </w:rPr>
            </w:pPr>
            <w:r>
              <w:rPr>
                <w:rFonts w:ascii="Arial" w:cs="Arial" w:eastAsia="Arial" w:hAnsi="Arial"/>
                <w:sz w:val="18"/>
                <w:szCs w:val="18"/>
                <w:color w:val="auto"/>
              </w:rPr>
              <w:t>(75 )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(94 )</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deferred tax asset (liability)</w:t>
            </w:r>
          </w:p>
        </w:tc>
        <w:tc>
          <w:tcPr>
            <w:tcW w:w="1100" w:type="dxa"/>
            <w:vAlign w:val="bottom"/>
            <w:tcBorders>
              <w:top w:val="single" w:sz="8" w:color="auto"/>
              <w:bottom w:val="single" w:sz="8" w:color="auto"/>
            </w:tcBorders>
            <w:shd w:val="clear" w:color="auto" w:fill="CFF0FC"/>
          </w:tcPr>
          <w:p>
            <w:pPr>
              <w:jc w:val="right"/>
              <w:ind w:right="89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-1301115</wp:posOffset>
            </wp:positionV>
            <wp:extent cx="68580"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1020" w:right="460" w:hanging="504"/>
        <w:spacing w:after="0" w:line="252" w:lineRule="auto"/>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required by the 2017 tax Cuts and Jobs Act, effective January 1, 2022, our research and development expenditures were capitalized and amortized, which resulted in a deferred tax asset.</w:t>
      </w:r>
    </w:p>
    <w:p>
      <w:pPr>
        <w:spacing w:after="0" w:line="152"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At December 31, 2022, we had federal, state, and foreign net operating loss carryforwards (“NOLs”) of approximately $2 million, $97 million, and $306 million, respectively. U.S. federal NOLs of $2 million expire at various times starting from 2029. State NOLs of $13 million may be carried forward indefinitely, while the remaining state NOLs of $84 million expire at various times starting from 2024. Foreign NOLs of $302 million may be carried forward indefinitely, while the remaining foreign NOLs of $4 million expire at various times starting from 2023.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2" w:name="page93"/>
    <w:bookmarkEnd w:id="92"/>
    <w:p>
      <w:pPr>
        <w:ind w:right="180" w:firstLine="509"/>
        <w:spacing w:after="0" w:line="311" w:lineRule="auto"/>
        <w:rPr>
          <w:sz w:val="20"/>
          <w:szCs w:val="20"/>
          <w:color w:val="auto"/>
        </w:rPr>
      </w:pPr>
      <w:r>
        <w:rPr>
          <w:rFonts w:ascii="Arial" w:cs="Arial" w:eastAsia="Arial" w:hAnsi="Arial"/>
          <w:sz w:val="16"/>
          <w:szCs w:val="16"/>
          <w:color w:val="auto"/>
        </w:rPr>
        <w:t>As of December 31, 2022, we had a valuation allowance of approximately $114 million related to certain NOL carryforwards and other foreign deferred tax assets for which it is more likely than not, the tax benefit will not be realized. This amount represented a decrease of $9 million, as compared to the balance as of December 31, 2021. The decrease was primarily related to a change in a deferred tax asset in our U.K. subsidiaries.</w:t>
      </w:r>
    </w:p>
    <w:p>
      <w:pPr>
        <w:spacing w:after="0" w:line="14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Except for such foreign deferred tax assets, discussed above, we expect to realize all of our deferred tax assets. Due to the negative impact from COVID-19 in recent years and the continued risks and uncertainties that remain, in addition to economic uncertainty of a potential U.S. recession and global inflationary pressures, we will continue to monitor our financial performance to determine if the valuation allowance against our deferred tax assets may be necessary in the future.</w:t>
      </w:r>
    </w:p>
    <w:p>
      <w:pPr>
        <w:spacing w:after="0" w:line="18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A reconciliation of the provision (benefit) for income taxes to the amounts computed by applying the statutory federal income tax rate to income (loss) before income taxes is as follows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53"/>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at the federal statutory rate</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Foreign rate differential (1)</w:t>
            </w:r>
          </w:p>
        </w:tc>
        <w:tc>
          <w:tcPr>
            <w:tcW w:w="98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income taxes, net of effect of federal tax benefit</w:t>
            </w:r>
          </w:p>
        </w:tc>
        <w:tc>
          <w:tcPr>
            <w:tcW w:w="9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Unrecognized tax benefits and related interest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Rate differential on US NOL carryback (2)</w:t>
            </w:r>
          </w:p>
        </w:tc>
        <w:tc>
          <w:tcPr>
            <w:tcW w:w="9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(23 )</w:t>
            </w: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Research tax credit</w:t>
            </w:r>
          </w:p>
        </w:tc>
        <w:tc>
          <w:tcPr>
            <w:tcW w:w="98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Local income tax on intercompany transaction</w:t>
            </w:r>
          </w:p>
        </w:tc>
        <w:tc>
          <w:tcPr>
            <w:tcW w:w="9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Executive compensation</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r>
      <w:tr>
        <w:trPr>
          <w:trHeight w:val="20"/>
        </w:trPr>
        <w:tc>
          <w:tcPr>
            <w:tcW w:w="66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(80 )</w:t>
            </w:r>
          </w:p>
        </w:tc>
      </w:tr>
      <w:tr>
        <w:trPr>
          <w:trHeight w:val="20"/>
        </w:trPr>
        <w:tc>
          <w:tcPr>
            <w:tcW w:w="6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2" w:lineRule="exact"/>
        <w:rPr>
          <w:sz w:val="20"/>
          <w:szCs w:val="20"/>
          <w:color w:val="auto"/>
        </w:rPr>
      </w:pPr>
    </w:p>
    <w:p>
      <w:pPr>
        <w:ind w:left="1020" w:hanging="504"/>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2021, we extinguished intercompany debt which resulted in a reduction of our overall foreign rate differential.</w:t>
      </w:r>
    </w:p>
    <w:p>
      <w:pPr>
        <w:ind w:left="1020" w:right="340" w:hanging="504"/>
        <w:spacing w:after="0" w:line="237" w:lineRule="auto"/>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a result of the CARES Act, an income tax benefit of $23 million was recorded during the year ended December 31, 2020 related to the income tax rate differential in tax years applicable to U.S. loss carryforwards that became eligible for carryback.</w:t>
      </w:r>
    </w:p>
    <w:p>
      <w:pPr>
        <w:spacing w:after="0" w:line="18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The CARES Act allowed the Company to carryback our U.S. federal NOLs incurred in 2020, generating an expected U.S. federal tax benefit of $76 million, of which $64 million was refunded during the year ended December 31, 2022. The remaining refund of $12 million is included in income taxes payable on our consolidated balance sheet as of December 31, 2022 and is expected to be received during the year ending December 31, 2023. In addition, $25 million of this refund received was recorded to long-term taxes payable on our consolidated balance sheet as of December 31, 2022, which reflects future transition tax payments to be made by the Company related to the 2017 Tax Act.</w:t>
      </w:r>
    </w:p>
    <w:p>
      <w:pPr>
        <w:spacing w:after="0" w:line="175"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addition, certain governments have passed legislation to assist businesses during the COVID-19 pandemic through loans, wage subsidies, wage tax relief or other financial aid. We participated in several of these programs, including the CARES Act in the U.S., the United Kingdom's job retention scheme, as well as similar programs in other global jurisdictions. In addition, in certain countries, such as within the European Union, Singapore, Australia, and other global jurisdictions, we also participated in programs where government assistance was in the form of wage subsidies and reductions in wage-related employer taxes paid by us. We recognize these government assistance benefits when there is a reasonable assurance of compliance with the conditions associated with the assistance and the amount is received. During the years ended December 31, 2022, 2021 and 2020, we recognized government grants and other assistance benefits of $12 million, $9 million and $12 million, respectively. These amounts are not income tax related and were recorded as a reduction of personnel and overhead costs within operating costs in the consolidated statements of operations. The Company does not expect any additional future benefits of this nature.</w:t>
      </w:r>
    </w:p>
    <w:p>
      <w:pPr>
        <w:spacing w:after="0" w:line="178"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Due to the one-time transition tax on the deemed repatriation of undistributed foreign subsidiary earnings and profits in 2017, the majority of previously unremitted earnings have been subjected to U.S. federal income tax.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ind w:right="200"/>
        <w:spacing w:after="0" w:line="341" w:lineRule="auto"/>
        <w:rPr>
          <w:sz w:val="20"/>
          <w:szCs w:val="20"/>
          <w:color w:val="auto"/>
        </w:rPr>
      </w:pPr>
      <w:r>
        <w:rPr>
          <w:rFonts w:ascii="Arial" w:cs="Arial" w:eastAsia="Arial" w:hAnsi="Arial"/>
          <w:sz w:val="16"/>
          <w:szCs w:val="16"/>
          <w:color w:val="auto"/>
        </w:rPr>
        <w:t>the extent future distributions from these subsidiaries will be taxable, a deferred tax liability has been accrued which was not material as of December 31, 2022. As of December 31, 2022, $445 million of our cumulative undistributed foreign earnings were no longer considered to be indefinitely reinvested.</w:t>
      </w:r>
    </w:p>
    <w:p>
      <w:pPr>
        <w:spacing w:after="0" w:line="124"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For purposes of governing certain of the ongoing relationships between Tripadvisor and Expedia at and after the Spin-Off, and to provide for an orderly transition, Tripadvisor and Expedia entered into various agreements at the time of the Spin-Off, which Tripadvisor has satisfied its obligations. However, Tripadvisor continues to be subject to certain post Spin-Off obligations under the Tax Sharing Agreement. Under the Tax Sharing Agreement between Tripadvisor and Expedia, Tripadvisor is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Tripadvisor described in the covenants in the tax sharing agreement, (ii) any acquisition of Tripadvisor equity securities or assets or those of a member of the Tripadvisor group, or (iii) any failure of the representations with respect to Tripadvisor or any member of our group to be true or any breach by Tripadvisor or any member of the Tripadvisor group of any covenant, in each case, which is contained in the separation documents or in the documents relating to the IRS private letter ruling and/or the opinion of counsel. The full text of the Tax Sharing Agreement is incorporated by reference in this Annual Report on Form 10-K as Exhibit 10.2.</w:t>
      </w:r>
    </w:p>
    <w:p>
      <w:pPr>
        <w:spacing w:after="0" w:line="16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By virtue of consolidated income tax returns previously filed with Expedia, we are currently under an IRS audit for the 2009, 2010 and short-period 2011 tax years. We are separately under examination by the IRS for the 2014 through 2016, and 2018 tax years, and have various ongoing audits for foreign and state income tax returns. These audits include questioning the timing and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2022, no material assessments have resulted, except as noted below regarding our 2009, 2010, and 2011 IRS audit with Expedia, our 2014 through 2016 standalone IRS audit, and our 2012 through 2016 HM Revenue &amp; Customs (“HMRC”) audit.</w:t>
      </w:r>
    </w:p>
    <w:p>
      <w:pPr>
        <w:spacing w:after="0" w:line="16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August 2020, we received Notices of Proposed Adjustment from the IRS for the 2014, 2015, and 2016 tax years. The statute of limitation of assessment for all years subject to the Notices of Proposed Adjustment outlined above remain open. These proposed adjustments are related to certain transfer pricing arrangements with our foreign subsidiaries and would result in an increase to our worldwide income tax expense, for the open tax years, in an estimated range of $85 million to $95 million at the close of the audit if the IRS prevails, which includes $20 million to $30 million related to the 2009 through 2011 pre Spin-Off tax years. The estimated ranges take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the open years outlined above, if the IRS were to seek transfer pricing adjustments of a similar nature for transactions in subsequent years, we would be subject to significant additional tax liabilities. We have previously requested competent authority assistance under the Mutual Agreement Procedure (“MAP”) for open tax years 2009 through 2011 and 2014 through 2016. We evaluated our transfer pricing reserves as of December 31, 2022, based on the facts and circumstances that existed as of the reporting date and consider them to be the Company’s best estimate as of December 31, 2022. In January 2023, we received a final notice regarding a MAP settlement for the 2009 through 2011 tax years, which we accepted in February 2023. In the first quarter of 2023, we will record additional income tax expense as a discrete item, inclusive of interest, in an estimated range of $25 million to $35 million specifically related to this settlement. This MAP settlement supersedes the Notices of Proposed Adjustment for 2009 through 2011 from the IRS, described above. We will review the impact of the acceptance of this settlement position to our transfer pricing income tax reserves for the subsequent tax years during the first quarter of 2023. Based on this new information received subsequent to year end, adjustments may occur, which could be material.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ind w:right="40" w:firstLine="509"/>
        <w:spacing w:after="0" w:line="273" w:lineRule="auto"/>
        <w:rPr>
          <w:sz w:val="20"/>
          <w:szCs w:val="20"/>
          <w:color w:val="auto"/>
        </w:rPr>
      </w:pPr>
      <w:r>
        <w:rPr>
          <w:rFonts w:ascii="Arial" w:cs="Arial" w:eastAsia="Arial" w:hAnsi="Arial"/>
          <w:sz w:val="17"/>
          <w:szCs w:val="17"/>
          <w:color w:val="auto"/>
        </w:rPr>
        <w:t>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76"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 reconciliation of the beginning and ending amount of gross unrecognized tax benefits (excluding interest and penalties) is as follows during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year</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Increases to tax positions related to the current year</w:t>
            </w: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Increases to tax positions related to the prior year</w:t>
            </w: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Decreases due to lapsed statute of limitations</w:t>
            </w:r>
          </w:p>
        </w:tc>
        <w:tc>
          <w:tcPr>
            <w:tcW w:w="9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Decreases due to tax positions related to the prior year</w:t>
            </w:r>
          </w:p>
        </w:tc>
        <w:tc>
          <w:tcPr>
            <w:tcW w:w="9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Settlements during current year</w:t>
            </w:r>
          </w:p>
        </w:tc>
        <w:tc>
          <w:tcPr>
            <w:tcW w:w="94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end of year</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As of December 31, 2022, we had $204 million of unrecognized tax benefits, inclusive of interest, which is classified as long-term and primarily included in other long-term liabilities on our consolidated balance sheet. The amount of unrecognized tax benefits, if recognized, would reduce income tax expense by $74 million, due to correlative adjustments in other tax jurisdictions. We recognize interest and penalties related to unrecognized tax benefits in income tax expense on our consolidated statement of operations. As of December 31, 2022 and 2021, total gross interest accrued was $47 million and $39 million, respectively, and was recorded in unrecognized tax benefits in other long-term liabilities on the consolidated balance sheets. As a result of the impact of the IRS audit described above, we anticipate a material adjustment to these reserves in 2023.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As of December 31, 2022, we have contractual obligations and commercial commitments that include expected interest payments on our 2026 Senior Notes and 2025 Senior Notes, expected commitment fees on our Credit Facility, and non-cancellable long-term purchase obligations, as summarized in the table below. The expected amounts and timing of payments discussed below were estimated based on information available to us as of December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By Period</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88"/>
              </w:rPr>
              <w:t>1 to 3 years</w:t>
            </w:r>
          </w:p>
        </w:tc>
        <w:tc>
          <w:tcPr>
            <w:tcW w:w="220" w:type="dxa"/>
            <w:vAlign w:val="bottom"/>
          </w:tcPr>
          <w:p>
            <w:pPr>
              <w:spacing w:after="0"/>
              <w:rPr>
                <w:sz w:val="11"/>
                <w:szCs w:val="11"/>
                <w:color w:val="auto"/>
              </w:rPr>
            </w:pPr>
          </w:p>
        </w:tc>
        <w:tc>
          <w:tcPr>
            <w:tcW w:w="8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3 to 5 years</w:t>
            </w:r>
          </w:p>
        </w:tc>
        <w:tc>
          <w:tcPr>
            <w:tcW w:w="180" w:type="dxa"/>
            <w:vAlign w:val="bottom"/>
          </w:tcPr>
          <w:p>
            <w:pPr>
              <w:spacing w:after="0"/>
              <w:rPr>
                <w:sz w:val="11"/>
                <w:szCs w:val="11"/>
                <w:color w:val="auto"/>
              </w:rPr>
            </w:pPr>
          </w:p>
        </w:tc>
        <w:tc>
          <w:tcPr>
            <w:tcW w:w="84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1 year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interest payments on 2025 Senior Notes (1)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6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40" w:type="dxa"/>
            <w:vAlign w:val="bottom"/>
          </w:tcPr>
          <w:p>
            <w:pPr>
              <w:ind w:left="20"/>
              <w:spacing w:after="0"/>
              <w:rPr>
                <w:sz w:val="20"/>
                <w:szCs w:val="20"/>
                <w:color w:val="auto"/>
              </w:rPr>
            </w:pPr>
            <w:r>
              <w:rPr>
                <w:rFonts w:ascii="Arial" w:cs="Arial" w:eastAsia="Arial" w:hAnsi="Arial"/>
                <w:sz w:val="18"/>
                <w:szCs w:val="18"/>
                <w:color w:val="auto"/>
              </w:rPr>
              <w:t>Expected interest payments on 2026 Senior Notes (2)</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commitment fee payments on Credit Facility (3)</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40" w:type="dxa"/>
            <w:vAlign w:val="bottom"/>
          </w:tcPr>
          <w:p>
            <w:pPr>
              <w:ind w:left="20"/>
              <w:spacing w:after="0"/>
              <w:rPr>
                <w:sz w:val="20"/>
                <w:szCs w:val="20"/>
                <w:color w:val="auto"/>
              </w:rPr>
            </w:pPr>
            <w:r>
              <w:rPr>
                <w:rFonts w:ascii="Arial" w:cs="Arial" w:eastAsia="Arial" w:hAnsi="Arial"/>
                <w:sz w:val="18"/>
                <w:szCs w:val="18"/>
                <w:color w:val="auto"/>
              </w:rPr>
              <w:t>Purchase obligations and other (4)</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6" w:lineRule="exact"/>
        <w:rPr>
          <w:sz w:val="20"/>
          <w:szCs w:val="20"/>
          <w:color w:val="auto"/>
        </w:rPr>
      </w:pPr>
    </w:p>
    <w:p>
      <w:pPr>
        <w:ind w:left="900" w:right="140" w:hanging="518"/>
        <w:spacing w:after="0" w:line="229"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4"/>
          <w:szCs w:val="14"/>
          <w:color w:val="auto"/>
        </w:rPr>
        <w:t xml:space="preserve">Expected interest payments on our 2025 Senior Notes are based on a fixed interest rate of 7.0%, as of December 31, 2022 and assumes that our existing debt is repaid at maturity. Refer to “Note 9: </w:t>
      </w:r>
      <w:r>
        <w:rPr>
          <w:rFonts w:ascii="Arial" w:cs="Arial" w:eastAsia="Arial" w:hAnsi="Arial"/>
          <w:sz w:val="14"/>
          <w:szCs w:val="14"/>
          <w:i w:val="1"/>
          <w:iCs w:val="1"/>
          <w:color w:val="auto"/>
        </w:rPr>
        <w:t>Debt</w:t>
      </w:r>
      <w:r>
        <w:rPr>
          <w:rFonts w:ascii="Arial" w:cs="Arial" w:eastAsia="Arial" w:hAnsi="Arial"/>
          <w:sz w:val="14"/>
          <w:szCs w:val="14"/>
          <w:color w:val="auto"/>
        </w:rPr>
        <w:t>” for additional information on our 2025 Senior Notes.</w:t>
      </w:r>
    </w:p>
    <w:p>
      <w:pPr>
        <w:spacing w:after="0" w:line="1" w:lineRule="exact"/>
        <w:rPr>
          <w:rFonts w:ascii="Arial" w:cs="Arial" w:eastAsia="Arial" w:hAnsi="Arial"/>
          <w:sz w:val="16"/>
          <w:szCs w:val="16"/>
          <w:color w:val="auto"/>
        </w:rPr>
      </w:pPr>
    </w:p>
    <w:p>
      <w:pPr>
        <w:ind w:left="900" w:right="60" w:hanging="518"/>
        <w:spacing w:after="0" w:line="225"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4"/>
          <w:szCs w:val="14"/>
          <w:color w:val="auto"/>
        </w:rPr>
        <w:t xml:space="preserve">Expected interest payments on our 2026 Senior Notes are based on a fixed interest rate of 0.25%, as of December 31, 2022 and assumes that our existing debt is repaid at maturity. Refer to “Note 9: </w:t>
      </w:r>
      <w:r>
        <w:rPr>
          <w:rFonts w:ascii="Arial" w:cs="Arial" w:eastAsia="Arial" w:hAnsi="Arial"/>
          <w:sz w:val="14"/>
          <w:szCs w:val="14"/>
          <w:i w:val="1"/>
          <w:iCs w:val="1"/>
          <w:color w:val="auto"/>
        </w:rPr>
        <w:t>Debt</w:t>
      </w:r>
      <w:r>
        <w:rPr>
          <w:rFonts w:ascii="Arial" w:cs="Arial" w:eastAsia="Arial" w:hAnsi="Arial"/>
          <w:sz w:val="14"/>
          <w:szCs w:val="14"/>
          <w:color w:val="auto"/>
        </w:rPr>
        <w:t>” for additional information on our 2026 Senior Notes.</w:t>
      </w:r>
    </w:p>
    <w:p>
      <w:pPr>
        <w:ind w:left="900" w:right="80" w:hanging="518"/>
        <w:spacing w:after="0" w:line="225"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4"/>
          <w:szCs w:val="14"/>
          <w:color w:val="auto"/>
        </w:rPr>
        <w:t xml:space="preserve">Expected commitment fee payments are based on the daily unused portion of our Credit Facility, issued letters of credit, and the effective commitment fee rate as of December 31, 2022; however, these variables could change significantly in the future. Refer to “Note 9: </w:t>
      </w:r>
      <w:r>
        <w:rPr>
          <w:rFonts w:ascii="Arial" w:cs="Arial" w:eastAsia="Arial" w:hAnsi="Arial"/>
          <w:sz w:val="14"/>
          <w:szCs w:val="14"/>
          <w:i w:val="1"/>
          <w:iCs w:val="1"/>
          <w:color w:val="auto"/>
        </w:rPr>
        <w:t>Debt</w:t>
      </w:r>
      <w:r>
        <w:rPr>
          <w:rFonts w:ascii="Arial" w:cs="Arial" w:eastAsia="Arial" w:hAnsi="Arial"/>
          <w:sz w:val="14"/>
          <w:szCs w:val="14"/>
          <w:color w:val="auto"/>
        </w:rPr>
        <w:t>” for additional information on our Credit Facility.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ind w:left="900" w:right="20" w:hanging="518"/>
        <w:spacing w:after="0" w:line="227"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4"/>
          <w:szCs w:val="14"/>
          <w:color w:val="auto"/>
        </w:rPr>
        <w:t>Estimated purchase obligations that are fixed and determinable, primarily related to telecommunication and licensing contracts, with various expiration dates through approximately June 2029.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ind w:left="900" w:hanging="518"/>
        <w:spacing w:after="0" w:line="22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4"/>
          <w:szCs w:val="14"/>
          <w:color w:val="auto"/>
        </w:rPr>
        <w:t>Excluded from the table was $4 million of undrawn standby letters of credit, primarily as security deposits for certain property leases as of December 31,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80" w:firstLine="509"/>
        <w:spacing w:after="0" w:line="286" w:lineRule="auto"/>
        <w:rPr>
          <w:sz w:val="20"/>
          <w:szCs w:val="20"/>
          <w:color w:val="auto"/>
        </w:rPr>
      </w:pPr>
      <w:r>
        <w:rPr>
          <w:rFonts w:ascii="Arial" w:cs="Arial" w:eastAsia="Arial" w:hAnsi="Arial"/>
          <w:sz w:val="16"/>
          <w:szCs w:val="16"/>
          <w:color w:val="auto"/>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and Non-Income Taxes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11: </w:t>
      </w:r>
      <w:r>
        <w:rPr>
          <w:rFonts w:ascii="Arial" w:cs="Arial" w:eastAsia="Arial" w:hAnsi="Arial"/>
          <w:sz w:val="17"/>
          <w:szCs w:val="17"/>
          <w:i w:val="1"/>
          <w:iCs w:val="1"/>
          <w:color w:val="auto"/>
        </w:rPr>
        <w:t>Income Taxes</w:t>
      </w:r>
      <w:r>
        <w:rPr>
          <w:rFonts w:ascii="Arial" w:cs="Arial" w:eastAsia="Arial" w:hAnsi="Arial"/>
          <w:sz w:val="17"/>
          <w:szCs w:val="17"/>
          <w:color w:val="auto"/>
        </w:rPr>
        <w:t>” for further information on potential contingencies surrounding income taxes.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Tripadvisor Retirement Savings Plan (the “401(k) Plan”), qualifies under Section 401(k) of the Internal Revenue Code. The 401(k) Plan allows participating employees, which includes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(or “Roth 401(k) contributions”) to an annual maximum of 10%. The 401(k) Plan has an automatic enrollment feature at 6% pre-tax. We match 50% of the first 6% of employee contributions to the plan for a maximum employer contribution of 3% of a participant’s eligible earnings. The catch-up contributions are not eligible for employer matching contributions. The matching contributions portion of an employee’s account, vests after two years of service. Additionally, at the end of the 401(k) Plan year, we make a discretionary matching contribution to eligible participants. This additional discretionary matching employer contribution (or “true up”) is limited to match only contributions up to 3% of eligible compensation.</w:t>
      </w:r>
    </w:p>
    <w:p>
      <w:pPr>
        <w:spacing w:after="0" w:line="182"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We also have various defined contribution plans for our non-U.S. employees. Our contribution to the 401(k) Plan and our non-U.S. defined contribution plans which are recorded in our consolidated statements of operations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for the years ended December 31, 2022, 2021 and 2020 were $11 million, $10 million, and $11 million,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 for Non-Employee Directors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has a Deferred Compensation Plan for Non-Employee Directors (the “Deferred Compensation Plan”). Under the Deferred Compensation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Deferred Compensation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82" w:lineRule="exact"/>
        <w:rPr>
          <w:sz w:val="20"/>
          <w:szCs w:val="20"/>
          <w:color w:val="auto"/>
        </w:rPr>
      </w:pPr>
    </w:p>
    <w:p>
      <w:pPr>
        <w:ind w:right="260" w:firstLine="509"/>
        <w:spacing w:after="0" w:line="341" w:lineRule="auto"/>
        <w:rPr>
          <w:sz w:val="20"/>
          <w:szCs w:val="20"/>
          <w:color w:val="auto"/>
        </w:rPr>
      </w:pPr>
      <w:r>
        <w:rPr>
          <w:rFonts w:ascii="Arial" w:cs="Arial" w:eastAsia="Arial" w:hAnsi="Arial"/>
          <w:sz w:val="16"/>
          <w:szCs w:val="16"/>
          <w:color w:val="auto"/>
        </w:rPr>
        <w:t>Under the Deferred Compensation Plan, 100,000 shares of Tripadvisor common stock are available for issuance to non-employee directors. From the inception of the Deferred Compensation Plan through December 31, 2022, a total of 557 shares have been issued for such purpose.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Severance Plan and Summary Plan Description</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Company also maintains its Executive Severance Plan and Summary Plan Description (the “Severance Plan”) which is applicable to certain employees of the Company and its subsidiaries. The Severance Plan formalizes and standardizes the Company’s severance practices for certain designated employees (each, a “Participant” and, collectively, the “Participants”). Participants covered by the Severance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Severance Plan are determined based on the job classification of the Participants (as reflected in internal job profile designations) and, in certain cases, their years of service with the Company. During the years ended December 31, 2022, 2021 and 2020, respectively, we recognized $1 million, $1 million and $5 million of expense under the Severance Plan on our consolidated statements of operations.</w:t>
      </w:r>
    </w:p>
    <w:p>
      <w:pPr>
        <w:spacing w:after="0" w:line="286" w:lineRule="exact"/>
        <w:rPr>
          <w:sz w:val="20"/>
          <w:szCs w:val="20"/>
          <w:color w:val="auto"/>
        </w:rPr>
      </w:pPr>
    </w:p>
    <w:p>
      <w:pPr>
        <w:ind w:right="5080"/>
        <w:spacing w:after="0" w:line="377" w:lineRule="auto"/>
        <w:rPr>
          <w:sz w:val="20"/>
          <w:szCs w:val="20"/>
          <w:color w:val="auto"/>
        </w:rPr>
      </w:pPr>
      <w:r>
        <w:rPr>
          <w:rFonts w:ascii="Arial" w:cs="Arial" w:eastAsia="Arial" w:hAnsi="Arial"/>
          <w:sz w:val="18"/>
          <w:szCs w:val="18"/>
          <w:b w:val="1"/>
          <w:bCs w:val="1"/>
          <w:color w:val="auto"/>
        </w:rPr>
        <w:t>NOTE 14: STOCK BASED AWARDS AND OTHER EQUITY INSTRUMENTS Stock-based Compensation Expense</w:t>
      </w:r>
    </w:p>
    <w:p>
      <w:pPr>
        <w:spacing w:after="0" w:line="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consolidated statements of operations during the periods presented:</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(in millions)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6"/>
        </w:trPr>
        <w:tc>
          <w:tcPr>
            <w:tcW w:w="5900" w:type="dxa"/>
            <w:vAlign w:val="bottom"/>
          </w:tcPr>
          <w:p>
            <w:pPr>
              <w:spacing w:after="0"/>
              <w:rPr>
                <w:sz w:val="20"/>
                <w:szCs w:val="20"/>
                <w:color w:val="auto"/>
              </w:rPr>
            </w:pPr>
            <w:r>
              <w:rPr>
                <w:rFonts w:ascii="Arial" w:cs="Arial" w:eastAsia="Arial" w:hAnsi="Arial"/>
                <w:sz w:val="18"/>
                <w:szCs w:val="18"/>
                <w:color w:val="auto"/>
              </w:rPr>
              <w:t>Selling and marketing</w:t>
            </w: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r>
      <w:tr>
        <w:trPr>
          <w:trHeight w:val="24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content</w:t>
            </w:r>
          </w:p>
        </w:tc>
        <w:tc>
          <w:tcPr>
            <w:tcW w:w="8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1"/>
                <w:szCs w:val="21"/>
                <w:color w:val="auto"/>
              </w:rPr>
            </w:pPr>
          </w:p>
        </w:tc>
      </w:tr>
      <w:tr>
        <w:trPr>
          <w:trHeight w:val="236"/>
        </w:trPr>
        <w:tc>
          <w:tcPr>
            <w:tcW w:w="5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r>
      <w:tr>
        <w:trPr>
          <w:trHeight w:val="242"/>
        </w:trPr>
        <w:tc>
          <w:tcPr>
            <w:tcW w:w="5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21"/>
                <w:szCs w:val="21"/>
                <w:color w:val="auto"/>
              </w:rPr>
            </w:pPr>
          </w:p>
        </w:tc>
      </w:tr>
      <w:tr>
        <w:trPr>
          <w:trHeight w:val="236"/>
        </w:trPr>
        <w:tc>
          <w:tcPr>
            <w:tcW w:w="5900" w:type="dxa"/>
            <w:vAlign w:val="bottom"/>
          </w:tcPr>
          <w:p>
            <w:pPr>
              <w:spacing w:after="0"/>
              <w:rPr>
                <w:sz w:val="20"/>
                <w:szCs w:val="20"/>
                <w:color w:val="auto"/>
              </w:rPr>
            </w:pPr>
            <w:r>
              <w:rPr>
                <w:rFonts w:ascii="Arial" w:cs="Arial" w:eastAsia="Arial" w:hAnsi="Arial"/>
                <w:sz w:val="18"/>
                <w:szCs w:val="18"/>
                <w:color w:val="auto"/>
              </w:rPr>
              <w:t>Income tax benefit from stock-based compensation expense</w:t>
            </w:r>
          </w:p>
        </w:tc>
        <w:tc>
          <w:tcPr>
            <w:tcW w:w="860" w:type="dxa"/>
            <w:vAlign w:val="bottom"/>
          </w:tcPr>
          <w:p>
            <w:pPr>
              <w:spacing w:after="0"/>
              <w:rPr>
                <w:sz w:val="20"/>
                <w:szCs w:val="20"/>
                <w:color w:val="auto"/>
              </w:rPr>
            </w:pPr>
          </w:p>
        </w:tc>
        <w:tc>
          <w:tcPr>
            <w:tcW w:w="620" w:type="dxa"/>
            <w:vAlign w:val="bottom"/>
            <w:gridSpan w:val="2"/>
          </w:tcPr>
          <w:p>
            <w:pPr>
              <w:jc w:val="right"/>
              <w:ind w:right="99"/>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(23 )</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(23 )</w:t>
            </w:r>
          </w:p>
        </w:tc>
      </w:tr>
      <w:tr>
        <w:trPr>
          <w:trHeight w:val="282"/>
        </w:trPr>
        <w:tc>
          <w:tcPr>
            <w:tcW w:w="5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 net of tax effect</w:t>
            </w:r>
          </w:p>
        </w:tc>
        <w:tc>
          <w:tcPr>
            <w:tcW w:w="860" w:type="dxa"/>
            <w:vAlign w:val="bottom"/>
            <w:tcBorders>
              <w:top w:val="single" w:sz="8" w:color="auto"/>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-24765</wp:posOffset>
            </wp:positionV>
            <wp:extent cx="59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-7620</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capitalized $10 million, $13 million and $15 million of stock-based compensation expense as website development costs during the years ended December 31, 2022, 2021 and 2020, respectively.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Stock and Incentive Plans</w:t>
      </w:r>
    </w:p>
    <w:p>
      <w:pPr>
        <w:spacing w:after="0" w:line="121"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 xml:space="preserve">On December 20, 2011, our 2011 Stock and Annual Incentive Plan (the “2011 Plan”) became effective and we filed a Registration Statement registering a total of 17,500,000 shares of our common stock, of which 17,400,000 shares were issuable in connection with grants of equity-based awards under our 2011 Plan and 100,000 shares were issuable under our Deferred Compensation Plan for Non-Employee Directors (refer to “Note 13: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Plans</w:t>
      </w:r>
      <w:r>
        <w:rPr>
          <w:rFonts w:ascii="Arial" w:cs="Arial" w:eastAsia="Arial" w:hAnsi="Arial"/>
          <w:sz w:val="18"/>
          <w:szCs w:val="18"/>
          <w:color w:val="auto"/>
        </w:rPr>
        <w:t>” for information on our Deferred Compensation Plan for Non-Employee Directors). At our annual meeting of stockholders held on June 28,</w:t>
      </w:r>
      <w:r>
        <w:rPr>
          <w:rFonts w:ascii="Arial" w:cs="Arial" w:eastAsia="Arial" w:hAnsi="Arial"/>
          <w:sz w:val="18"/>
          <w:szCs w:val="18"/>
          <w:i w:val="1"/>
          <w:iCs w:val="1"/>
          <w:color w:val="auto"/>
        </w:rPr>
        <w:t xml:space="preserve"> </w:t>
      </w:r>
      <w:r>
        <w:rPr>
          <w:rFonts w:ascii="Arial" w:cs="Arial" w:eastAsia="Arial" w:hAnsi="Arial"/>
          <w:sz w:val="18"/>
          <w:szCs w:val="18"/>
          <w:color w:val="auto"/>
        </w:rPr>
        <w:t>2013, our stockholders approved an amendment to our 2011 Plan to, among other things, increase the aggregate number of shares of common stock authorized for issuance thereunder by 15,000,000 shares.</w:t>
      </w:r>
    </w:p>
    <w:p>
      <w:pPr>
        <w:spacing w:after="0" w:line="83" w:lineRule="exact"/>
        <w:rPr>
          <w:sz w:val="20"/>
          <w:szCs w:val="20"/>
          <w:color w:val="auto"/>
        </w:rPr>
      </w:pPr>
    </w:p>
    <w:p>
      <w:pPr>
        <w:ind w:right="320" w:firstLine="509"/>
        <w:spacing w:after="0" w:line="301" w:lineRule="auto"/>
        <w:rPr>
          <w:sz w:val="20"/>
          <w:szCs w:val="20"/>
          <w:color w:val="auto"/>
        </w:rPr>
      </w:pPr>
      <w:r>
        <w:rPr>
          <w:rFonts w:ascii="Arial" w:cs="Arial" w:eastAsia="Arial" w:hAnsi="Arial"/>
          <w:sz w:val="16"/>
          <w:szCs w:val="16"/>
          <w:color w:val="auto"/>
        </w:rPr>
        <w:t>On June 21, 2018, our stockholders approved the 2018 Stock and Annual Incentive Plan (the “2018 Plan”) and we filed a Registration Statement registering 6,000,000 shares plus the number of shares available for issuance (and not subject to outstanding awards) under the 2011 Plan. As of the effective date of the 2018 Plan, the Company ceased granting awards under the 2011 Plan. The 2018 Plan provides for the grant of stock options, stock appreciation rights, restricted stock, restricted stock units, and other stock-based awards to our directors, officers, employees and consultants.</w:t>
      </w:r>
    </w:p>
    <w:p>
      <w:pPr>
        <w:spacing w:after="0" w:line="156"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On June 8, 2021, our stockholders approved an amendment to the Company’s 2018 Plan to, among other things, increase the aggregate number of shares reserved and available for issuance under the 2018 Plan by 10,000,000 shares. The purpose of this amendment was to provide sufficient reserves of shares of our common stock to ensure our ability to continue to provide new hires, employees and management with equity incentives.</w:t>
      </w:r>
    </w:p>
    <w:p>
      <w:pPr>
        <w:spacing w:after="0" w:line="148" w:lineRule="exact"/>
        <w:rPr>
          <w:sz w:val="20"/>
          <w:szCs w:val="20"/>
          <w:color w:val="auto"/>
        </w:rPr>
      </w:pPr>
    </w:p>
    <w:p>
      <w:pPr>
        <w:ind w:right="180" w:firstLine="509"/>
        <w:spacing w:after="0" w:line="307" w:lineRule="auto"/>
        <w:rPr>
          <w:sz w:val="20"/>
          <w:szCs w:val="20"/>
          <w:color w:val="auto"/>
        </w:rPr>
      </w:pPr>
      <w:r>
        <w:rPr>
          <w:rFonts w:ascii="Arial" w:cs="Arial" w:eastAsia="Arial" w:hAnsi="Arial"/>
          <w:sz w:val="17"/>
          <w:szCs w:val="17"/>
          <w:color w:val="auto"/>
        </w:rPr>
        <w:t>The foregoing summary of the material terms of the 2018 Plan is qualified in its entirety by reference to the 2018 Stock and Annual Incentive Plan and Amendment No. 1 incorporated herein by reference as Exhibit 10.4 and Exhibit 10.37, respectively, to this Annual Report on Form 10-K.</w:t>
      </w:r>
    </w:p>
    <w:p>
      <w:pPr>
        <w:spacing w:after="0" w:line="14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As of December 31, 2022, the total number of shares reserved for future stock-based awards under the 2018 Plan was approximately 11 million shares. All shares of common stock issued in respect of the exercise of options, RSUs, or other equity awards have been issued from authorized, but unissued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Stock Option Activity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consisting of service-based non-qualified stock options,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5"/>
        </w:trPr>
        <w:tc>
          <w:tcPr>
            <w:tcW w:w="632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5"/>
                <w:szCs w:val="15"/>
                <w:color w:val="auto"/>
              </w:rPr>
            </w:pPr>
          </w:p>
        </w:tc>
        <w:tc>
          <w:tcPr>
            <w:tcW w:w="84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Price Per</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85"/>
        </w:trPr>
        <w:tc>
          <w:tcPr>
            <w:tcW w:w="632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84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r>
      <w:tr>
        <w:trPr>
          <w:trHeight w:val="24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 as of December 31, 2021</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32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240" w:type="dxa"/>
            <w:vAlign w:val="bottom"/>
          </w:tcPr>
          <w:p>
            <w:pPr>
              <w:jc w:val="right"/>
              <w:spacing w:after="0"/>
              <w:rPr>
                <w:sz w:val="20"/>
                <w:szCs w:val="20"/>
                <w:color w:val="auto"/>
              </w:rPr>
            </w:pPr>
            <w:r>
              <w:rPr>
                <w:rFonts w:ascii="Arial" w:cs="Arial" w:eastAsia="Arial" w:hAnsi="Arial"/>
                <w:sz w:val="18"/>
                <w:szCs w:val="18"/>
                <w:color w:val="auto"/>
              </w:rPr>
              <w:t>841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 (2)</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(13 )</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320" w:type="dxa"/>
            <w:vAlign w:val="bottom"/>
          </w:tcPr>
          <w:p>
            <w:pPr>
              <w:ind w:left="20"/>
              <w:spacing w:after="0"/>
              <w:rPr>
                <w:sz w:val="20"/>
                <w:szCs w:val="20"/>
                <w:color w:val="auto"/>
              </w:rPr>
            </w:pPr>
            <w:r>
              <w:rPr>
                <w:rFonts w:ascii="Arial" w:cs="Arial" w:eastAsia="Arial" w:hAnsi="Arial"/>
                <w:sz w:val="18"/>
                <w:szCs w:val="18"/>
                <w:color w:val="auto"/>
              </w:rPr>
              <w:t>Cancelled or expired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(1,037 )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2"/>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outstanding as of December 31,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5,462</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Exercisable as of December 31,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after December 31, 2022 (3)</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5,316</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43.93</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4799965</wp:posOffset>
            </wp:positionH>
            <wp:positionV relativeFrom="paragraph">
              <wp:posOffset>-384810</wp:posOffset>
            </wp:positionV>
            <wp:extent cx="76835" cy="2057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1" w:lineRule="exact"/>
        <w:rPr>
          <w:sz w:val="20"/>
          <w:szCs w:val="20"/>
          <w:color w:val="auto"/>
        </w:rPr>
      </w:pPr>
    </w:p>
    <w:p>
      <w:pPr>
        <w:ind w:left="520" w:right="100" w:hanging="512"/>
        <w:spacing w:after="0" w:line="233"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Inclusive of approximately 516,000 stock options awarded to Matt Goldberg, our CEO, during July 2022. The estimated grant-date fair value per option, using a Black-Scholes option pricing model was $9.23. These stock options shall vest over four years, with 25% vesting on July 1, 2023 and 6.25% of the remaining award vesting in equal quarterly installments commencing thereafter, subject to the CEO’s continuous employment with the Company. The estimated grant-date fair value of this award will be amortized on a straight-line basis over the requisite service period through July 1, 2026.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ind w:left="520" w:hanging="512"/>
        <w:spacing w:after="0" w:line="225"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Inclusive of approximately 10,000 stock options for the year ended December 31, 2022,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1" w:lineRule="exact"/>
        <w:rPr>
          <w:rFonts w:ascii="Arial" w:cs="Arial" w:eastAsia="Arial" w:hAnsi="Arial"/>
          <w:sz w:val="14"/>
          <w:szCs w:val="14"/>
          <w:color w:val="auto"/>
        </w:rPr>
      </w:pPr>
    </w:p>
    <w:p>
      <w:pPr>
        <w:ind w:left="520" w:right="320" w:hanging="512"/>
        <w:spacing w:after="0" w:line="237"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Aggregate intrinsic value represents the difference between the closing stock price of our common stock and the exercise price of outstanding, in-the-money options. Our closing stock price as reported on Nasdaq as of December 31, 2022 was $17.98. The total intrinsic value of stock options exercised for the year ended December 31, 2021 was $9 million, and for the years ended December 31, 2022 and 2020, was not material.</w:t>
      </w:r>
    </w:p>
    <w:p>
      <w:pPr>
        <w:spacing w:after="0" w:line="148"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w w:val="98"/>
              </w:rPr>
              <w:t>December 31,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43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42"/>
        </w:trPr>
        <w:tc>
          <w:tcPr>
            <w:tcW w:w="43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00" w:type="dxa"/>
            <w:vAlign w:val="bottom"/>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51.63 %</w:t>
            </w:r>
          </w:p>
        </w:tc>
        <w:tc>
          <w:tcPr>
            <w:tcW w:w="2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49.61 %</w:t>
            </w: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43.39 %</w:t>
            </w:r>
          </w:p>
        </w:tc>
      </w:tr>
      <w:tr>
        <w:trPr>
          <w:trHeight w:val="249"/>
        </w:trPr>
        <w:tc>
          <w:tcPr>
            <w:tcW w:w="4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21"/>
                <w:szCs w:val="21"/>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r>
      <w:tr>
        <w:trPr>
          <w:trHeight w:val="24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grant date fair value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-770255</wp:posOffset>
            </wp:positionV>
            <wp:extent cx="4991735"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991735" cy="15430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-461645</wp:posOffset>
            </wp:positionV>
            <wp:extent cx="4991735"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81"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The total fair value of stock options vested for the years ended December 31, 2022, 2021 and 2020 were $16 million, $31 million, and $14 million, respectively. Cash received from stock option exercises for the year ended December 31, 2021 was $8 million, and for the years ended December 31, 2022 and 2020, was not material.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RSU Activity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restricted stock units (“RSUs”) activity, consisting primarily of service-based vesting terms,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9"/>
              <w:spacing w:after="0"/>
              <w:rPr>
                <w:sz w:val="20"/>
                <w:szCs w:val="20"/>
                <w:color w:val="auto"/>
              </w:rPr>
            </w:pPr>
            <w:r>
              <w:rPr>
                <w:rFonts w:ascii="Arial" w:cs="Arial" w:eastAsia="Arial" w:hAnsi="Arial"/>
                <w:sz w:val="14"/>
                <w:szCs w:val="14"/>
                <w:b w:val="1"/>
                <w:bCs w:val="1"/>
                <w:color w:val="auto"/>
                <w:w w:val="99"/>
              </w:rPr>
              <w:t>Grant-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5"/>
        </w:trPr>
        <w:tc>
          <w:tcPr>
            <w:tcW w:w="6860" w:type="dxa"/>
            <w:vAlign w:val="bottom"/>
          </w:tcPr>
          <w:p>
            <w:pPr>
              <w:spacing w:after="0"/>
              <w:rPr>
                <w:sz w:val="15"/>
                <w:szCs w:val="15"/>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RSUs</w:t>
            </w:r>
          </w:p>
        </w:tc>
        <w:tc>
          <w:tcPr>
            <w:tcW w:w="120" w:type="dxa"/>
            <w:vAlign w:val="bottom"/>
          </w:tcPr>
          <w:p>
            <w:pPr>
              <w:spacing w:after="0"/>
              <w:rPr>
                <w:sz w:val="15"/>
                <w:szCs w:val="15"/>
                <w:color w:val="auto"/>
              </w:rPr>
            </w:pPr>
          </w:p>
        </w:tc>
        <w:tc>
          <w:tcPr>
            <w:tcW w:w="1160" w:type="dxa"/>
            <w:vAlign w:val="bottom"/>
          </w:tcPr>
          <w:p>
            <w:pPr>
              <w:jc w:val="center"/>
              <w:ind w:right="39"/>
              <w:spacing w:after="0"/>
              <w:rPr>
                <w:sz w:val="20"/>
                <w:szCs w:val="20"/>
                <w:color w:val="auto"/>
              </w:rPr>
            </w:pPr>
            <w:r>
              <w:rPr>
                <w:rFonts w:ascii="Arial" w:cs="Arial" w:eastAsia="Arial" w:hAnsi="Arial"/>
                <w:sz w:val="14"/>
                <w:szCs w:val="14"/>
                <w:b w:val="1"/>
                <w:bCs w:val="1"/>
                <w:color w:val="auto"/>
              </w:rPr>
              <w:t>Date Fair</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85"/>
        </w:trPr>
        <w:tc>
          <w:tcPr>
            <w:tcW w:w="686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1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Value Per Share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r>
      <w:tr>
        <w:trPr>
          <w:trHeight w:val="24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RSUs outstanding as of December 31, 2021</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86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360" w:type="dxa"/>
            <w:vAlign w:val="bottom"/>
          </w:tcPr>
          <w:p>
            <w:pPr>
              <w:jc w:val="right"/>
              <w:spacing w:after="0"/>
              <w:rPr>
                <w:sz w:val="20"/>
                <w:szCs w:val="20"/>
                <w:color w:val="auto"/>
              </w:rPr>
            </w:pPr>
            <w:r>
              <w:rPr>
                <w:rFonts w:ascii="Arial" w:cs="Arial" w:eastAsia="Arial" w:hAnsi="Arial"/>
                <w:sz w:val="18"/>
                <w:szCs w:val="18"/>
                <w:color w:val="auto"/>
              </w:rPr>
              <w:t>7,059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released (2)</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(3,086 )</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86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(1,187 )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2"/>
        </w:trPr>
        <w:tc>
          <w:tcPr>
            <w:tcW w:w="6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RSUs outstanding as of December 31, 2022 (3)</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8,572</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28.41</w:t>
            </w:r>
          </w:p>
        </w:tc>
        <w:tc>
          <w:tcPr>
            <w:tcW w:w="3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-24765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-7620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9" w:lineRule="exact"/>
        <w:rPr>
          <w:sz w:val="20"/>
          <w:szCs w:val="20"/>
          <w:color w:val="auto"/>
        </w:rPr>
      </w:pPr>
    </w:p>
    <w:p>
      <w:pPr>
        <w:ind w:left="520" w:right="200" w:hanging="512"/>
        <w:spacing w:after="0" w:line="225"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Inclusive of approximately 258,000 RSUs awarded to our CEO during July 2022. The estimated grant-date fair value per RSU, based on the quoted price of our common stock on the date of grant, was $18.47. This service-based RSU award shall vest over four years, with 25% vesting on July 1, 2023 and 6.25% of the remaining award vesting in equal quarterly installments commencing thereafter, subject to the CEO’s continuous employment with the Company. The estimated grant-date fair value of this award will be amortized on a straight-line basis over the requisite service period through July 1, 2026.</w:t>
      </w:r>
    </w:p>
    <w:p>
      <w:pPr>
        <w:spacing w:after="0" w:line="1" w:lineRule="exact"/>
        <w:rPr>
          <w:rFonts w:ascii="Arial" w:cs="Arial" w:eastAsia="Arial" w:hAnsi="Arial"/>
          <w:sz w:val="14"/>
          <w:szCs w:val="14"/>
          <w:color w:val="auto"/>
        </w:rPr>
      </w:pPr>
    </w:p>
    <w:p>
      <w:pPr>
        <w:ind w:left="520" w:right="480" w:hanging="512"/>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Inclusive of approximately 820,000 RSUs for the year ended December 31, 2022,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ind w:left="520" w:right="320" w:hanging="512"/>
        <w:spacing w:after="0" w:line="237"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On May 27, 2020 and July 15, 2020, the Compensation Committee of the Board of Directors, approved modifications to the Company’s annual RSU and stock option grants, respectively, issued to its employees in the first quart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9" w:name="page100"/>
    <w:bookmarkEnd w:id="99"/>
    <w:p>
      <w:pPr>
        <w:ind w:right="120"/>
        <w:spacing w:after="0" w:line="311" w:lineRule="auto"/>
        <w:rPr>
          <w:sz w:val="20"/>
          <w:szCs w:val="20"/>
          <w:color w:val="auto"/>
        </w:rPr>
      </w:pPr>
      <w:r>
        <w:rPr>
          <w:rFonts w:ascii="Arial" w:cs="Arial" w:eastAsia="Arial" w:hAnsi="Arial"/>
          <w:sz w:val="16"/>
          <w:szCs w:val="16"/>
          <w:color w:val="auto"/>
        </w:rPr>
        <w:t>er of 2020. Such modifications reduced the original grant-date vesting period from four years to two years. We estimate these modifications resulted in the acceleration and recognition of an additional $17 million of stock-based compensation expense during the year ended December 31, 2020, given the modified vesting term. There was no change to the original fair value of the impacted RSUs or stock options as a result of this modification.</w:t>
      </w:r>
    </w:p>
    <w:p>
      <w:pPr>
        <w:spacing w:after="0" w:line="148"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On December 31, 2021, the Section 16 Committee of our Board of Directors approved and granted to Stephen Kaufer, the Company’s CEO at the time, the following: (i) stock option to purchase 115,200 shares of common stock, 25% of which vested and became exercisable on August 1, 2022, while the balance vests in quarterly installments over the following three years; with an estimated grant-date fair value per option of $12.59, using a Black-Scholes option pricing model; (ii) stock option to purchase 110,026 shares of common stock, which will vest and become exercisable in full on August 1, 2024; with an estimated grant-date fair value per option of $13.18, using a Black-Scholes option pricing model; and (iii) 106,382 RSUs, 25% of which vested and settled on August 1, 2022, while the balance vests in quarterly installments over the following three years, with an estimated grant-date fair value of $27.26 per RSU, based on the quoted price of our common stock on the date of grant. The estimated fair value of these awards totaled $6 million and was fully recognized as stock-based compensation expense to the consolidated statement of operations for the year ended December 31, 2021, given the Company concluded there was no substantive future requisite service condition for these awards that existed at grant date for GAAP purposes. During the year ended December 31, 2022, the Company reversed $3 million of this previously recorded stock-based compensation expense related to these awards as the Company concluded that certain awards scheduled to vest were no longer achievable as a result of new terms executed in Mr. Kaufer's Consulting Service Agreement entered into on May 3, 2022. The full text of this Consulting Service Agreement is incorporated by reference in this Annual Report on Form 10-K as Exhibit 10.45.</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market-based RSUs (“MSUs”) activity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20"/>
              <w:spacing w:after="0"/>
              <w:rPr>
                <w:sz w:val="20"/>
                <w:szCs w:val="20"/>
                <w:color w:val="auto"/>
              </w:rPr>
            </w:pPr>
            <w:r>
              <w:rPr>
                <w:rFonts w:ascii="Arial" w:cs="Arial" w:eastAsia="Arial" w:hAnsi="Arial"/>
                <w:sz w:val="14"/>
                <w:szCs w:val="14"/>
                <w:b w:val="1"/>
                <w:bCs w:val="1"/>
                <w:color w:val="auto"/>
                <w:w w:val="99"/>
              </w:rPr>
              <w:t>Grant-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5"/>
        </w:trPr>
        <w:tc>
          <w:tcPr>
            <w:tcW w:w="6860" w:type="dxa"/>
            <w:vAlign w:val="bottom"/>
          </w:tcPr>
          <w:p>
            <w:pPr>
              <w:spacing w:after="0"/>
              <w:rPr>
                <w:sz w:val="15"/>
                <w:szCs w:val="15"/>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MSUs</w:t>
            </w:r>
          </w:p>
        </w:tc>
        <w:tc>
          <w:tcPr>
            <w:tcW w:w="120" w:type="dxa"/>
            <w:vAlign w:val="bottom"/>
          </w:tcPr>
          <w:p>
            <w:pPr>
              <w:spacing w:after="0"/>
              <w:rPr>
                <w:sz w:val="15"/>
                <w:szCs w:val="15"/>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rPr>
              <w:t>Date Fair</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85"/>
        </w:trPr>
        <w:tc>
          <w:tcPr>
            <w:tcW w:w="686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Value Per Share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r>
      <w:tr>
        <w:trPr>
          <w:trHeight w:val="24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MSUs outstanding as of December 31, 2021</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86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36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Cancelled (2)</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(120 )</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68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MSUs outstanding as of December 31, 2022</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-187960</wp:posOffset>
            </wp:positionV>
            <wp:extent cx="76835"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83" w:lineRule="exact"/>
        <w:rPr>
          <w:sz w:val="20"/>
          <w:szCs w:val="20"/>
          <w:color w:val="auto"/>
        </w:rPr>
      </w:pPr>
    </w:p>
    <w:p>
      <w:pPr>
        <w:ind w:left="520" w:right="40" w:hanging="512"/>
        <w:spacing w:after="0" w:line="241" w:lineRule="auto"/>
        <w:tabs>
          <w:tab w:leader="none" w:pos="5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Inclusive of approximately 378,000 MSUs awarded to our CEO during July 2022. A Monte-Carlo simulation model, which simulated the present value of the potential outcomes of future stock prices was used to calculate the grant-date fair value of our MSU awards. These MSUs shall vest on July 1, 2025, with 25% vesting if our stock price is equal to or greater than $35.00 but less than $45.00, 50% if our stock price is equal to or greater than $45.00 but less than $55.00 and 100% if our stock price is equal to or greater than $55.00, subject to the CEO’s continuous employment with, or performance of services for, the Company. The estimated grant-date fair value of this award will be amortized on a straight-line basis over the requisite service period through July 1, 2026. All other MSU grants during the year, to various employees, contained similar vesting and performance conditions.</w:t>
      </w:r>
    </w:p>
    <w:p>
      <w:pPr>
        <w:spacing w:after="0" w:line="3" w:lineRule="exact"/>
        <w:rPr>
          <w:rFonts w:ascii="Arial" w:cs="Arial" w:eastAsia="Arial" w:hAnsi="Arial"/>
          <w:sz w:val="13"/>
          <w:szCs w:val="13"/>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MSU cancellations primarily reflect performance targets not being attained by the end of the performance period.</w:t>
      </w:r>
    </w:p>
    <w:p>
      <w:pPr>
        <w:spacing w:after="0" w:line="19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 summary of our remaining unrecognized compensation expense and the weighted average remaining amortization period at December 31, 2022 related to our non-vested equity awards is presented below (in millions, except in years information):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80" w:type="dxa"/>
            <w:vAlign w:val="bottom"/>
          </w:tcPr>
          <w:p>
            <w:pPr>
              <w:jc w:val="center"/>
              <w:ind w:left="202"/>
              <w:spacing w:after="0"/>
              <w:rPr>
                <w:sz w:val="20"/>
                <w:szCs w:val="20"/>
                <w:color w:val="auto"/>
              </w:rPr>
            </w:pPr>
            <w:r>
              <w:rPr>
                <w:rFonts w:ascii="Arial" w:cs="Arial" w:eastAsia="Arial" w:hAnsi="Arial"/>
                <w:sz w:val="14"/>
                <w:szCs w:val="14"/>
                <w:b w:val="1"/>
                <w:bCs w:val="1"/>
                <w:color w:val="auto"/>
                <w:w w:val="94"/>
              </w:rPr>
              <w:t>Stock</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5"/>
        </w:trPr>
        <w:tc>
          <w:tcPr>
            <w:tcW w:w="17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80" w:type="dxa"/>
            <w:vAlign w:val="bottom"/>
            <w:tcBorders>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w w:val="90"/>
              </w:rPr>
              <w:t>Options</w:t>
            </w: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RSUs/MSUs</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0"/>
        </w:trPr>
        <w:tc>
          <w:tcPr>
            <w:tcW w:w="170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Unrecognized compensation expense</w:t>
            </w:r>
          </w:p>
        </w:tc>
        <w:tc>
          <w:tcPr>
            <w:tcW w:w="1720" w:type="dxa"/>
            <w:vAlign w:val="bottom"/>
          </w:tcPr>
          <w:p>
            <w:pPr>
              <w:spacing w:after="0"/>
              <w:rPr>
                <w:sz w:val="19"/>
                <w:szCs w:val="19"/>
                <w:color w:val="auto"/>
              </w:rPr>
            </w:pPr>
          </w:p>
        </w:tc>
        <w:tc>
          <w:tcPr>
            <w:tcW w:w="880" w:type="dxa"/>
            <w:vAlign w:val="bottom"/>
          </w:tcPr>
          <w:p>
            <w:pPr>
              <w:jc w:val="right"/>
              <w:ind w:right="702"/>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9"/>
        </w:trPr>
        <w:tc>
          <w:tcPr>
            <w:tcW w:w="170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 average period remaining (in years)</w:t>
            </w:r>
          </w:p>
        </w:tc>
        <w:tc>
          <w:tcPr>
            <w:tcW w:w="17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74"/>
        </w:trPr>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20" w:type="dxa"/>
            <w:vAlign w:val="bottom"/>
          </w:tcPr>
          <w:p>
            <w:pPr>
              <w:jc w:val="right"/>
              <w:ind w:right="1170"/>
              <w:spacing w:after="0"/>
              <w:rPr>
                <w:sz w:val="20"/>
                <w:szCs w:val="20"/>
                <w:color w:val="auto"/>
              </w:rPr>
            </w:pPr>
            <w:r>
              <w:rPr>
                <w:rFonts w:ascii="Arial" w:cs="Arial" w:eastAsia="Arial" w:hAnsi="Arial"/>
                <w:sz w:val="18"/>
                <w:szCs w:val="18"/>
                <w:color w:val="auto"/>
              </w:rPr>
              <w:t>98</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15: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40" w:firstLine="509"/>
        <w:spacing w:after="0" w:line="307" w:lineRule="auto"/>
        <w:rPr>
          <w:sz w:val="20"/>
          <w:szCs w:val="20"/>
          <w:color w:val="auto"/>
        </w:rPr>
      </w:pPr>
      <w:r>
        <w:rPr>
          <w:rFonts w:ascii="Arial" w:cs="Arial" w:eastAsia="Arial" w:hAnsi="Arial"/>
          <w:sz w:val="17"/>
          <w:szCs w:val="17"/>
          <w:color w:val="auto"/>
        </w:rPr>
        <w:t>In addition to common stock, we are authorized to issue up to 100 million preferred shares, with $ 0.001 par value per share, with terms determined by our Board of Directors, without further action by our stockholders. As of December 31, 2022, no preferred shares had been issued.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117"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Holders of Tripadvisor common stock, acting as a single class, are entitled to elect a number of directors equal to 25% of the total number of directors, rounded up to the next whole number, which was three directors as of December 31, 2022.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146,891,538 and 128,046,924 shares of common stock issued and outstanding, respectively, and 12,799,999 shares of Class B common stock issued and outstanding at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Accumulated other comprehensive income (loss) is comprised of accumulated foreign currency translation adjustments, as follows for the periods presented:</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December 31, 2022</w:t>
            </w:r>
          </w:p>
        </w:tc>
        <w:tc>
          <w:tcPr>
            <w:tcW w:w="240" w:type="dxa"/>
            <w:vAlign w:val="bottom"/>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December 31, 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ind w:left="480"/>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347"/>
              <w:spacing w:after="0"/>
              <w:rPr>
                <w:sz w:val="20"/>
                <w:szCs w:val="20"/>
                <w:color w:val="auto"/>
              </w:rPr>
            </w:pPr>
            <w:r>
              <w:rPr>
                <w:rFonts w:ascii="Arial" w:cs="Arial" w:eastAsia="Arial" w:hAnsi="Arial"/>
                <w:sz w:val="14"/>
                <w:szCs w:val="14"/>
                <w:b w:val="1"/>
                <w:bCs w:val="1"/>
                <w:color w:val="auto"/>
                <w:w w:val="76"/>
              </w:rPr>
              <w:t>millions)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Cumulative foreign currency translation</w:t>
            </w:r>
          </w:p>
        </w:tc>
        <w:tc>
          <w:tcPr>
            <w:tcW w:w="580" w:type="dxa"/>
            <w:vAlign w:val="bottom"/>
            <w:vMerge w:val="restart"/>
            <w:shd w:val="clear" w:color="auto" w:fill="CFF0FC"/>
          </w:tcPr>
          <w:p>
            <w:pPr>
              <w:jc w:val="right"/>
              <w:ind w:right="396"/>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FF0FC"/>
          </w:tcPr>
          <w:p>
            <w:pPr>
              <w:ind w:left="500"/>
              <w:spacing w:after="0"/>
              <w:rPr>
                <w:sz w:val="20"/>
                <w:szCs w:val="20"/>
                <w:color w:val="auto"/>
              </w:rPr>
            </w:pPr>
            <w:r>
              <w:rPr>
                <w:rFonts w:ascii="Arial" w:cs="Arial" w:eastAsia="Arial" w:hAnsi="Arial"/>
                <w:sz w:val="18"/>
                <w:szCs w:val="18"/>
                <w:color w:val="auto"/>
              </w:rPr>
              <w:t>(82 )</w:t>
            </w:r>
          </w:p>
        </w:tc>
        <w:tc>
          <w:tcPr>
            <w:tcW w:w="640" w:type="dxa"/>
            <w:vAlign w:val="bottom"/>
            <w:vMerge w:val="restart"/>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net of tax (1)</w:t>
            </w:r>
          </w:p>
        </w:tc>
        <w:tc>
          <w:tcPr>
            <w:tcW w:w="580" w:type="dxa"/>
            <w:vAlign w:val="bottom"/>
            <w:vMerge w:val="continue"/>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7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color w:val="auto"/>
                <w:highlight w:val="white"/>
              </w:rPr>
              <w:t>)</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140" w:hanging="383"/>
        <w:spacing w:after="0"/>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Deferred income tax liabilities related to these amounts are not material.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right="300" w:firstLine="509"/>
        <w:spacing w:after="0" w:line="341" w:lineRule="auto"/>
        <w:rPr>
          <w:sz w:val="20"/>
          <w:szCs w:val="20"/>
          <w:color w:val="auto"/>
        </w:rPr>
      </w:pPr>
      <w:r>
        <w:rPr>
          <w:rFonts w:ascii="Arial" w:cs="Arial" w:eastAsia="Arial" w:hAnsi="Arial"/>
          <w:sz w:val="16"/>
          <w:szCs w:val="16"/>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w:t>
      </w:r>
    </w:p>
    <w:p>
      <w:pPr>
        <w:spacing w:after="0" w:line="12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During the year ended December 31, 2020, we repurchased 4,707,450 shares of our outstanding common stock at an average share price of $24.32 per share, exclusive of fees and commissions, or $115 million in the aggregate. During the years ended December 31, 2022 and 2021, the Company did not repurchase any shares of outstanding common stock under the share repurchase program.</w:t>
      </w:r>
    </w:p>
    <w:p>
      <w:pPr>
        <w:spacing w:after="0" w:line="183"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As of December 31, 2022, we had $75 million remaining available to repurchase shares of our common stock under this share repurchase program, with 18,844,614 shares of the Company’s common stock held in treasury with an aggregate cost of $722 million.</w:t>
      </w:r>
    </w:p>
    <w:p>
      <w:pPr>
        <w:spacing w:after="0" w:line="169"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Our Board of Directors authorized and directed management, working with the Executive Committee of our Board of Directors, to affect the share repurchase program discussed above in compliance with applicable legal requirements. While the Board of Directors has not suspended or terminated the share repurchase program, the terms of the Credit Agreement currently limit the Company from engaging in share repurchases during the Leverage</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74" w:right="399" w:bottom="1440" w:gutter="0" w:footer="0" w:header="0"/>
        </w:sectPr>
      </w:pPr>
    </w:p>
    <w:bookmarkStart w:id="101" w:name="page102"/>
    <w:bookmarkEnd w:id="101"/>
    <w:p>
      <w:pPr>
        <w:ind w:right="200"/>
        <w:spacing w:after="0" w:line="277" w:lineRule="auto"/>
        <w:rPr>
          <w:sz w:val="20"/>
          <w:szCs w:val="20"/>
          <w:color w:val="auto"/>
        </w:rPr>
      </w:pPr>
      <w:r>
        <w:rPr>
          <w:rFonts w:ascii="Arial" w:cs="Arial" w:eastAsia="Arial" w:hAnsi="Arial"/>
          <w:sz w:val="18"/>
          <w:szCs w:val="18"/>
          <w:color w:val="auto"/>
        </w:rPr>
        <w:t xml:space="preserve">Covenant Holiday and the terms of our 2025 Indenture also imposes certain limitations and restrictions on share repurchases. Refer to “Note 9: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about our Credit Agreement and our 2025 Indenture.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During the years ended December 31, 2022, 2021 and 2020, our Board of Directors did not declare any dividends on our outstanding common stock.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Our ability to pay dividends is also limited by the terms of our Credit Agreement during the Leverage Covenant Holiday and our 2025 Indenture.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17"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17" w:lineRule="exact"/>
        <w:rPr>
          <w:sz w:val="20"/>
          <w:szCs w:val="20"/>
          <w:color w:val="auto"/>
        </w:rPr>
      </w:pPr>
    </w:p>
    <w:p>
      <w:pPr>
        <w:ind w:right="180" w:firstLine="509"/>
        <w:spacing w:after="0" w:line="290" w:lineRule="auto"/>
        <w:rPr>
          <w:sz w:val="20"/>
          <w:szCs w:val="20"/>
          <w:color w:val="auto"/>
        </w:rPr>
      </w:pPr>
      <w:r>
        <w:rPr>
          <w:rFonts w:ascii="Arial" w:cs="Arial" w:eastAsia="Arial" w:hAnsi="Arial"/>
          <w:sz w:val="16"/>
          <w:szCs w:val="16"/>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 the weighted average number of common and common equivalent shares outstanding during the period using the sum of (i) the number of shares of common stock and Class B common stock used in the Basic EPS calculation as indicated above,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63"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8"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When the convertible notes are dilutive, interest expense, net of tax, is added back to net income attributable to common stockholders to calculate diluted net income per share.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December 31, 2022 and 2021, the market price of a share of our common stock did not exceed the $107.36 cap price.</w:t>
      </w:r>
    </w:p>
    <w:p>
      <w:pPr>
        <w:spacing w:after="0" w:line="181"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In periods of a net loss, common equivalent shares are excluded from the calculation of Diluted EPS as their inclusion would have an antidilutive effect. Accordingly, for periods in which we report a net loss, such as for the years ended December 31, 2021 and 2020, Diluted EPS is the same as Basic EPS, since dilutive common equivalent shares are not assumed to have been issued if their effect is antidilutive.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2" w:name="page103"/>
    <w:bookmarkEnd w:id="102"/>
    <w:p>
      <w:pPr>
        <w:ind w:right="240" w:firstLine="509"/>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Numerator:</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income (loss) used to compute Basic EPS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 on 2026 Senior Notes, net of tax</w:t>
      </w:r>
    </w:p>
    <w:p>
      <w:pPr>
        <w:spacing w:after="0" w:line="99" w:lineRule="exact"/>
        <w:rPr>
          <w:sz w:val="20"/>
          <w:szCs w:val="20"/>
          <w:color w:val="auto"/>
        </w:rPr>
      </w:pPr>
    </w:p>
    <w:p>
      <w:pPr>
        <w:ind w:left="20" w:right="2220" w:firstLine="180"/>
        <w:spacing w:after="0" w:line="281" w:lineRule="auto"/>
        <w:rPr>
          <w:sz w:val="20"/>
          <w:szCs w:val="20"/>
          <w:color w:val="auto"/>
        </w:rPr>
      </w:pPr>
      <w:r>
        <w:rPr>
          <w:rFonts w:ascii="Arial" w:cs="Arial" w:eastAsia="Arial" w:hAnsi="Arial"/>
          <w:sz w:val="18"/>
          <w:szCs w:val="18"/>
          <w:color w:val="auto"/>
        </w:rPr>
        <w:t xml:space="preserve">Net income (loss) used to compute Diluted EPS </w:t>
      </w:r>
      <w:r>
        <w:rPr>
          <w:rFonts w:ascii="Arial" w:cs="Arial" w:eastAsia="Arial" w:hAnsi="Arial"/>
          <w:sz w:val="18"/>
          <w:szCs w:val="18"/>
          <w:b w:val="1"/>
          <w:bCs w:val="1"/>
          <w:u w:val="single" w:color="auto"/>
          <w:color w:val="auto"/>
        </w:rPr>
        <w:t>Denominator:</w:t>
      </w:r>
    </w:p>
    <w:p>
      <w:pPr>
        <w:spacing w:after="0" w:line="1" w:lineRule="exact"/>
        <w:rPr>
          <w:sz w:val="20"/>
          <w:szCs w:val="20"/>
          <w:color w:val="auto"/>
        </w:rPr>
      </w:pPr>
    </w:p>
    <w:p>
      <w:pPr>
        <w:ind w:left="200" w:right="1860"/>
        <w:spacing w:after="0" w:line="316" w:lineRule="auto"/>
        <w:rPr>
          <w:sz w:val="20"/>
          <w:szCs w:val="20"/>
          <w:color w:val="auto"/>
        </w:rPr>
      </w:pPr>
      <w:r>
        <w:rPr>
          <w:rFonts w:ascii="Arial" w:cs="Arial" w:eastAsia="Arial" w:hAnsi="Arial"/>
          <w:sz w:val="16"/>
          <w:szCs w:val="16"/>
          <w:color w:val="auto"/>
        </w:rPr>
        <w:t>Weighted average shares used to compute Basic EPS Weighted average effect of dilutive securities: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46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(148 )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(289 )</w:t>
            </w:r>
          </w:p>
        </w:tc>
      </w:tr>
      <w:tr>
        <w:trPr>
          <w:trHeight w:val="250"/>
        </w:trPr>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36"/>
        </w:trPr>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9"/>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139,923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137,234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134,858</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-949960</wp:posOffset>
            </wp:positionV>
            <wp:extent cx="71323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-641350</wp:posOffset>
            </wp:positionV>
            <wp:extent cx="7132320" cy="4965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49657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8255</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5860" w:space="720"/>
            <w:col w:w="4660"/>
          </w:cols>
          <w:pgMar w:left="320" w:top="584"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58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RSUs/MSUs</w:t>
            </w: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2026 Senior Notes (Note 9)</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4,674</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6"/>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Weighted average shares used to compute Diluted EPS</w:t>
            </w: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145,670</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137,234</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134,858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6580" w:type="dxa"/>
            <w:vAlign w:val="bottom"/>
          </w:tcPr>
          <w:p>
            <w:pPr>
              <w:ind w:left="20"/>
              <w:spacing w:after="0"/>
              <w:rPr>
                <w:sz w:val="20"/>
                <w:szCs w:val="20"/>
                <w:color w:val="auto"/>
              </w:rPr>
            </w:pPr>
            <w:r>
              <w:rPr>
                <w:rFonts w:ascii="Arial" w:cs="Arial" w:eastAsia="Arial" w:hAnsi="Arial"/>
                <w:sz w:val="18"/>
                <w:szCs w:val="18"/>
                <w:color w:val="auto"/>
              </w:rPr>
              <w:t>Basic EPS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(1.08 )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(2.14 )</w:t>
            </w: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EPS</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-333375</wp:posOffset>
            </wp:positionV>
            <wp:extent cx="2115185"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15185" cy="179705"/>
                    </a:xfrm>
                    <a:prstGeom prst="rect">
                      <a:avLst/>
                    </a:prstGeom>
                    <a:noFill/>
                  </pic:spPr>
                </pic:pic>
              </a:graphicData>
            </a:graphic>
          </wp:anchor>
        </w:drawing>
      </w:r>
    </w:p>
    <w:p>
      <w:pPr>
        <w:spacing w:after="0" w:line="7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Potential common shares, consisting of outstanding stock options, RSUs, MSUs, and those issuable under the 2026 Senior Notes, totaling approximately 11.4 million, 16.1 million, and 13.7 million, for the years ended December 31, 2022, 2021 and 2020, respectively, have been excluded from the calculations of Diluted EPS because their effect would have been antidilutive. In addition, potential common shares of certain performance-based awards of approximately 0.3 million, 0.1 million, and 0.2 million, for the years ended December 31, 2022, 2021 and 2020, respectively, for which all targets required to trigger vesting had not been achieved, were excluded from the calculation of weighted average shares used to compute Diluted EPS for those reporting periods.</w:t>
      </w:r>
    </w:p>
    <w:p>
      <w:pPr>
        <w:spacing w:after="0" w:line="191" w:lineRule="exact"/>
        <w:rPr>
          <w:sz w:val="20"/>
          <w:szCs w:val="20"/>
          <w:color w:val="auto"/>
        </w:rPr>
      </w:pPr>
    </w:p>
    <w:p>
      <w:pPr>
        <w:ind w:right="100" w:firstLine="509"/>
        <w:spacing w:after="0" w:line="219" w:lineRule="exact"/>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and MSUs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Arial" w:cs="Arial" w:eastAsia="Arial" w:hAnsi="Arial"/>
          <w:sz w:val="18"/>
          <w:szCs w:val="18"/>
          <w:color w:val="auto"/>
        </w:rPr>
        <w:t>class method of determining earnings per share.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INCOME (EXPENSE),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consists of the following for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exchange gains (losses), net (1)</w:t>
            </w:r>
          </w:p>
        </w:tc>
        <w:tc>
          <w:tcPr>
            <w:tcW w:w="2660" w:type="dxa"/>
            <w:vAlign w:val="bottom"/>
            <w:gridSpan w:val="2"/>
            <w:shd w:val="clear" w:color="auto" w:fill="CFF0FC"/>
          </w:tcPr>
          <w:p>
            <w:pPr>
              <w:jc w:val="right"/>
              <w:ind w:right="93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r>
      <w:tr>
        <w:trPr>
          <w:trHeight w:val="236"/>
        </w:trPr>
        <w:tc>
          <w:tcPr>
            <w:tcW w:w="4520" w:type="dxa"/>
            <w:vAlign w:val="bottom"/>
          </w:tcPr>
          <w:p>
            <w:pPr>
              <w:ind w:left="20"/>
              <w:spacing w:after="0"/>
              <w:rPr>
                <w:sz w:val="20"/>
                <w:szCs w:val="20"/>
                <w:color w:val="auto"/>
              </w:rPr>
            </w:pPr>
            <w:r>
              <w:rPr>
                <w:rFonts w:ascii="Arial" w:cs="Arial" w:eastAsia="Arial" w:hAnsi="Arial"/>
                <w:sz w:val="18"/>
                <w:szCs w:val="18"/>
                <w:color w:val="auto"/>
              </w:rPr>
              <w:t>Earnings (losses) from equity investment, net</w:t>
            </w: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90"/>
              <w:spacing w:after="0"/>
              <w:rPr>
                <w:sz w:val="20"/>
                <w:szCs w:val="20"/>
                <w:color w:val="auto"/>
              </w:rPr>
            </w:pPr>
            <w:r>
              <w:rPr>
                <w:rFonts w:ascii="Arial" w:cs="Arial" w:eastAsia="Arial" w:hAnsi="Arial"/>
                <w:sz w:val="18"/>
                <w:szCs w:val="18"/>
                <w:color w:val="auto"/>
              </w:rPr>
              <w:t>(3 )</w:t>
            </w:r>
          </w:p>
        </w:tc>
        <w:tc>
          <w:tcPr>
            <w:tcW w:w="3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4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sale/disposal of business (2)</w:t>
            </w:r>
          </w:p>
        </w:tc>
        <w:tc>
          <w:tcPr>
            <w:tcW w:w="15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36"/>
        </w:trPr>
        <w:tc>
          <w:tcPr>
            <w:tcW w:w="45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90"/>
              <w:spacing w:after="0"/>
              <w:rPr>
                <w:sz w:val="20"/>
                <w:szCs w:val="20"/>
                <w:color w:val="auto"/>
              </w:rPr>
            </w:pPr>
            <w:r>
              <w:rPr>
                <w:rFonts w:ascii="Arial" w:cs="Arial" w:eastAsia="Arial" w:hAnsi="Arial"/>
                <w:sz w:val="18"/>
                <w:szCs w:val="18"/>
                <w:color w:val="auto"/>
              </w:rPr>
              <w:t>(3 )</w:t>
            </w:r>
          </w:p>
        </w:tc>
        <w:tc>
          <w:tcPr>
            <w:tcW w:w="3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82"/>
        </w:trPr>
        <w:tc>
          <w:tcPr>
            <w:tcW w:w="4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55"/>
        </w:trPr>
        <w:tc>
          <w:tcPr>
            <w:tcW w:w="4520" w:type="dxa"/>
            <w:vAlign w:val="bottom"/>
          </w:tcPr>
          <w:p>
            <w:pPr>
              <w:spacing w:after="0"/>
              <w:rPr>
                <w:sz w:val="24"/>
                <w:szCs w:val="24"/>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4817110</wp:posOffset>
            </wp:positionH>
            <wp:positionV relativeFrom="paragraph">
              <wp:posOffset>-538480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-521970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-538480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-521970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03" w:name="page104"/>
    <w:bookmarkEnd w:id="103"/>
    <w:p>
      <w:pPr>
        <w:ind w:left="760" w:right="540" w:hanging="378"/>
        <w:spacing w:after="0" w:line="230" w:lineRule="auto"/>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Foreign currency exchange gains (losses), net, are generally related to foreign exchange transaction gains and losses due to required conversion from transaction currency to functional currency, partially offset by foreign currency forward contract gains and losses.</w:t>
      </w:r>
    </w:p>
    <w:p>
      <w:pPr>
        <w:ind w:left="760" w:hanging="378"/>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Related to loss on disposal on the sale of our SmarterTravel business during June 2020.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Liberty TripAdvisor Holdings, Inc. and Tripadvisor</w:t>
      </w:r>
    </w:p>
    <w:p>
      <w:pPr>
        <w:spacing w:after="0" w:line="117"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 xml:space="preserve">LTRIP is a controlling stockholder of Tripadvisor. We consider LTRIP a related party. Refer to “Note 1: </w:t>
      </w:r>
      <w:r>
        <w:rPr>
          <w:rFonts w:ascii="Arial" w:cs="Arial" w:eastAsia="Arial" w:hAnsi="Arial"/>
          <w:sz w:val="17"/>
          <w:szCs w:val="17"/>
          <w:i w:val="1"/>
          <w:iCs w:val="1"/>
          <w:color w:val="auto"/>
        </w:rPr>
        <w:t>Organization and Business Description</w:t>
      </w:r>
      <w:r>
        <w:rPr>
          <w:rFonts w:ascii="Arial" w:cs="Arial" w:eastAsia="Arial" w:hAnsi="Arial"/>
          <w:sz w:val="17"/>
          <w:szCs w:val="17"/>
          <w:color w:val="auto"/>
        </w:rPr>
        <w:t>”, which describes the evolution of our relationship with LTRIP, including LTRIP’s stock ownership of Tripadvisor and deemed voting power as of December 31, 2022. We had no related party transactions with LTRIP during the years ended December 31, 2022,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Chelsea Investment Holding Company PTE Ltd. and Tripadvisor</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 xml:space="preserve">Refer to the discussion regarding our equity method investment in Chelsea Investment Holding Company PTD Ltd. in the section titled “Non-Marketable Investments” within “Note 4: </w:t>
      </w:r>
      <w:r>
        <w:rPr>
          <w:rFonts w:ascii="Arial" w:cs="Arial" w:eastAsia="Arial" w:hAnsi="Arial"/>
          <w:sz w:val="17"/>
          <w:szCs w:val="17"/>
          <w:i w:val="1"/>
          <w:iCs w:val="1"/>
          <w:color w:val="auto"/>
        </w:rPr>
        <w:t>Financial Instruments and Fair Value Measurements</w:t>
      </w:r>
      <w:r>
        <w:rPr>
          <w:rFonts w:ascii="Arial" w:cs="Arial" w:eastAsia="Arial" w:hAnsi="Arial"/>
          <w:sz w:val="17"/>
          <w:szCs w:val="17"/>
          <w:color w:val="auto"/>
        </w:rPr>
        <w:t>” for a description of our relationship and existing commercial arrangements with Chelsea Investment Holding Company PTE Ltd and/or its subsidiaries. We had no material related party transactions with Chelsea Investment Holding Company PTE Ltd or its subsidiaries during the years ended December 31, 2022, 2021 and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AND GEOGRAPHIC INFORMATION</w:t>
      </w:r>
    </w:p>
    <w:p>
      <w:pPr>
        <w:spacing w:after="0" w:line="12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 xml:space="preserve">In the second quarter of 2022, we revised our segment reporting structure. We now measure our business within three operating segments, which are also our reportable segments: (1) Tripadvisor Core; (2) Viator; and (3) TheFork. Our Tripadvisor Core segment includes the following revenue sources: (1) Tripadvisor-branded hotels – consisting of hotel meta revenue, primarily click-based advertising revenue, and hotel B2B revenue, which includes primarily subscription-based advertising and hotel sponsored placements revenue; (2) Tripadvisor-branded display and platform revenue – consisting primarily of display-based advertising revenue;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segments, respectively, which are eliminated on a consolidated basis, in addition to external revenue generated from Tripadvisor restaurant service offerings; and (4) Other revenue – consisting of cruises, alternative accommodation rentals, flights, and rental cars revenue. The nature of the services provided and related revenue recognition policies are summarized by reportable segment in “Note 3: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All prior period segment disclosure information has been reclassified to conform to the current reporting structure in this Form 10-K. These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reclassifications had no effect on our consolidated financial statements in any period. Our segment profit measure (Adjusted EBITDA), including its definition, and other information provided to our CODM remain consistent with prior periods, except for certain segment expense allocations, which are described below.</w:t>
      </w:r>
    </w:p>
    <w:p>
      <w:pPr>
        <w:spacing w:after="0" w:line="183"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Our operating segments are determined based on how our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long-lived asset, and intangible asset impairments; (6) legal reserves and settlements; (7) restructuring and other related reorganization costs; and (8) non-recurring expenses and income.</w:t>
      </w:r>
    </w:p>
    <w:p>
      <w:pPr>
        <w:spacing w:after="0" w:line="163" w:lineRule="exact"/>
        <w:rPr>
          <w:sz w:val="20"/>
          <w:szCs w:val="20"/>
          <w:color w:val="auto"/>
        </w:rPr>
      </w:pPr>
    </w:p>
    <w:p>
      <w:pPr>
        <w:jc w:val="both"/>
        <w:ind w:right="140" w:firstLine="509"/>
        <w:spacing w:after="0" w:line="279" w:lineRule="auto"/>
        <w:rPr>
          <w:sz w:val="20"/>
          <w:szCs w:val="20"/>
          <w:color w:val="auto"/>
        </w:rPr>
      </w:pPr>
      <w:r>
        <w:rPr>
          <w:rFonts w:ascii="Arial" w:cs="Arial" w:eastAsia="Arial" w:hAnsi="Arial"/>
          <w:sz w:val="17"/>
          <w:szCs w:val="17"/>
          <w:color w:val="auto"/>
        </w:rPr>
        <w:t>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104" w:name="page105"/>
    <w:bookmarkEnd w:id="104"/>
    <w:p>
      <w:pPr>
        <w:ind w:right="240"/>
        <w:spacing w:after="0" w:line="277" w:lineRule="auto"/>
        <w:rPr>
          <w:sz w:val="20"/>
          <w:szCs w:val="20"/>
          <w:color w:val="auto"/>
        </w:rPr>
      </w:pPr>
      <w:r>
        <w:rPr>
          <w:rFonts w:ascii="Arial" w:cs="Arial" w:eastAsia="Arial" w:hAnsi="Arial"/>
          <w:sz w:val="18"/>
          <w:szCs w:val="18"/>
          <w:color w:val="auto"/>
        </w:rPr>
        <w:t>individual segment performance, which is consistent with the financial information viewed by our CODM. We include these expenses in our Tripadvisor Core segment. Our allocation methodology is periodically evaluated and may change.</w:t>
      </w:r>
    </w:p>
    <w:p>
      <w:pPr>
        <w:spacing w:after="0" w:line="16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following tables present our reportable segment information for the years ended December 31, 2022, 2021 and 2020 and includes a reconciliation of Adjusted EBITDA to Net income (loss). We record depreciation and amortization, stock-based compensation and other stock-settled obligations, goodwill, long-lived asset and intangible asset impairments, legal reserves and settlements, restructuring and other related reorganization costs, and other non-recurring expenses and income, net, which are excluded from segment operating performance, in Corporate and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w:t>
      </w:r>
    </w:p>
    <w:p>
      <w:pPr>
        <w:spacing w:after="0" w:line="68"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Our segment disclosure includes intersegment revenues, which consist of affiliate marketing fees for services provided by our Tripadvisor Core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Corporate and Eliminations in the table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1"/>
              </w:rPr>
              <w:t>Year ended December 31, 2022</w:t>
            </w: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2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Tripadvisor Core</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restart"/>
          </w:tcPr>
          <w:p>
            <w:pPr>
              <w:jc w:val="right"/>
              <w:ind w:right="501"/>
              <w:spacing w:after="0"/>
              <w:rPr>
                <w:sz w:val="20"/>
                <w:szCs w:val="20"/>
                <w:color w:val="auto"/>
              </w:rPr>
            </w:pPr>
            <w:r>
              <w:rPr>
                <w:rFonts w:ascii="Arial" w:cs="Arial" w:eastAsia="Arial" w:hAnsi="Arial"/>
                <w:sz w:val="14"/>
                <w:szCs w:val="14"/>
                <w:b w:val="1"/>
                <w:bCs w:val="1"/>
                <w:color w:val="auto"/>
                <w:w w:val="98"/>
              </w:rPr>
              <w:t>Viator (2)</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rPr>
              <w:t>TheFork (3)</w:t>
            </w:r>
          </w:p>
        </w:tc>
        <w:tc>
          <w:tcPr>
            <w:tcW w:w="160" w:type="dxa"/>
            <w:vAlign w:val="bottom"/>
          </w:tcPr>
          <w:p>
            <w:pPr>
              <w:spacing w:after="0"/>
              <w:rPr>
                <w:sz w:val="11"/>
                <w:szCs w:val="11"/>
                <w:color w:val="auto"/>
              </w:rPr>
            </w:pPr>
          </w:p>
        </w:tc>
        <w:tc>
          <w:tcPr>
            <w:tcW w:w="1320" w:type="dxa"/>
            <w:vAlign w:val="bottom"/>
            <w:gridSpan w:val="2"/>
          </w:tcPr>
          <w:p>
            <w:pPr>
              <w:jc w:val="right"/>
              <w:ind w:right="390"/>
              <w:spacing w:after="0" w:line="133" w:lineRule="exact"/>
              <w:rPr>
                <w:sz w:val="20"/>
                <w:szCs w:val="20"/>
                <w:color w:val="auto"/>
              </w:rPr>
            </w:pPr>
            <w:r>
              <w:rPr>
                <w:rFonts w:ascii="Arial" w:cs="Arial" w:eastAsia="Arial" w:hAnsi="Arial"/>
                <w:sz w:val="14"/>
                <w:szCs w:val="14"/>
                <w:b w:val="1"/>
                <w:bCs w:val="1"/>
                <w:color w:val="auto"/>
              </w:rPr>
              <w:t>Corporate &amp;</w:t>
            </w: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revenue</w:t>
            </w: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Intersegment revenue</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(93 )</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(39 )</w:t>
            </w:r>
          </w:p>
        </w:tc>
        <w:tc>
          <w:tcPr>
            <w:tcW w:w="160" w:type="dxa"/>
            <w:vAlign w:val="bottom"/>
          </w:tcPr>
          <w:p>
            <w:pPr>
              <w:spacing w:after="0"/>
              <w:rPr>
                <w:sz w:val="18"/>
                <w:szCs w:val="18"/>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(97 )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(88 )</w:t>
            </w: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Legal reserves and settlements</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Non-recurring expenses (income) (4)</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(8 )</w:t>
            </w:r>
          </w:p>
        </w:tc>
        <w:tc>
          <w:tcPr>
            <w:tcW w:w="2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2"/>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82"/>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1"/>
              </w:rPr>
              <w:t>Year ended December 31, 2021</w:t>
            </w: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2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Tripadvisor Core</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restart"/>
          </w:tcPr>
          <w:p>
            <w:pPr>
              <w:jc w:val="right"/>
              <w:ind w:right="501"/>
              <w:spacing w:after="0"/>
              <w:rPr>
                <w:sz w:val="20"/>
                <w:szCs w:val="20"/>
                <w:color w:val="auto"/>
              </w:rPr>
            </w:pPr>
            <w:r>
              <w:rPr>
                <w:rFonts w:ascii="Arial" w:cs="Arial" w:eastAsia="Arial" w:hAnsi="Arial"/>
                <w:sz w:val="14"/>
                <w:szCs w:val="14"/>
                <w:b w:val="1"/>
                <w:bCs w:val="1"/>
                <w:color w:val="auto"/>
                <w:w w:val="98"/>
              </w:rPr>
              <w:t>Viator (2)</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rPr>
              <w:t>TheFork (3)</w:t>
            </w:r>
          </w:p>
        </w:tc>
        <w:tc>
          <w:tcPr>
            <w:tcW w:w="160" w:type="dxa"/>
            <w:vAlign w:val="bottom"/>
          </w:tcPr>
          <w:p>
            <w:pPr>
              <w:spacing w:after="0"/>
              <w:rPr>
                <w:sz w:val="11"/>
                <w:szCs w:val="11"/>
                <w:color w:val="auto"/>
              </w:rPr>
            </w:pPr>
          </w:p>
        </w:tc>
        <w:tc>
          <w:tcPr>
            <w:tcW w:w="1320" w:type="dxa"/>
            <w:vAlign w:val="bottom"/>
            <w:gridSpan w:val="2"/>
          </w:tcPr>
          <w:p>
            <w:pPr>
              <w:jc w:val="right"/>
              <w:ind w:right="390"/>
              <w:spacing w:after="0" w:line="133" w:lineRule="exact"/>
              <w:rPr>
                <w:sz w:val="20"/>
                <w:szCs w:val="20"/>
                <w:color w:val="auto"/>
              </w:rPr>
            </w:pPr>
            <w:r>
              <w:rPr>
                <w:rFonts w:ascii="Arial" w:cs="Arial" w:eastAsia="Arial" w:hAnsi="Arial"/>
                <w:sz w:val="14"/>
                <w:szCs w:val="14"/>
                <w:b w:val="1"/>
                <w:bCs w:val="1"/>
                <w:color w:val="auto"/>
              </w:rPr>
              <w:t>Corporate &amp;</w:t>
            </w: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center"/>
              <w:ind w:right="234"/>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633</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Intersegment revenue</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(32 )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665</w:t>
            </w:r>
          </w:p>
        </w:tc>
        <w:tc>
          <w:tcPr>
            <w:tcW w:w="2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(32 )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(111 )</w:t>
            </w: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(120 )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103</w:t>
            </w: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-4494530</wp:posOffset>
            </wp:positionV>
            <wp:extent cx="3818890"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1889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-2884805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-1985645</wp:posOffset>
            </wp:positionV>
            <wp:extent cx="76835"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-1985645</wp:posOffset>
            </wp:positionV>
            <wp:extent cx="76835"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-1985645</wp:posOffset>
            </wp:positionV>
            <wp:extent cx="68580" cy="1885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-1985645</wp:posOffset>
            </wp:positionV>
            <wp:extent cx="68580" cy="1885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162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 2020</w:t>
            </w: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2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Tripadvisor Core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jc w:val="right"/>
              <w:ind w:right="501"/>
              <w:spacing w:after="0"/>
              <w:rPr>
                <w:sz w:val="20"/>
                <w:szCs w:val="20"/>
                <w:color w:val="auto"/>
              </w:rPr>
            </w:pPr>
            <w:r>
              <w:rPr>
                <w:rFonts w:ascii="Arial" w:cs="Arial" w:eastAsia="Arial" w:hAnsi="Arial"/>
                <w:sz w:val="14"/>
                <w:szCs w:val="14"/>
                <w:b w:val="1"/>
                <w:bCs w:val="1"/>
                <w:color w:val="auto"/>
              </w:rPr>
              <w:t>Viator (2)</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390"/>
              <w:spacing w:after="0"/>
              <w:rPr>
                <w:sz w:val="20"/>
                <w:szCs w:val="20"/>
                <w:color w:val="auto"/>
              </w:rPr>
            </w:pPr>
            <w:r>
              <w:rPr>
                <w:rFonts w:ascii="Arial" w:cs="Arial" w:eastAsia="Arial" w:hAnsi="Arial"/>
                <w:sz w:val="14"/>
                <w:szCs w:val="14"/>
                <w:b w:val="1"/>
                <w:bCs w:val="1"/>
                <w:color w:val="auto"/>
              </w:rPr>
              <w:t>TheFork (3)</w:t>
            </w:r>
          </w:p>
        </w:tc>
        <w:tc>
          <w:tcPr>
            <w:tcW w:w="160" w:type="dxa"/>
            <w:vAlign w:val="bottom"/>
          </w:tcPr>
          <w:p>
            <w:pPr>
              <w:spacing w:after="0"/>
              <w:rPr>
                <w:sz w:val="11"/>
                <w:szCs w:val="11"/>
                <w:color w:val="auto"/>
              </w:rPr>
            </w:pPr>
          </w:p>
        </w:tc>
        <w:tc>
          <w:tcPr>
            <w:tcW w:w="132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Corporate &amp;</w:t>
            </w:r>
          </w:p>
        </w:tc>
        <w:tc>
          <w:tcPr>
            <w:tcW w:w="260" w:type="dxa"/>
            <w:vAlign w:val="bottom"/>
          </w:tcPr>
          <w:p>
            <w:pPr>
              <w:spacing w:after="0"/>
              <w:rPr>
                <w:sz w:val="11"/>
                <w:szCs w:val="11"/>
                <w:color w:val="auto"/>
              </w:rPr>
            </w:pPr>
          </w:p>
        </w:tc>
        <w:tc>
          <w:tcPr>
            <w:tcW w:w="1040" w:type="dxa"/>
            <w:vAlign w:val="bottom"/>
            <w:gridSpan w:val="2"/>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Intersegment revenue</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(125 )</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w w:val="96"/>
              </w:rPr>
              <w:t>Restructuring and other related reorganization costs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(41 )</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of goodwill</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-1780540</wp:posOffset>
            </wp:positionV>
            <wp:extent cx="76835" cy="188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-1780540</wp:posOffset>
            </wp:positionV>
            <wp:extent cx="76835" cy="1885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-1780540</wp:posOffset>
            </wp:positionV>
            <wp:extent cx="68580" cy="1885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-1780540</wp:posOffset>
            </wp:positionV>
            <wp:extent cx="68580" cy="1885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-1780540</wp:posOffset>
            </wp:positionV>
            <wp:extent cx="68580" cy="1885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62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left="1020" w:right="500" w:hanging="504"/>
        <w:spacing w:after="0" w:line="230" w:lineRule="auto"/>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Corporate general and administrative personnel costs of $5 million, $6 million and $4 million for the years ended December 31, 2022, 2021 and 2020, respectively, were allocated to the Viator and TheFork segments.</w:t>
      </w:r>
    </w:p>
    <w:p>
      <w:pPr>
        <w:ind w:left="1020" w:right="580" w:hanging="504"/>
        <w:spacing w:after="0" w:line="221" w:lineRule="auto"/>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allocated corporate general and administrative personnel costs from our Tripadvisor Core segment of $2 million, $3 million and $2 million for the years ended December 31, 2022, 2021 and 2020, respectively.</w:t>
      </w:r>
    </w:p>
    <w:p>
      <w:pPr>
        <w:ind w:left="1020" w:right="580" w:hanging="504"/>
        <w:spacing w:after="0" w:line="221" w:lineRule="auto"/>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allocated corporate general and administrative personnel costs from our Tripadvisor Core segment of $3 million, $3 million and $2 million for the years ended December 31, 2022, 2021 and 2020, respectively.</w:t>
      </w:r>
    </w:p>
    <w:p>
      <w:pPr>
        <w:ind w:left="1020" w:right="100" w:hanging="504"/>
        <w:spacing w:after="0" w:line="254" w:lineRule="auto"/>
        <w:tabs>
          <w:tab w:leader="none" w:pos="10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Company incurred a loss of approximately $8 million during the fourth quarter of 2022, as the result of external fraud. This loss was recorded to general and administrative expenses on the consolidated statement of operations for December 31, 2022. The Company considers such costs to be non-recurring in nature. To the extent the Company recovers any losses in future periods related to this incident, the Company plans to reduce Adjusted EBITDA by the recovery amount in that same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Geographic Information</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 xml:space="preserve">Our revenue sources within our Tripadvisor Core segment, including Tripadvisor-branded hotels revenue, Tripadvisor-branded display and platform revenue, Tripadvisor experiences and dining revenue, and Other revenue; which along with the Viator and TheFork revenue sources, comprise our products. Refer to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for our revenue by product.</w:t>
      </w:r>
    </w:p>
    <w:p>
      <w:pPr>
        <w:spacing w:after="0" w:line="223"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Company measures its geographic revenue information based on the physical location of the Tripadvisor subsidiary which generates the revenue, which is consistent with our measurement of long-lived physical assets, or property and equipment, net. As such, this geographic classification does not necessarily align with where the consumer resides, where the consumer is physically located while using the Company's services, or the location of the travel service provider, experience operator or restaurant.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revenue based on geographic location consists of the following for the periods presented: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476"/>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tcPr>
          <w:p>
            <w:pPr>
              <w:spacing w:after="0"/>
              <w:rPr>
                <w:sz w:val="21"/>
                <w:szCs w:val="21"/>
                <w:color w:val="auto"/>
              </w:rPr>
            </w:pPr>
          </w:p>
        </w:tc>
        <w:tc>
          <w:tcPr>
            <w:tcW w:w="2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United States</w:t>
            </w:r>
          </w:p>
        </w:tc>
        <w:tc>
          <w:tcPr>
            <w:tcW w:w="2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All other countries</w:t>
            </w:r>
          </w:p>
        </w:tc>
        <w:tc>
          <w:tcPr>
            <w:tcW w:w="2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29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300" w:type="dxa"/>
            <w:vAlign w:val="bottom"/>
            <w:vMerge w:val="restart"/>
          </w:tcPr>
          <w:p>
            <w:pPr>
              <w:jc w:val="right"/>
              <w:ind w:right="530"/>
              <w:spacing w:after="0"/>
              <w:rPr>
                <w:sz w:val="20"/>
                <w:szCs w:val="20"/>
                <w:color w:val="auto"/>
              </w:rPr>
            </w:pPr>
            <w:r>
              <w:rPr>
                <w:rFonts w:ascii="Arial" w:cs="Arial" w:eastAsia="Arial" w:hAnsi="Arial"/>
                <w:sz w:val="18"/>
                <w:szCs w:val="18"/>
                <w:color w:val="auto"/>
              </w:rPr>
              <w:t>104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-701675</wp:posOffset>
            </wp:positionV>
            <wp:extent cx="59690" cy="1885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-701675</wp:posOffset>
            </wp:positionV>
            <wp:extent cx="59690" cy="1885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-701675</wp:posOffset>
            </wp:positionV>
            <wp:extent cx="51435" cy="1885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06" w:name="page107"/>
    <w:bookmarkEnd w:id="106"/>
    <w:p>
      <w:pPr>
        <w:ind w:right="60" w:firstLine="509"/>
        <w:spacing w:after="0" w:line="277" w:lineRule="auto"/>
        <w:rPr>
          <w:sz w:val="20"/>
          <w:szCs w:val="20"/>
          <w:color w:val="auto"/>
        </w:rPr>
      </w:pPr>
      <w:r>
        <w:rPr>
          <w:rFonts w:ascii="Arial" w:cs="Arial" w:eastAsia="Arial" w:hAnsi="Arial"/>
          <w:sz w:val="18"/>
          <w:szCs w:val="18"/>
          <w:color w:val="auto"/>
        </w:rPr>
        <w:t>The Company’s property and equipment, net for the United States and all other countries based on the geographic location of the assets consists of the following for the periods presented:</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r>
      <w:tr>
        <w:trPr>
          <w:trHeight w:val="177"/>
        </w:trPr>
        <w:tc>
          <w:tcPr>
            <w:tcW w:w="5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4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21"/>
                <w:szCs w:val="21"/>
                <w:color w:val="auto"/>
              </w:rPr>
            </w:pPr>
          </w:p>
        </w:tc>
      </w:tr>
      <w:tr>
        <w:trPr>
          <w:trHeight w:val="236"/>
        </w:trPr>
        <w:tc>
          <w:tcPr>
            <w:tcW w:w="5500" w:type="dxa"/>
            <w:vAlign w:val="bottom"/>
          </w:tcPr>
          <w:p>
            <w:pPr>
              <w:ind w:left="180"/>
              <w:spacing w:after="0"/>
              <w:rPr>
                <w:sz w:val="20"/>
                <w:szCs w:val="20"/>
                <w:color w:val="auto"/>
              </w:rPr>
            </w:pPr>
            <w:r>
              <w:rPr>
                <w:rFonts w:ascii="Arial" w:cs="Arial" w:eastAsia="Arial" w:hAnsi="Arial"/>
                <w:sz w:val="18"/>
                <w:szCs w:val="18"/>
                <w:color w:val="auto"/>
              </w:rPr>
              <w:t>All other countries</w:t>
            </w:r>
          </w:p>
        </w:tc>
        <w:tc>
          <w:tcPr>
            <w:tcW w:w="7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r>
      <w:tr>
        <w:trPr>
          <w:trHeight w:val="282"/>
        </w:trPr>
        <w:tc>
          <w:tcPr>
            <w:tcW w:w="55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5288280</wp:posOffset>
            </wp:positionH>
            <wp:positionV relativeFrom="paragraph">
              <wp:posOffset>-24765</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Concentrations</w:t>
      </w:r>
    </w:p>
    <w:p>
      <w:pPr>
        <w:spacing w:after="0" w:line="22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under the section entitled “Certain Risks and Concentrations” for information regarding our major customer concentrations.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As of December 31, 2022,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December 31, 2022,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2022 that have materially affected, or are reasonably likely to materially affect, our internal control over financial reporting.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GAAP.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w:t>
      </w:r>
    </w:p>
    <w:p>
      <w:pPr>
        <w:spacing w:after="0" w:line="176"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The Company’s management evaluated the effectiveness of the Company’s internal control over financial reporting as of December 31, 2022. Pursuant to Exchange Act Rule 13a-15(d) or 15d-15(d), management has concluded that, as of December 31, 2022, our internal control over financial reporting was effective. Management has reviewed its assessment with the Audit Committee. KPMG LLP, an independent registered public accounting</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107" w:name="page108"/>
    <w:bookmarkEnd w:id="107"/>
    <w:p>
      <w:pPr>
        <w:ind w:right="480"/>
        <w:spacing w:after="0" w:line="277" w:lineRule="auto"/>
        <w:rPr>
          <w:sz w:val="20"/>
          <w:szCs w:val="20"/>
          <w:color w:val="auto"/>
        </w:rPr>
      </w:pPr>
      <w:r>
        <w:rPr>
          <w:rFonts w:ascii="Arial" w:cs="Arial" w:eastAsia="Arial" w:hAnsi="Arial"/>
          <w:sz w:val="18"/>
          <w:szCs w:val="18"/>
          <w:color w:val="auto"/>
        </w:rPr>
        <w:t>firm, has audited the effectiveness of our internal control over financial reporting as of December 31, 2022, as stated in their report which is included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8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We have audited Tripadvisor, Inc. and subsidiaries' (the Company)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changes in stockholders’ equity, and cash flows for each of the years in the three-year period ended December 31, 2022, and the related notes (collectively, the consolidated financial statements), and our report dated February 17, 2023 expressed an unqualified opinion on those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7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18"/>
          <w:szCs w:val="18"/>
          <w:color w:val="auto"/>
        </w:rPr>
        <w:t>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8"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0" w:lineRule="exact"/>
        <w:rPr>
          <w:sz w:val="20"/>
          <w:szCs w:val="20"/>
          <w:color w:val="auto"/>
        </w:rPr>
      </w:pPr>
    </w:p>
    <w:p>
      <w:pPr>
        <w:spacing w:after="0" w:line="208" w:lineRule="exact"/>
        <w:rPr>
          <w:sz w:val="20"/>
          <w:szCs w:val="20"/>
          <w:color w:val="auto"/>
        </w:rPr>
      </w:pPr>
    </w:p>
    <w:p>
      <w:pPr>
        <w:jc w:val="center"/>
        <w:ind w:right="9000"/>
        <w:spacing w:after="0"/>
        <w:rPr>
          <w:sz w:val="20"/>
          <w:szCs w:val="20"/>
          <w:color w:val="auto"/>
        </w:rPr>
      </w:pPr>
      <w:r>
        <w:rPr>
          <w:rFonts w:ascii="Arial" w:cs="Arial" w:eastAsia="Arial" w:hAnsi="Arial"/>
          <w:sz w:val="17"/>
          <w:szCs w:val="17"/>
          <w:b w:val="1"/>
          <w:bCs w:val="1"/>
          <w:color w:val="auto"/>
        </w:rPr>
        <w:t>Item 9B. Other Information</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2023 Proxy Statement, which proxy statement will be filed with the SEC not later than 120 days after the close of our fiscal year ended December 31, 2022.</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2023 Proxy Statement, which proxy statement will be filed with the SEC not later than 120 days after the close of our fiscal year ended December 31, 2022.</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2023 Proxy Statement, which proxy statement will be filed with the SEC not later than 120 days after the close of our fiscal year ended December 31, 2022.</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2023 Proxy Statement, which proxy statement will be filed with the SEC not later than 120 days after the close of our fiscal year ended December 31, 2022.</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2023 Proxy Statement, which proxy statement will be filed with the SEC not later than 120 days after the close of our fiscal year ended December 31, 2022.</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5" w:right="419" w:bottom="1440" w:gutter="0" w:footer="0" w:header="0"/>
        </w:sectPr>
      </w:pPr>
    </w:p>
    <w:bookmarkStart w:id="109" w:name="page110"/>
    <w:bookmarkEnd w:id="109"/>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The following is filed as part of this Annual Report on Form 10-K:</w:t>
      </w:r>
    </w:p>
    <w:p>
      <w:pPr>
        <w:spacing w:after="0" w:line="117" w:lineRule="exact"/>
        <w:rPr>
          <w:sz w:val="20"/>
          <w:szCs w:val="20"/>
          <w:color w:val="auto"/>
        </w:rPr>
      </w:pPr>
    </w:p>
    <w:p>
      <w:pPr>
        <w:ind w:left="1020" w:right="300" w:firstLine="6"/>
        <w:spacing w:after="0" w:line="277" w:lineRule="auto"/>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consolidated financial statements and report of independent registered public accounting firms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this item are included in Part II, Item 8.</w:t>
      </w:r>
    </w:p>
    <w:p>
      <w:pPr>
        <w:spacing w:after="0" w:line="62" w:lineRule="exact"/>
        <w:rPr>
          <w:sz w:val="20"/>
          <w:szCs w:val="20"/>
          <w:color w:val="auto"/>
        </w:rPr>
      </w:pPr>
    </w:p>
    <w:p>
      <w:pPr>
        <w:ind w:left="1020" w:right="320"/>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w w:val="92"/>
              </w:rPr>
              <w:t>Incorporated by Reference</w:t>
            </w:r>
          </w:p>
        </w:tc>
        <w:tc>
          <w:tcPr>
            <w:tcW w:w="30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7"/>
        </w:trPr>
        <w:tc>
          <w:tcPr>
            <w:tcW w:w="1000" w:type="dxa"/>
            <w:vAlign w:val="bottom"/>
          </w:tcPr>
          <w:p>
            <w:pPr>
              <w:ind w:left="300"/>
              <w:spacing w:after="0" w:line="137" w:lineRule="exact"/>
              <w:rPr>
                <w:sz w:val="20"/>
                <w:szCs w:val="20"/>
                <w:color w:val="auto"/>
              </w:rPr>
            </w:pPr>
            <w:r>
              <w:rPr>
                <w:rFonts w:ascii="Arial" w:cs="Arial" w:eastAsia="Arial" w:hAnsi="Arial"/>
                <w:sz w:val="14"/>
                <w:szCs w:val="14"/>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7" w:lineRule="exact"/>
              <w:rPr>
                <w:sz w:val="20"/>
                <w:szCs w:val="20"/>
                <w:color w:val="auto"/>
              </w:rPr>
            </w:pPr>
            <w:r>
              <w:rPr>
                <w:rFonts w:ascii="Arial" w:cs="Arial" w:eastAsia="Arial" w:hAnsi="Arial"/>
                <w:sz w:val="14"/>
                <w:szCs w:val="14"/>
                <w:color w:val="auto"/>
                <w:w w:val="98"/>
              </w:rPr>
              <w:t>Filed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line="137" w:lineRule="exact"/>
              <w:rPr>
                <w:sz w:val="20"/>
                <w:szCs w:val="20"/>
                <w:color w:val="auto"/>
              </w:rPr>
            </w:pPr>
            <w:r>
              <w:rPr>
                <w:rFonts w:ascii="Arial" w:cs="Arial" w:eastAsia="Arial" w:hAnsi="Arial"/>
                <w:sz w:val="14"/>
                <w:szCs w:val="14"/>
                <w:color w:val="auto"/>
              </w:rPr>
              <w:t>Exhibit</w:t>
            </w:r>
          </w:p>
        </w:tc>
        <w:tc>
          <w:tcPr>
            <w:tcW w:w="200" w:type="dxa"/>
            <w:vAlign w:val="bottom"/>
          </w:tcPr>
          <w:p>
            <w:pPr>
              <w:spacing w:after="0"/>
              <w:rPr>
                <w:sz w:val="11"/>
                <w:szCs w:val="11"/>
                <w:color w:val="auto"/>
              </w:rPr>
            </w:pPr>
          </w:p>
        </w:tc>
        <w:tc>
          <w:tcPr>
            <w:tcW w:w="1040" w:type="dxa"/>
            <w:vAlign w:val="bottom"/>
          </w:tcPr>
          <w:p>
            <w:pPr>
              <w:jc w:val="center"/>
              <w:spacing w:after="0" w:line="137" w:lineRule="exact"/>
              <w:rPr>
                <w:sz w:val="20"/>
                <w:szCs w:val="20"/>
                <w:color w:val="auto"/>
              </w:rPr>
            </w:pPr>
            <w:r>
              <w:rPr>
                <w:rFonts w:ascii="Arial" w:cs="Arial" w:eastAsia="Arial" w:hAnsi="Arial"/>
                <w:sz w:val="14"/>
                <w:szCs w:val="14"/>
                <w:color w:val="auto"/>
              </w:rPr>
              <w:t>Filing</w:t>
            </w:r>
          </w:p>
        </w:tc>
        <w:tc>
          <w:tcPr>
            <w:tcW w:w="100" w:type="dxa"/>
            <w:vAlign w:val="bottom"/>
          </w:tcPr>
          <w:p>
            <w:pPr>
              <w:spacing w:after="0"/>
              <w:rPr>
                <w:sz w:val="11"/>
                <w:szCs w:val="11"/>
                <w:color w:val="auto"/>
              </w:rPr>
            </w:pPr>
          </w:p>
        </w:tc>
      </w:tr>
      <w:tr>
        <w:trPr>
          <w:trHeight w:val="181"/>
        </w:trPr>
        <w:tc>
          <w:tcPr>
            <w:tcW w:w="1000" w:type="dxa"/>
            <w:vAlign w:val="bottom"/>
          </w:tcPr>
          <w:p>
            <w:pPr>
              <w:ind w:left="400"/>
              <w:spacing w:after="0"/>
              <w:rPr>
                <w:sz w:val="20"/>
                <w:szCs w:val="20"/>
                <w:color w:val="auto"/>
              </w:rPr>
            </w:pPr>
            <w:r>
              <w:rPr>
                <w:rFonts w:ascii="Arial" w:cs="Arial" w:eastAsia="Arial" w:hAnsi="Arial"/>
                <w:sz w:val="14"/>
                <w:szCs w:val="14"/>
                <w:color w:val="auto"/>
              </w:rPr>
              <w:t>No.</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20" w:type="dxa"/>
            <w:vAlign w:val="bottom"/>
            <w:gridSpan w:val="22"/>
          </w:tcPr>
          <w:p>
            <w:pPr>
              <w:ind w:left="100"/>
              <w:spacing w:after="0"/>
              <w:rPr>
                <w:sz w:val="20"/>
                <w:szCs w:val="20"/>
                <w:color w:val="auto"/>
              </w:rPr>
            </w:pPr>
            <w:r>
              <w:rPr>
                <w:rFonts w:ascii="Arial" w:cs="Arial" w:eastAsia="Arial" w:hAnsi="Arial"/>
                <w:sz w:val="14"/>
                <w:szCs w:val="14"/>
                <w:color w:val="auto"/>
              </w:rPr>
              <w:t>Exhibit Description</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Herewith</w:t>
            </w:r>
          </w:p>
        </w:tc>
        <w:tc>
          <w:tcPr>
            <w:tcW w:w="12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color w:val="auto"/>
              </w:rPr>
              <w:t>Form</w:t>
            </w:r>
          </w:p>
        </w:tc>
        <w:tc>
          <w:tcPr>
            <w:tcW w:w="160" w:type="dxa"/>
            <w:vAlign w:val="bottom"/>
          </w:tcPr>
          <w:p>
            <w:pPr>
              <w:spacing w:after="0"/>
              <w:rPr>
                <w:sz w:val="15"/>
                <w:szCs w:val="15"/>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color w:val="auto"/>
              </w:rPr>
              <w:t>SEC File No.</w:t>
            </w:r>
          </w:p>
        </w:tc>
        <w:tc>
          <w:tcPr>
            <w:tcW w:w="3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100" w:type="dxa"/>
            <w:vAlign w:val="bottom"/>
          </w:tcPr>
          <w:p>
            <w:pPr>
              <w:spacing w:after="0"/>
              <w:rPr>
                <w:sz w:val="15"/>
                <w:szCs w:val="15"/>
                <w:color w:val="auto"/>
              </w:rPr>
            </w:pPr>
          </w:p>
        </w:tc>
      </w:tr>
      <w:tr>
        <w:trPr>
          <w:trHeight w:val="182"/>
        </w:trPr>
        <w:tc>
          <w:tcPr>
            <w:tcW w:w="10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80" w:type="dxa"/>
            <w:vAlign w:val="bottom"/>
            <w:tcBorders>
              <w:top w:val="single" w:sz="8" w:color="auto"/>
              <w:bottom w:val="single" w:sz="8" w:color="0000EE"/>
            </w:tcBorders>
            <w:gridSpan w:val="11"/>
          </w:tcPr>
          <w:p>
            <w:pPr>
              <w:spacing w:after="0" w:line="182" w:lineRule="exact"/>
              <w:rPr>
                <w:rFonts w:ascii="Arial" w:cs="Arial" w:eastAsia="Arial" w:hAnsi="Arial"/>
                <w:sz w:val="18"/>
                <w:szCs w:val="18"/>
                <w:color w:val="auto"/>
                <w:w w:val="92"/>
              </w:rPr>
            </w:pPr>
            <w:hyperlink r:id="rId376">
              <w:r>
                <w:rPr>
                  <w:rFonts w:ascii="Arial" w:cs="Arial" w:eastAsia="Arial" w:hAnsi="Arial"/>
                  <w:sz w:val="18"/>
                  <w:szCs w:val="18"/>
                  <w:color w:val="auto"/>
                  <w:w w:val="92"/>
                </w:rPr>
                <w:t>Restated Certificate of Incorporation of</w:t>
              </w:r>
            </w:hyperlink>
          </w:p>
        </w:tc>
        <w:tc>
          <w:tcPr>
            <w:tcW w:w="820" w:type="dxa"/>
            <w:vAlign w:val="bottom"/>
            <w:tcBorders>
              <w:top w:val="single" w:sz="8" w:color="auto"/>
            </w:tcBorders>
            <w:gridSpan w:val="15"/>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jc w:val="center"/>
              <w:ind w:left="31"/>
              <w:spacing w:after="0" w:line="182" w:lineRule="exact"/>
              <w:rPr>
                <w:sz w:val="20"/>
                <w:szCs w:val="20"/>
                <w:color w:val="auto"/>
              </w:rPr>
            </w:pPr>
            <w:r>
              <w:rPr>
                <w:rFonts w:ascii="Arial" w:cs="Arial" w:eastAsia="Arial" w:hAnsi="Arial"/>
                <w:sz w:val="18"/>
                <w:szCs w:val="18"/>
                <w:color w:val="auto"/>
                <w:w w:val="99"/>
              </w:rPr>
              <w:t>8-K</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top w:val="single" w:sz="8" w:color="auto"/>
            </w:tcBorders>
          </w:tcPr>
          <w:p>
            <w:pPr>
              <w:jc w:val="center"/>
              <w:ind w:left="162"/>
              <w:spacing w:after="0" w:line="182" w:lineRule="exact"/>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5"/>
                <w:szCs w:val="15"/>
                <w:color w:val="auto"/>
              </w:rPr>
            </w:pPr>
          </w:p>
        </w:tc>
        <w:tc>
          <w:tcPr>
            <w:tcW w:w="880" w:type="dxa"/>
            <w:vAlign w:val="bottom"/>
            <w:tcBorders>
              <w:top w:val="single" w:sz="8" w:color="auto"/>
            </w:tcBorders>
            <w:gridSpan w:val="2"/>
          </w:tcPr>
          <w:p>
            <w:pPr>
              <w:jc w:val="center"/>
              <w:ind w:left="130"/>
              <w:spacing w:after="0" w:line="182" w:lineRule="exact"/>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15"/>
                <w:szCs w:val="15"/>
                <w:color w:val="auto"/>
              </w:rPr>
            </w:pPr>
          </w:p>
        </w:tc>
        <w:tc>
          <w:tcPr>
            <w:tcW w:w="1040" w:type="dxa"/>
            <w:vAlign w:val="bottom"/>
            <w:tcBorders>
              <w:top w:val="single" w:sz="8" w:color="auto"/>
            </w:tcBorders>
          </w:tcPr>
          <w:p>
            <w:pPr>
              <w:jc w:val="center"/>
              <w:ind w:left="42"/>
              <w:spacing w:after="0" w:line="182" w:lineRule="exact"/>
              <w:rPr>
                <w:sz w:val="20"/>
                <w:szCs w:val="20"/>
                <w:color w:val="auto"/>
              </w:rPr>
            </w:pPr>
            <w:r>
              <w:rPr>
                <w:rFonts w:ascii="Arial" w:cs="Arial" w:eastAsia="Arial" w:hAnsi="Arial"/>
                <w:sz w:val="18"/>
                <w:szCs w:val="18"/>
                <w:color w:val="auto"/>
                <w:w w:val="91"/>
              </w:rPr>
              <w:t>12/27/11</w:t>
            </w:r>
          </w:p>
        </w:tc>
        <w:tc>
          <w:tcPr>
            <w:tcW w:w="100" w:type="dxa"/>
            <w:vAlign w:val="bottom"/>
          </w:tcPr>
          <w:p>
            <w:pPr>
              <w:spacing w:after="0"/>
              <w:rPr>
                <w:sz w:val="15"/>
                <w:szCs w:val="15"/>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26"/>
          </w:tcPr>
          <w:p>
            <w:pPr>
              <w:spacing w:after="0" w:line="195" w:lineRule="exact"/>
              <w:rPr>
                <w:rFonts w:ascii="Arial" w:cs="Arial" w:eastAsia="Arial" w:hAnsi="Arial"/>
                <w:sz w:val="18"/>
                <w:szCs w:val="18"/>
                <w:color w:val="auto"/>
              </w:rPr>
            </w:pPr>
            <w:hyperlink r:id="rId376">
              <w:r>
                <w:rPr>
                  <w:rFonts w:ascii="Arial" w:cs="Arial" w:eastAsia="Arial" w:hAnsi="Arial"/>
                  <w:sz w:val="18"/>
                  <w:szCs w:val="18"/>
                  <w:color w:val="auto"/>
                </w:rPr>
                <w:t>Tripadvisor, Inc.</w:t>
              </w:r>
            </w:hyperlink>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00" w:type="dxa"/>
            <w:vAlign w:val="bottom"/>
            <w:gridSpan w:val="26"/>
          </w:tcPr>
          <w:p>
            <w:pPr>
              <w:spacing w:after="0"/>
              <w:rPr>
                <w:rFonts w:ascii="Arial" w:cs="Arial" w:eastAsia="Arial" w:hAnsi="Arial"/>
                <w:sz w:val="18"/>
                <w:szCs w:val="18"/>
                <w:color w:val="auto"/>
                <w:w w:val="91"/>
              </w:rPr>
            </w:pPr>
            <w:hyperlink r:id="rId377">
              <w:r>
                <w:rPr>
                  <w:rFonts w:ascii="Arial" w:cs="Arial" w:eastAsia="Arial" w:hAnsi="Arial"/>
                  <w:sz w:val="18"/>
                  <w:szCs w:val="18"/>
                  <w:color w:val="auto"/>
                  <w:w w:val="91"/>
                </w:rPr>
                <w:t>Amended and Restated Bylaws of Tripadvisor, Inc.</w:t>
              </w:r>
            </w:hyperlink>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3.2</w:t>
            </w:r>
          </w:p>
        </w:tc>
        <w:tc>
          <w:tcPr>
            <w:tcW w:w="124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12/27/11</w:t>
            </w:r>
          </w:p>
        </w:tc>
        <w:tc>
          <w:tcPr>
            <w:tcW w:w="100" w:type="dxa"/>
            <w:vAlign w:val="bottom"/>
          </w:tcPr>
          <w:p>
            <w:pPr>
              <w:spacing w:after="0"/>
              <w:rPr>
                <w:sz w:val="19"/>
                <w:szCs w:val="19"/>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Borders>
              <w:top w:val="single" w:sz="8" w:color="0000EE"/>
              <w:bottom w:val="single" w:sz="8" w:color="0000EE"/>
            </w:tcBorders>
            <w:gridSpan w:val="15"/>
          </w:tcPr>
          <w:p>
            <w:pPr>
              <w:spacing w:after="0"/>
              <w:rPr>
                <w:rFonts w:ascii="Arial" w:cs="Arial" w:eastAsia="Arial" w:hAnsi="Arial"/>
                <w:sz w:val="18"/>
                <w:szCs w:val="18"/>
                <w:color w:val="auto"/>
                <w:w w:val="90"/>
              </w:rPr>
            </w:pPr>
            <w:hyperlink r:id="rId378">
              <w:r>
                <w:rPr>
                  <w:rFonts w:ascii="Arial" w:cs="Arial" w:eastAsia="Arial" w:hAnsi="Arial"/>
                  <w:sz w:val="18"/>
                  <w:szCs w:val="18"/>
                  <w:color w:val="auto"/>
                  <w:w w:val="90"/>
                </w:rPr>
                <w:t>Amendment No. 1 to Amended and Restated</w:t>
              </w:r>
            </w:hyperlink>
          </w:p>
        </w:tc>
        <w:tc>
          <w:tcPr>
            <w:tcW w:w="400" w:type="dxa"/>
            <w:vAlign w:val="bottom"/>
            <w:tcBorders>
              <w:top w:val="single" w:sz="8" w:color="0000EE"/>
            </w:tcBorders>
            <w:gridSpan w:val="10"/>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3.1</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2/12/13</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26"/>
          </w:tcPr>
          <w:p>
            <w:pPr>
              <w:spacing w:after="0" w:line="195" w:lineRule="exact"/>
              <w:rPr>
                <w:rFonts w:ascii="Arial" w:cs="Arial" w:eastAsia="Arial" w:hAnsi="Arial"/>
                <w:sz w:val="18"/>
                <w:szCs w:val="18"/>
                <w:color w:val="auto"/>
              </w:rPr>
            </w:pPr>
            <w:hyperlink r:id="rId378">
              <w:r>
                <w:rPr>
                  <w:rFonts w:ascii="Arial" w:cs="Arial" w:eastAsia="Arial" w:hAnsi="Arial"/>
                  <w:sz w:val="18"/>
                  <w:szCs w:val="18"/>
                  <w:color w:val="auto"/>
                </w:rPr>
                <w:t>Bylaws of Tripadvisor, Inc.</w:t>
              </w:r>
            </w:hyperlink>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Borders>
              <w:bottom w:val="single" w:sz="8" w:color="0000EE"/>
            </w:tcBorders>
            <w:gridSpan w:val="14"/>
          </w:tcPr>
          <w:p>
            <w:pPr>
              <w:spacing w:after="0"/>
              <w:rPr>
                <w:rFonts w:ascii="Arial" w:cs="Arial" w:eastAsia="Arial" w:hAnsi="Arial"/>
                <w:sz w:val="18"/>
                <w:szCs w:val="18"/>
                <w:color w:val="auto"/>
                <w:w w:val="92"/>
              </w:rPr>
            </w:pPr>
            <w:hyperlink r:id="rId379">
              <w:r>
                <w:rPr>
                  <w:rFonts w:ascii="Arial" w:cs="Arial" w:eastAsia="Arial" w:hAnsi="Arial"/>
                  <w:sz w:val="18"/>
                  <w:szCs w:val="18"/>
                  <w:color w:val="auto"/>
                  <w:w w:val="92"/>
                </w:rPr>
                <w:t>Specimen Tripadvisor, Inc. Common Stock</w:t>
              </w:r>
            </w:hyperlink>
          </w:p>
        </w:tc>
        <w:tc>
          <w:tcPr>
            <w:tcW w:w="540" w:type="dxa"/>
            <w:vAlign w:val="bottom"/>
            <w:gridSpan w:val="12"/>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S-4/A</w:t>
            </w:r>
          </w:p>
        </w:tc>
        <w:tc>
          <w:tcPr>
            <w:tcW w:w="190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333-175828-01</w:t>
            </w:r>
          </w:p>
        </w:tc>
        <w:tc>
          <w:tcPr>
            <w:tcW w:w="8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4.6</w:t>
            </w:r>
          </w:p>
        </w:tc>
        <w:tc>
          <w:tcPr>
            <w:tcW w:w="124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10/24/11</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5" w:lineRule="exact"/>
              <w:rPr>
                <w:rFonts w:ascii="Arial" w:cs="Arial" w:eastAsia="Arial" w:hAnsi="Arial"/>
                <w:sz w:val="18"/>
                <w:szCs w:val="18"/>
                <w:color w:val="auto"/>
                <w:w w:val="91"/>
              </w:rPr>
            </w:pPr>
            <w:hyperlink r:id="rId379">
              <w:r>
                <w:rPr>
                  <w:rFonts w:ascii="Arial" w:cs="Arial" w:eastAsia="Arial" w:hAnsi="Arial"/>
                  <w:sz w:val="18"/>
                  <w:szCs w:val="18"/>
                  <w:color w:val="auto"/>
                  <w:w w:val="91"/>
                </w:rPr>
                <w:t>Certificate</w:t>
              </w:r>
            </w:hyperlink>
          </w:p>
        </w:tc>
        <w:tc>
          <w:tcPr>
            <w:tcW w:w="2940" w:type="dxa"/>
            <w:vAlign w:val="bottom"/>
            <w:gridSpan w:val="23"/>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tcBorders>
              <w:bottom w:val="single" w:sz="8" w:color="0000EE"/>
            </w:tcBorders>
            <w:gridSpan w:val="13"/>
          </w:tcPr>
          <w:p>
            <w:pPr>
              <w:spacing w:after="0"/>
              <w:rPr>
                <w:rFonts w:ascii="Arial" w:cs="Arial" w:eastAsia="Arial" w:hAnsi="Arial"/>
                <w:sz w:val="18"/>
                <w:szCs w:val="18"/>
                <w:color w:val="auto"/>
                <w:w w:val="91"/>
              </w:rPr>
            </w:pPr>
            <w:hyperlink r:id="rId380">
              <w:r>
                <w:rPr>
                  <w:rFonts w:ascii="Arial" w:cs="Arial" w:eastAsia="Arial" w:hAnsi="Arial"/>
                  <w:sz w:val="18"/>
                  <w:szCs w:val="18"/>
                  <w:color w:val="auto"/>
                  <w:w w:val="91"/>
                </w:rPr>
                <w:t>Description of the Registrant’s Securities</w:t>
              </w:r>
            </w:hyperlink>
          </w:p>
        </w:tc>
        <w:tc>
          <w:tcPr>
            <w:tcW w:w="700" w:type="dxa"/>
            <w:vAlign w:val="bottom"/>
            <w:gridSpan w:val="13"/>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4.2</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2/19/20</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EE"/>
            </w:tcBorders>
            <w:gridSpan w:val="25"/>
          </w:tcPr>
          <w:p>
            <w:pPr>
              <w:spacing w:after="0" w:line="195" w:lineRule="exact"/>
              <w:rPr>
                <w:rFonts w:ascii="Arial" w:cs="Arial" w:eastAsia="Arial" w:hAnsi="Arial"/>
                <w:sz w:val="18"/>
                <w:szCs w:val="18"/>
                <w:color w:val="auto"/>
                <w:w w:val="89"/>
              </w:rPr>
            </w:pPr>
            <w:hyperlink r:id="rId380">
              <w:r>
                <w:rPr>
                  <w:rFonts w:ascii="Arial" w:cs="Arial" w:eastAsia="Arial" w:hAnsi="Arial"/>
                  <w:sz w:val="18"/>
                  <w:szCs w:val="18"/>
                  <w:color w:val="auto"/>
                  <w:w w:val="89"/>
                </w:rPr>
                <w:t>Registered Pursuant to Section 12 of the Securities</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5" w:lineRule="exact"/>
              <w:rPr>
                <w:rFonts w:ascii="Arial" w:cs="Arial" w:eastAsia="Arial" w:hAnsi="Arial"/>
                <w:sz w:val="18"/>
                <w:szCs w:val="18"/>
                <w:color w:val="auto"/>
                <w:w w:val="90"/>
              </w:rPr>
            </w:pPr>
            <w:hyperlink r:id="rId380">
              <w:r>
                <w:rPr>
                  <w:rFonts w:ascii="Arial" w:cs="Arial" w:eastAsia="Arial" w:hAnsi="Arial"/>
                  <w:sz w:val="18"/>
                  <w:szCs w:val="18"/>
                  <w:color w:val="auto"/>
                  <w:w w:val="90"/>
                </w:rPr>
                <w:t>Exchange Act of 1934</w:t>
              </w:r>
            </w:hyperlink>
          </w:p>
        </w:tc>
        <w:tc>
          <w:tcPr>
            <w:tcW w:w="2080" w:type="dxa"/>
            <w:vAlign w:val="bottom"/>
            <w:gridSpan w:val="20"/>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tcBorders>
              <w:bottom w:val="single" w:sz="8" w:color="0000EE"/>
            </w:tcBorders>
            <w:gridSpan w:val="23"/>
          </w:tcPr>
          <w:p>
            <w:pPr>
              <w:spacing w:after="0"/>
              <w:rPr>
                <w:rFonts w:ascii="Arial" w:cs="Arial" w:eastAsia="Arial" w:hAnsi="Arial"/>
                <w:sz w:val="18"/>
                <w:szCs w:val="18"/>
                <w:color w:val="auto"/>
                <w:w w:val="91"/>
              </w:rPr>
            </w:pPr>
            <w:hyperlink r:id="rId381">
              <w:r>
                <w:rPr>
                  <w:rFonts w:ascii="Arial" w:cs="Arial" w:eastAsia="Arial" w:hAnsi="Arial"/>
                  <w:sz w:val="18"/>
                  <w:szCs w:val="18"/>
                  <w:color w:val="auto"/>
                  <w:w w:val="91"/>
                </w:rPr>
                <w:t>Indenture, dated July 9, 2020, among Tripadvisor,</w:t>
              </w:r>
            </w:hyperlink>
          </w:p>
        </w:tc>
        <w:tc>
          <w:tcPr>
            <w:tcW w:w="6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4.1</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7/9/20</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bottom w:val="single" w:sz="8" w:color="0000EE"/>
            </w:tcBorders>
            <w:gridSpan w:val="21"/>
          </w:tcPr>
          <w:p>
            <w:pPr>
              <w:spacing w:after="0" w:line="195" w:lineRule="exact"/>
              <w:rPr>
                <w:rFonts w:ascii="Arial" w:cs="Arial" w:eastAsia="Arial" w:hAnsi="Arial"/>
                <w:sz w:val="18"/>
                <w:szCs w:val="18"/>
                <w:color w:val="auto"/>
                <w:w w:val="90"/>
              </w:rPr>
            </w:pPr>
            <w:hyperlink r:id="rId381">
              <w:r>
                <w:rPr>
                  <w:rFonts w:ascii="Arial" w:cs="Arial" w:eastAsia="Arial" w:hAnsi="Arial"/>
                  <w:sz w:val="18"/>
                  <w:szCs w:val="18"/>
                  <w:color w:val="auto"/>
                  <w:w w:val="90"/>
                </w:rPr>
                <w:t>Inc., the guarantors party thereto and U.S. Bank</w:t>
              </w:r>
            </w:hyperlink>
          </w:p>
        </w:tc>
        <w:tc>
          <w:tcPr>
            <w:tcW w:w="2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EE"/>
            </w:tcBorders>
            <w:gridSpan w:val="16"/>
          </w:tcPr>
          <w:p>
            <w:pPr>
              <w:spacing w:after="0" w:line="195" w:lineRule="exact"/>
              <w:rPr>
                <w:rFonts w:ascii="Arial" w:cs="Arial" w:eastAsia="Arial" w:hAnsi="Arial"/>
                <w:sz w:val="18"/>
                <w:szCs w:val="18"/>
                <w:color w:val="auto"/>
                <w:w w:val="88"/>
              </w:rPr>
            </w:pPr>
            <w:hyperlink r:id="rId381">
              <w:r>
                <w:rPr>
                  <w:rFonts w:ascii="Arial" w:cs="Arial" w:eastAsia="Arial" w:hAnsi="Arial"/>
                  <w:sz w:val="18"/>
                  <w:szCs w:val="18"/>
                  <w:color w:val="auto"/>
                  <w:w w:val="88"/>
                </w:rPr>
                <w:t>National Association, as trustee (as successor</w:t>
              </w:r>
            </w:hyperlink>
          </w:p>
        </w:tc>
        <w:tc>
          <w:tcPr>
            <w:tcW w:w="40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24"/>
          </w:tcPr>
          <w:p>
            <w:pPr>
              <w:spacing w:after="0" w:line="195" w:lineRule="exact"/>
              <w:rPr>
                <w:rFonts w:ascii="Arial" w:cs="Arial" w:eastAsia="Arial" w:hAnsi="Arial"/>
                <w:sz w:val="18"/>
                <w:szCs w:val="18"/>
                <w:color w:val="auto"/>
                <w:w w:val="92"/>
              </w:rPr>
            </w:pPr>
            <w:hyperlink r:id="rId381">
              <w:r>
                <w:rPr>
                  <w:rFonts w:ascii="Arial" w:cs="Arial" w:eastAsia="Arial" w:hAnsi="Arial"/>
                  <w:sz w:val="18"/>
                  <w:szCs w:val="18"/>
                  <w:color w:val="auto"/>
                  <w:w w:val="92"/>
                </w:rPr>
                <w:t>trustee to Wilmington Trust, National Association)</w:t>
              </w:r>
            </w:hyperlink>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00" w:type="dxa"/>
            <w:vAlign w:val="bottom"/>
            <w:gridSpan w:val="26"/>
          </w:tcPr>
          <w:p>
            <w:pPr>
              <w:spacing w:after="0"/>
              <w:rPr>
                <w:rFonts w:ascii="Arial" w:cs="Arial" w:eastAsia="Arial" w:hAnsi="Arial"/>
                <w:sz w:val="18"/>
                <w:szCs w:val="18"/>
                <w:color w:val="auto"/>
              </w:rPr>
            </w:pPr>
            <w:hyperlink r:id="rId381">
              <w:r>
                <w:rPr>
                  <w:rFonts w:ascii="Arial" w:cs="Arial" w:eastAsia="Arial" w:hAnsi="Arial"/>
                  <w:sz w:val="18"/>
                  <w:szCs w:val="18"/>
                  <w:color w:val="auto"/>
                </w:rPr>
                <w:t>Form of Senior Note (included in Exhibit 4.1)</w:t>
              </w:r>
            </w:hyperlink>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4.2</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7/9/20</w:t>
            </w:r>
          </w:p>
        </w:tc>
        <w:tc>
          <w:tcPr>
            <w:tcW w:w="10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60" w:type="dxa"/>
            <w:vAlign w:val="bottom"/>
            <w:tcBorders>
              <w:bottom w:val="single" w:sz="8" w:color="0000EE"/>
            </w:tcBorders>
            <w:gridSpan w:val="18"/>
          </w:tcPr>
          <w:p>
            <w:pPr>
              <w:spacing w:after="0"/>
              <w:rPr>
                <w:rFonts w:ascii="Arial" w:cs="Arial" w:eastAsia="Arial" w:hAnsi="Arial"/>
                <w:sz w:val="18"/>
                <w:szCs w:val="18"/>
                <w:color w:val="auto"/>
                <w:w w:val="90"/>
              </w:rPr>
            </w:pPr>
            <w:hyperlink r:id="rId382">
              <w:r>
                <w:rPr>
                  <w:rFonts w:ascii="Arial" w:cs="Arial" w:eastAsia="Arial" w:hAnsi="Arial"/>
                  <w:sz w:val="18"/>
                  <w:szCs w:val="18"/>
                  <w:color w:val="auto"/>
                  <w:w w:val="90"/>
                </w:rPr>
                <w:t>Indenture, dated as of March 25, 2021, by and</w:t>
              </w:r>
            </w:hyperlink>
          </w:p>
        </w:tc>
        <w:tc>
          <w:tcPr>
            <w:tcW w:w="340" w:type="dxa"/>
            <w:vAlign w:val="bottom"/>
            <w:gridSpan w:val="8"/>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4.1</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3/25/21</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EE"/>
            </w:tcBorders>
            <w:gridSpan w:val="16"/>
          </w:tcPr>
          <w:p>
            <w:pPr>
              <w:spacing w:after="0" w:line="195" w:lineRule="exact"/>
              <w:rPr>
                <w:rFonts w:ascii="Arial" w:cs="Arial" w:eastAsia="Arial" w:hAnsi="Arial"/>
                <w:sz w:val="18"/>
                <w:szCs w:val="18"/>
                <w:color w:val="auto"/>
                <w:w w:val="90"/>
              </w:rPr>
            </w:pPr>
            <w:hyperlink r:id="rId382">
              <w:r>
                <w:rPr>
                  <w:rFonts w:ascii="Arial" w:cs="Arial" w:eastAsia="Arial" w:hAnsi="Arial"/>
                  <w:sz w:val="18"/>
                  <w:szCs w:val="18"/>
                  <w:color w:val="auto"/>
                  <w:w w:val="90"/>
                </w:rPr>
                <w:t>among Tripadvisor, Inc., the guarantors party</w:t>
              </w:r>
            </w:hyperlink>
          </w:p>
        </w:tc>
        <w:tc>
          <w:tcPr>
            <w:tcW w:w="40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bottom w:val="single" w:sz="8" w:color="0000EE"/>
            </w:tcBorders>
            <w:gridSpan w:val="20"/>
          </w:tcPr>
          <w:p>
            <w:pPr>
              <w:spacing w:after="0" w:line="195" w:lineRule="exact"/>
              <w:rPr>
                <w:rFonts w:ascii="Arial" w:cs="Arial" w:eastAsia="Arial" w:hAnsi="Arial"/>
                <w:sz w:val="18"/>
                <w:szCs w:val="18"/>
                <w:color w:val="auto"/>
                <w:w w:val="91"/>
              </w:rPr>
            </w:pPr>
            <w:hyperlink r:id="rId382">
              <w:r>
                <w:rPr>
                  <w:rFonts w:ascii="Arial" w:cs="Arial" w:eastAsia="Arial" w:hAnsi="Arial"/>
                  <w:sz w:val="18"/>
                  <w:szCs w:val="18"/>
                  <w:color w:val="auto"/>
                  <w:w w:val="91"/>
                </w:rPr>
                <w:t>thereto and U.S. Bank National Association, as</w:t>
              </w:r>
            </w:hyperlink>
          </w:p>
        </w:tc>
        <w:tc>
          <w:tcPr>
            <w:tcW w:w="2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5" w:lineRule="exact"/>
              <w:rPr>
                <w:rFonts w:ascii="Arial" w:cs="Arial" w:eastAsia="Arial" w:hAnsi="Arial"/>
                <w:sz w:val="18"/>
                <w:szCs w:val="18"/>
                <w:color w:val="auto"/>
                <w:w w:val="83"/>
              </w:rPr>
            </w:pPr>
            <w:hyperlink r:id="rId382">
              <w:r>
                <w:rPr>
                  <w:rFonts w:ascii="Arial" w:cs="Arial" w:eastAsia="Arial" w:hAnsi="Arial"/>
                  <w:sz w:val="18"/>
                  <w:szCs w:val="18"/>
                  <w:color w:val="auto"/>
                  <w:w w:val="83"/>
                </w:rPr>
                <w:t>trustee</w:t>
              </w:r>
            </w:hyperlink>
          </w:p>
        </w:tc>
        <w:tc>
          <w:tcPr>
            <w:tcW w:w="3220" w:type="dxa"/>
            <w:vAlign w:val="bottom"/>
            <w:gridSpan w:val="24"/>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Borders>
              <w:bottom w:val="single" w:sz="8" w:color="0000EE"/>
            </w:tcBorders>
            <w:gridSpan w:val="25"/>
          </w:tcPr>
          <w:p>
            <w:pPr>
              <w:spacing w:after="0"/>
              <w:rPr>
                <w:rFonts w:ascii="Arial" w:cs="Arial" w:eastAsia="Arial" w:hAnsi="Arial"/>
                <w:sz w:val="18"/>
                <w:szCs w:val="18"/>
                <w:color w:val="auto"/>
                <w:w w:val="90"/>
              </w:rPr>
            </w:pPr>
            <w:hyperlink r:id="rId382">
              <w:r>
                <w:rPr>
                  <w:rFonts w:ascii="Arial" w:cs="Arial" w:eastAsia="Arial" w:hAnsi="Arial"/>
                  <w:sz w:val="18"/>
                  <w:szCs w:val="18"/>
                  <w:color w:val="auto"/>
                  <w:w w:val="90"/>
                </w:rPr>
                <w:t>Form of 0.25% Convertible Senior Notes due 2026</w:t>
              </w:r>
            </w:hyperlink>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4.2</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3/25/21</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bottom w:val="single" w:sz="8" w:color="0000EE"/>
            </w:tcBorders>
            <w:gridSpan w:val="9"/>
          </w:tcPr>
          <w:p>
            <w:pPr>
              <w:spacing w:after="0" w:line="195" w:lineRule="exact"/>
              <w:rPr>
                <w:rFonts w:ascii="Arial" w:cs="Arial" w:eastAsia="Arial" w:hAnsi="Arial"/>
                <w:sz w:val="18"/>
                <w:szCs w:val="18"/>
                <w:color w:val="auto"/>
                <w:w w:val="93"/>
              </w:rPr>
            </w:pPr>
            <w:hyperlink r:id="rId382">
              <w:r>
                <w:rPr>
                  <w:rFonts w:ascii="Arial" w:cs="Arial" w:eastAsia="Arial" w:hAnsi="Arial"/>
                  <w:sz w:val="18"/>
                  <w:szCs w:val="18"/>
                  <w:color w:val="auto"/>
                  <w:w w:val="93"/>
                </w:rPr>
                <w:t>(included as Exhibit A to Exhibit 4.1)</w:t>
              </w:r>
            </w:hyperlink>
          </w:p>
        </w:tc>
        <w:tc>
          <w:tcPr>
            <w:tcW w:w="98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tcBorders>
              <w:bottom w:val="single" w:sz="8" w:color="0000EE"/>
            </w:tcBorders>
            <w:gridSpan w:val="10"/>
          </w:tcPr>
          <w:p>
            <w:pPr>
              <w:spacing w:after="0"/>
              <w:rPr>
                <w:rFonts w:ascii="Arial" w:cs="Arial" w:eastAsia="Arial" w:hAnsi="Arial"/>
                <w:sz w:val="18"/>
                <w:szCs w:val="18"/>
                <w:color w:val="auto"/>
                <w:w w:val="90"/>
              </w:rPr>
            </w:pPr>
            <w:hyperlink r:id="rId383">
              <w:r>
                <w:rPr>
                  <w:rFonts w:ascii="Arial" w:cs="Arial" w:eastAsia="Arial" w:hAnsi="Arial"/>
                  <w:sz w:val="18"/>
                  <w:szCs w:val="18"/>
                  <w:color w:val="auto"/>
                  <w:w w:val="90"/>
                </w:rPr>
                <w:t>Governance Agreement, by and among</w:t>
              </w:r>
            </w:hyperlink>
          </w:p>
        </w:tc>
        <w:tc>
          <w:tcPr>
            <w:tcW w:w="840" w:type="dxa"/>
            <w:vAlign w:val="bottom"/>
            <w:gridSpan w:val="16"/>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10.1</w:t>
            </w:r>
          </w:p>
        </w:tc>
        <w:tc>
          <w:tcPr>
            <w:tcW w:w="124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12/27/11</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EE"/>
            </w:tcBorders>
            <w:gridSpan w:val="22"/>
          </w:tcPr>
          <w:p>
            <w:pPr>
              <w:spacing w:after="0" w:line="195" w:lineRule="exact"/>
              <w:rPr>
                <w:rFonts w:ascii="Arial" w:cs="Arial" w:eastAsia="Arial" w:hAnsi="Arial"/>
                <w:sz w:val="18"/>
                <w:szCs w:val="18"/>
                <w:color w:val="auto"/>
                <w:w w:val="93"/>
              </w:rPr>
            </w:pPr>
            <w:hyperlink r:id="rId383">
              <w:r>
                <w:rPr>
                  <w:rFonts w:ascii="Arial" w:cs="Arial" w:eastAsia="Arial" w:hAnsi="Arial"/>
                  <w:sz w:val="18"/>
                  <w:szCs w:val="18"/>
                  <w:color w:val="auto"/>
                  <w:w w:val="93"/>
                </w:rPr>
                <w:t>Tripadvisor, Inc., Liberty Interactive Corporation</w:t>
              </w:r>
            </w:hyperlink>
          </w:p>
        </w:tc>
        <w:tc>
          <w:tcPr>
            <w:tcW w:w="1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26"/>
          </w:tcPr>
          <w:p>
            <w:pPr>
              <w:spacing w:after="0" w:line="195" w:lineRule="exact"/>
              <w:rPr>
                <w:rFonts w:ascii="Arial" w:cs="Arial" w:eastAsia="Arial" w:hAnsi="Arial"/>
                <w:sz w:val="18"/>
                <w:szCs w:val="18"/>
                <w:color w:val="auto"/>
                <w:w w:val="95"/>
              </w:rPr>
            </w:pPr>
            <w:hyperlink r:id="rId383">
              <w:r>
                <w:rPr>
                  <w:rFonts w:ascii="Arial" w:cs="Arial" w:eastAsia="Arial" w:hAnsi="Arial"/>
                  <w:sz w:val="18"/>
                  <w:szCs w:val="18"/>
                  <w:color w:val="auto"/>
                  <w:w w:val="95"/>
                </w:rPr>
                <w:t>and Barry Diller, dated as of December 20, 2011</w:t>
              </w:r>
            </w:hyperlink>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Borders>
              <w:top w:val="single" w:sz="8" w:color="0000EE"/>
              <w:bottom w:val="single" w:sz="8" w:color="0000EE"/>
            </w:tcBorders>
            <w:gridSpan w:val="12"/>
          </w:tcPr>
          <w:p>
            <w:pPr>
              <w:spacing w:after="0"/>
              <w:rPr>
                <w:rFonts w:ascii="Arial" w:cs="Arial" w:eastAsia="Arial" w:hAnsi="Arial"/>
                <w:sz w:val="18"/>
                <w:szCs w:val="18"/>
                <w:color w:val="auto"/>
                <w:w w:val="90"/>
              </w:rPr>
            </w:pPr>
            <w:hyperlink r:id="rId384">
              <w:r>
                <w:rPr>
                  <w:rFonts w:ascii="Arial" w:cs="Arial" w:eastAsia="Arial" w:hAnsi="Arial"/>
                  <w:sz w:val="18"/>
                  <w:szCs w:val="18"/>
                  <w:color w:val="auto"/>
                  <w:w w:val="90"/>
                </w:rPr>
                <w:t>Tax Sharing Agreement by and between</w:t>
              </w:r>
            </w:hyperlink>
          </w:p>
        </w:tc>
        <w:tc>
          <w:tcPr>
            <w:tcW w:w="540" w:type="dxa"/>
            <w:vAlign w:val="bottom"/>
            <w:tcBorders>
              <w:top w:val="single" w:sz="8" w:color="0000EE"/>
            </w:tcBorders>
            <w:gridSpan w:val="9"/>
          </w:tcPr>
          <w:p>
            <w:pPr>
              <w:spacing w:after="0"/>
              <w:rPr>
                <w:sz w:val="19"/>
                <w:szCs w:val="19"/>
                <w:color w:val="auto"/>
              </w:rPr>
            </w:pPr>
          </w:p>
        </w:tc>
        <w:tc>
          <w:tcPr>
            <w:tcW w:w="220" w:type="dxa"/>
            <w:vAlign w:val="bottom"/>
            <w:gridSpan w:val="5"/>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10.2</w:t>
            </w:r>
          </w:p>
        </w:tc>
        <w:tc>
          <w:tcPr>
            <w:tcW w:w="124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12/27/11</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EE"/>
            </w:tcBorders>
            <w:gridSpan w:val="19"/>
          </w:tcPr>
          <w:p>
            <w:pPr>
              <w:spacing w:after="0" w:line="195" w:lineRule="exact"/>
              <w:rPr>
                <w:rFonts w:ascii="Arial" w:cs="Arial" w:eastAsia="Arial" w:hAnsi="Arial"/>
                <w:sz w:val="18"/>
                <w:szCs w:val="18"/>
                <w:color w:val="auto"/>
                <w:w w:val="91"/>
              </w:rPr>
            </w:pPr>
            <w:hyperlink r:id="rId384">
              <w:r>
                <w:rPr>
                  <w:rFonts w:ascii="Arial" w:cs="Arial" w:eastAsia="Arial" w:hAnsi="Arial"/>
                  <w:sz w:val="18"/>
                  <w:szCs w:val="18"/>
                  <w:color w:val="auto"/>
                  <w:w w:val="91"/>
                </w:rPr>
                <w:t>Tripadvisor, Inc. and Expedia, Inc., dated as of</w:t>
              </w:r>
            </w:hyperlink>
          </w:p>
        </w:tc>
        <w:tc>
          <w:tcPr>
            <w:tcW w:w="30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26"/>
          </w:tcPr>
          <w:p>
            <w:pPr>
              <w:spacing w:after="0" w:line="195" w:lineRule="exact"/>
              <w:rPr>
                <w:rFonts w:ascii="Arial" w:cs="Arial" w:eastAsia="Arial" w:hAnsi="Arial"/>
                <w:sz w:val="18"/>
                <w:szCs w:val="18"/>
                <w:color w:val="auto"/>
              </w:rPr>
            </w:pPr>
            <w:hyperlink r:id="rId384">
              <w:r>
                <w:rPr>
                  <w:rFonts w:ascii="Arial" w:cs="Arial" w:eastAsia="Arial" w:hAnsi="Arial"/>
                  <w:sz w:val="18"/>
                  <w:szCs w:val="18"/>
                  <w:color w:val="auto"/>
                </w:rPr>
                <w:t>December 20, 2011</w:t>
              </w:r>
            </w:hyperlink>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tcBorders>
              <w:bottom w:val="single" w:sz="8" w:color="0000EE"/>
            </w:tcBorders>
            <w:gridSpan w:val="17"/>
          </w:tcPr>
          <w:p>
            <w:pPr>
              <w:spacing w:after="0"/>
              <w:rPr>
                <w:rFonts w:ascii="Arial" w:cs="Arial" w:eastAsia="Arial" w:hAnsi="Arial"/>
                <w:sz w:val="18"/>
                <w:szCs w:val="18"/>
                <w:color w:val="auto"/>
                <w:w w:val="90"/>
              </w:rPr>
            </w:pPr>
            <w:hyperlink r:id="rId385">
              <w:r>
                <w:rPr>
                  <w:rFonts w:ascii="Arial" w:cs="Arial" w:eastAsia="Arial" w:hAnsi="Arial"/>
                  <w:sz w:val="18"/>
                  <w:szCs w:val="18"/>
                  <w:color w:val="auto"/>
                  <w:w w:val="90"/>
                </w:rPr>
                <w:t>Amended and Restated Tripadvisor, Inc. 2011</w:t>
              </w:r>
            </w:hyperlink>
          </w:p>
        </w:tc>
        <w:tc>
          <w:tcPr>
            <w:tcW w:w="360" w:type="dxa"/>
            <w:vAlign w:val="bottom"/>
            <w:gridSpan w:val="9"/>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10.1</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11/8/16</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26"/>
          </w:tcPr>
          <w:p>
            <w:pPr>
              <w:spacing w:after="0" w:line="195" w:lineRule="exact"/>
              <w:rPr>
                <w:rFonts w:ascii="Arial" w:cs="Arial" w:eastAsia="Arial" w:hAnsi="Arial"/>
                <w:sz w:val="18"/>
                <w:szCs w:val="18"/>
                <w:color w:val="auto"/>
              </w:rPr>
            </w:pPr>
            <w:hyperlink r:id="rId385">
              <w:r>
                <w:rPr>
                  <w:rFonts w:ascii="Arial" w:cs="Arial" w:eastAsia="Arial" w:hAnsi="Arial"/>
                  <w:sz w:val="18"/>
                  <w:szCs w:val="18"/>
                  <w:color w:val="auto"/>
                </w:rPr>
                <w:t>Stock and Annual Incentive Plan</w:t>
              </w:r>
            </w:hyperlink>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gridSpan w:val="7"/>
            <w:shd w:val="clear" w:color="auto" w:fill="0000EE"/>
          </w:tcPr>
          <w:p>
            <w:pPr>
              <w:spacing w:after="0" w:line="20" w:lineRule="exact"/>
              <w:rPr>
                <w:sz w:val="1"/>
                <w:szCs w:val="1"/>
                <w:color w:val="auto"/>
              </w:rPr>
            </w:pPr>
          </w:p>
        </w:tc>
        <w:tc>
          <w:tcPr>
            <w:tcW w:w="1340" w:type="dxa"/>
            <w:vAlign w:val="bottom"/>
            <w:gridSpan w:val="1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Borders>
              <w:bottom w:val="single" w:sz="8" w:color="0000EE"/>
            </w:tcBorders>
            <w:gridSpan w:val="25"/>
          </w:tcPr>
          <w:p>
            <w:pPr>
              <w:spacing w:after="0"/>
              <w:rPr>
                <w:rFonts w:ascii="Arial" w:cs="Arial" w:eastAsia="Arial" w:hAnsi="Arial"/>
                <w:sz w:val="18"/>
                <w:szCs w:val="18"/>
                <w:color w:val="auto"/>
                <w:w w:val="92"/>
              </w:rPr>
            </w:pPr>
            <w:hyperlink r:id="rId386">
              <w:r>
                <w:rPr>
                  <w:rFonts w:ascii="Arial" w:cs="Arial" w:eastAsia="Arial" w:hAnsi="Arial"/>
                  <w:sz w:val="18"/>
                  <w:szCs w:val="18"/>
                  <w:color w:val="auto"/>
                  <w:w w:val="92"/>
                </w:rPr>
                <w:t>Tripadvisor, Inc. 2018 Stock and Annual Incentive</w:t>
              </w:r>
            </w:hyperlink>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46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001-35362</w:t>
            </w:r>
          </w:p>
        </w:tc>
        <w:tc>
          <w:tcPr>
            <w:tcW w:w="440" w:type="dxa"/>
            <w:vAlign w:val="bottom"/>
          </w:tcPr>
          <w:p>
            <w:pPr>
              <w:spacing w:after="0"/>
              <w:rPr>
                <w:sz w:val="19"/>
                <w:szCs w:val="19"/>
                <w:color w:val="auto"/>
              </w:rPr>
            </w:pPr>
          </w:p>
        </w:tc>
        <w:tc>
          <w:tcPr>
            <w:tcW w:w="8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10.1</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8/1/18</w:t>
            </w:r>
          </w:p>
        </w:tc>
        <w:tc>
          <w:tcPr>
            <w:tcW w:w="100" w:type="dxa"/>
            <w:vAlign w:val="bottom"/>
          </w:tcPr>
          <w:p>
            <w:pPr>
              <w:spacing w:after="0"/>
              <w:rPr>
                <w:sz w:val="19"/>
                <w:szCs w:val="19"/>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26"/>
          </w:tcPr>
          <w:p>
            <w:pPr>
              <w:spacing w:after="0" w:line="195" w:lineRule="exact"/>
              <w:rPr>
                <w:rFonts w:ascii="Arial" w:cs="Arial" w:eastAsia="Arial" w:hAnsi="Arial"/>
                <w:sz w:val="18"/>
                <w:szCs w:val="18"/>
                <w:color w:val="auto"/>
              </w:rPr>
            </w:pPr>
            <w:hyperlink r:id="rId386">
              <w:r>
                <w:rPr>
                  <w:rFonts w:ascii="Arial" w:cs="Arial" w:eastAsia="Arial" w:hAnsi="Arial"/>
                  <w:sz w:val="18"/>
                  <w:szCs w:val="18"/>
                  <w:color w:val="auto"/>
                </w:rPr>
                <w:t>Plan</w:t>
              </w:r>
            </w:hyperlink>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92"/>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3620" w:type="dxa"/>
            <w:vAlign w:val="bottom"/>
            <w:tcBorders>
              <w:bottom w:val="single" w:sz="8" w:color="0000EE"/>
            </w:tcBorders>
            <w:gridSpan w:val="27"/>
          </w:tcPr>
          <w:p>
            <w:pPr>
              <w:spacing w:after="0"/>
              <w:rPr>
                <w:rFonts w:ascii="Arial" w:cs="Arial" w:eastAsia="Arial" w:hAnsi="Arial"/>
                <w:sz w:val="18"/>
                <w:szCs w:val="18"/>
                <w:color w:val="auto"/>
                <w:w w:val="92"/>
              </w:rPr>
            </w:pPr>
            <w:hyperlink r:id="rId389">
              <w:r>
                <w:rPr>
                  <w:rFonts w:ascii="Arial" w:cs="Arial" w:eastAsia="Arial" w:hAnsi="Arial"/>
                  <w:sz w:val="18"/>
                  <w:szCs w:val="18"/>
                  <w:color w:val="auto"/>
                  <w:w w:val="92"/>
                </w:rPr>
                <w:t>Tripadvisor, Inc. Deferred Compensation Plan for</w:t>
              </w:r>
            </w:hyperlink>
          </w:p>
        </w:tc>
        <w:tc>
          <w:tcPr>
            <w:tcW w:w="6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20" w:type="dxa"/>
            <w:vAlign w:val="bottom"/>
            <w:tcBorders>
              <w:bottom w:val="single" w:sz="8" w:color="0000EE"/>
            </w:tcBorders>
            <w:gridSpan w:val="7"/>
          </w:tcPr>
          <w:p>
            <w:pPr>
              <w:spacing w:after="0" w:line="195" w:lineRule="exact"/>
              <w:rPr>
                <w:rFonts w:ascii="Arial" w:cs="Arial" w:eastAsia="Arial" w:hAnsi="Arial"/>
                <w:sz w:val="18"/>
                <w:szCs w:val="18"/>
                <w:color w:val="auto"/>
                <w:w w:val="91"/>
              </w:rPr>
            </w:pPr>
            <w:hyperlink r:id="rId389">
              <w:r>
                <w:rPr>
                  <w:rFonts w:ascii="Arial" w:cs="Arial" w:eastAsia="Arial" w:hAnsi="Arial"/>
                  <w:sz w:val="18"/>
                  <w:szCs w:val="18"/>
                  <w:color w:val="auto"/>
                  <w:w w:val="91"/>
                </w:rPr>
                <w:t>Non-Employee Directors</w:t>
              </w:r>
            </w:hyperlink>
          </w:p>
        </w:tc>
        <w:tc>
          <w:tcPr>
            <w:tcW w:w="1860" w:type="dxa"/>
            <w:vAlign w:val="bottom"/>
            <w:gridSpan w:val="23"/>
          </w:tcPr>
          <w:p>
            <w:pPr>
              <w:spacing w:after="0"/>
              <w:rPr>
                <w:sz w:val="17"/>
                <w:szCs w:val="17"/>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3420" w:type="dxa"/>
            <w:vAlign w:val="bottom"/>
            <w:tcBorders>
              <w:bottom w:val="single" w:sz="8" w:color="0000EE"/>
            </w:tcBorders>
            <w:gridSpan w:val="20"/>
          </w:tcPr>
          <w:p>
            <w:pPr>
              <w:spacing w:after="0"/>
              <w:rPr>
                <w:rFonts w:ascii="Arial" w:cs="Arial" w:eastAsia="Arial" w:hAnsi="Arial"/>
                <w:sz w:val="18"/>
                <w:szCs w:val="18"/>
                <w:color w:val="auto"/>
                <w:w w:val="91"/>
              </w:rPr>
            </w:pPr>
            <w:hyperlink r:id="rId390">
              <w:r>
                <w:rPr>
                  <w:rFonts w:ascii="Arial" w:cs="Arial" w:eastAsia="Arial" w:hAnsi="Arial"/>
                  <w:sz w:val="18"/>
                  <w:szCs w:val="18"/>
                  <w:color w:val="auto"/>
                  <w:w w:val="91"/>
                </w:rPr>
                <w:t>Corporate Headquarters Lease with Normandy</w:t>
              </w:r>
            </w:hyperlink>
          </w:p>
        </w:tc>
        <w:tc>
          <w:tcPr>
            <w:tcW w:w="260" w:type="dxa"/>
            <w:vAlign w:val="bottom"/>
            <w:gridSpan w:val="10"/>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460" w:type="dxa"/>
            <w:vAlign w:val="bottom"/>
            <w:tcBorders>
              <w:bottom w:val="single" w:sz="8" w:color="0000EE"/>
            </w:tcBorders>
            <w:gridSpan w:val="22"/>
          </w:tcPr>
          <w:p>
            <w:pPr>
              <w:spacing w:after="0" w:line="195" w:lineRule="exact"/>
              <w:rPr>
                <w:rFonts w:ascii="Arial" w:cs="Arial" w:eastAsia="Arial" w:hAnsi="Arial"/>
                <w:sz w:val="18"/>
                <w:szCs w:val="18"/>
                <w:color w:val="auto"/>
                <w:w w:val="94"/>
              </w:rPr>
            </w:pPr>
            <w:hyperlink r:id="rId390">
              <w:r>
                <w:rPr>
                  <w:rFonts w:ascii="Arial" w:cs="Arial" w:eastAsia="Arial" w:hAnsi="Arial"/>
                  <w:sz w:val="18"/>
                  <w:szCs w:val="18"/>
                  <w:color w:val="auto"/>
                  <w:w w:val="94"/>
                </w:rPr>
                <w:t>Gap-V Needham Building 3, LLC, as landlord,</w:t>
              </w:r>
            </w:hyperlink>
          </w:p>
        </w:tc>
        <w:tc>
          <w:tcPr>
            <w:tcW w:w="22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40" w:type="dxa"/>
            <w:vAlign w:val="bottom"/>
            <w:tcBorders>
              <w:bottom w:val="single" w:sz="8" w:color="0000EE"/>
            </w:tcBorders>
            <w:gridSpan w:val="8"/>
          </w:tcPr>
          <w:p>
            <w:pPr>
              <w:spacing w:after="0" w:line="195" w:lineRule="exact"/>
              <w:rPr>
                <w:rFonts w:ascii="Arial" w:cs="Arial" w:eastAsia="Arial" w:hAnsi="Arial"/>
                <w:sz w:val="18"/>
                <w:szCs w:val="18"/>
                <w:color w:val="auto"/>
                <w:w w:val="87"/>
              </w:rPr>
            </w:pPr>
            <w:hyperlink r:id="rId390">
              <w:r>
                <w:rPr>
                  <w:rFonts w:ascii="Arial" w:cs="Arial" w:eastAsia="Arial" w:hAnsi="Arial"/>
                  <w:sz w:val="18"/>
                  <w:szCs w:val="18"/>
                  <w:color w:val="auto"/>
                  <w:w w:val="87"/>
                </w:rPr>
                <w:t>dated as of June 20, 2013</w:t>
              </w:r>
            </w:hyperlink>
          </w:p>
        </w:tc>
        <w:tc>
          <w:tcPr>
            <w:tcW w:w="1840" w:type="dxa"/>
            <w:vAlign w:val="bottom"/>
            <w:gridSpan w:val="22"/>
          </w:tcPr>
          <w:p>
            <w:pPr>
              <w:spacing w:after="0"/>
              <w:rPr>
                <w:sz w:val="17"/>
                <w:szCs w:val="17"/>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3660" w:type="dxa"/>
            <w:vAlign w:val="bottom"/>
            <w:tcBorders>
              <w:bottom w:val="single" w:sz="8" w:color="0000EE"/>
            </w:tcBorders>
            <w:gridSpan w:val="29"/>
          </w:tcPr>
          <w:p>
            <w:pPr>
              <w:spacing w:after="0"/>
              <w:rPr>
                <w:rFonts w:ascii="Arial" w:cs="Arial" w:eastAsia="Arial" w:hAnsi="Arial"/>
                <w:sz w:val="18"/>
                <w:szCs w:val="18"/>
                <w:color w:val="auto"/>
                <w:w w:val="90"/>
              </w:rPr>
            </w:pPr>
            <w:hyperlink r:id="rId391">
              <w:r>
                <w:rPr>
                  <w:rFonts w:ascii="Arial" w:cs="Arial" w:eastAsia="Arial" w:hAnsi="Arial"/>
                  <w:sz w:val="18"/>
                  <w:szCs w:val="18"/>
                  <w:color w:val="auto"/>
                  <w:w w:val="90"/>
                </w:rPr>
                <w:t>Guaranty dated June 20, 2013 by Tripadvisor, Inc.</w:t>
              </w:r>
            </w:hyperlink>
          </w:p>
        </w:tc>
        <w:tc>
          <w:tcPr>
            <w:tcW w:w="20" w:type="dxa"/>
            <w:vAlign w:val="bottom"/>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340" w:type="dxa"/>
            <w:vAlign w:val="bottom"/>
            <w:tcBorders>
              <w:bottom w:val="single" w:sz="8" w:color="0000EE"/>
            </w:tcBorders>
            <w:gridSpan w:val="17"/>
          </w:tcPr>
          <w:p>
            <w:pPr>
              <w:spacing w:after="0" w:line="195" w:lineRule="exact"/>
              <w:rPr>
                <w:rFonts w:ascii="Arial" w:cs="Arial" w:eastAsia="Arial" w:hAnsi="Arial"/>
                <w:sz w:val="18"/>
                <w:szCs w:val="18"/>
                <w:color w:val="auto"/>
                <w:w w:val="92"/>
              </w:rPr>
            </w:pPr>
            <w:hyperlink r:id="rId391">
              <w:r>
                <w:rPr>
                  <w:rFonts w:ascii="Arial" w:cs="Arial" w:eastAsia="Arial" w:hAnsi="Arial"/>
                  <w:sz w:val="18"/>
                  <w:szCs w:val="18"/>
                  <w:color w:val="auto"/>
                  <w:w w:val="92"/>
                </w:rPr>
                <w:t>for the benefit of Normandy Gap-V Needham</w:t>
              </w:r>
            </w:hyperlink>
          </w:p>
        </w:tc>
        <w:tc>
          <w:tcPr>
            <w:tcW w:w="340" w:type="dxa"/>
            <w:vAlign w:val="bottom"/>
            <w:gridSpan w:val="1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gridSpan w:val="30"/>
          </w:tcPr>
          <w:p>
            <w:pPr>
              <w:spacing w:after="0" w:line="195" w:lineRule="exact"/>
              <w:rPr>
                <w:rFonts w:ascii="Arial" w:cs="Arial" w:eastAsia="Arial" w:hAnsi="Arial"/>
                <w:sz w:val="18"/>
                <w:szCs w:val="18"/>
                <w:color w:val="auto"/>
              </w:rPr>
            </w:pPr>
            <w:hyperlink r:id="rId391">
              <w:r>
                <w:rPr>
                  <w:rFonts w:ascii="Arial" w:cs="Arial" w:eastAsia="Arial" w:hAnsi="Arial"/>
                  <w:sz w:val="18"/>
                  <w:szCs w:val="18"/>
                  <w:color w:val="auto"/>
                </w:rPr>
                <w:t>Building 3, LLC, as landlord</w:t>
              </w:r>
            </w:hyperlink>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3680" w:type="dxa"/>
            <w:vAlign w:val="bottom"/>
            <w:tcBorders>
              <w:bottom w:val="single" w:sz="8" w:color="0000EE"/>
            </w:tcBorders>
            <w:gridSpan w:val="30"/>
          </w:tcPr>
          <w:p>
            <w:pPr>
              <w:spacing w:after="0"/>
              <w:rPr>
                <w:rFonts w:ascii="Arial" w:cs="Arial" w:eastAsia="Arial" w:hAnsi="Arial"/>
                <w:sz w:val="18"/>
                <w:szCs w:val="18"/>
                <w:color w:val="auto"/>
                <w:w w:val="91"/>
              </w:rPr>
            </w:pPr>
            <w:hyperlink r:id="rId392">
              <w:r>
                <w:rPr>
                  <w:rFonts w:ascii="Arial" w:cs="Arial" w:eastAsia="Arial" w:hAnsi="Arial"/>
                  <w:sz w:val="18"/>
                  <w:szCs w:val="18"/>
                  <w:color w:val="auto"/>
                  <w:w w:val="91"/>
                </w:rPr>
                <w:t>Employment Agreement between Tripadvisor LLC</w:t>
              </w:r>
            </w:hyperlink>
          </w:p>
        </w:tc>
      </w:tr>
      <w:tr>
        <w:trPr>
          <w:trHeight w:val="196"/>
        </w:trPr>
        <w:tc>
          <w:tcPr>
            <w:tcW w:w="1100" w:type="dxa"/>
            <w:vAlign w:val="bottom"/>
          </w:tcPr>
          <w:p>
            <w:pPr>
              <w:spacing w:after="0"/>
              <w:rPr>
                <w:sz w:val="17"/>
                <w:szCs w:val="17"/>
                <w:color w:val="auto"/>
              </w:rPr>
            </w:pPr>
          </w:p>
        </w:tc>
        <w:tc>
          <w:tcPr>
            <w:tcW w:w="3380" w:type="dxa"/>
            <w:vAlign w:val="bottom"/>
            <w:tcBorders>
              <w:bottom w:val="single" w:sz="8" w:color="0000EE"/>
            </w:tcBorders>
            <w:gridSpan w:val="19"/>
          </w:tcPr>
          <w:p>
            <w:pPr>
              <w:spacing w:after="0" w:line="195" w:lineRule="exact"/>
              <w:rPr>
                <w:rFonts w:ascii="Arial" w:cs="Arial" w:eastAsia="Arial" w:hAnsi="Arial"/>
                <w:sz w:val="18"/>
                <w:szCs w:val="18"/>
                <w:color w:val="auto"/>
                <w:w w:val="91"/>
              </w:rPr>
            </w:pPr>
            <w:hyperlink r:id="rId392">
              <w:r>
                <w:rPr>
                  <w:rFonts w:ascii="Arial" w:cs="Arial" w:eastAsia="Arial" w:hAnsi="Arial"/>
                  <w:sz w:val="18"/>
                  <w:szCs w:val="18"/>
                  <w:color w:val="auto"/>
                  <w:w w:val="91"/>
                </w:rPr>
                <w:t>and Seth Kalvert, effective as of May 19, 2016</w:t>
              </w:r>
            </w:hyperlink>
          </w:p>
        </w:tc>
        <w:tc>
          <w:tcPr>
            <w:tcW w:w="300" w:type="dxa"/>
            <w:vAlign w:val="bottom"/>
            <w:gridSpan w:val="11"/>
          </w:tcPr>
          <w:p>
            <w:pPr>
              <w:spacing w:after="0"/>
              <w:rPr>
                <w:sz w:val="17"/>
                <w:szCs w:val="17"/>
                <w:color w:val="auto"/>
              </w:rPr>
            </w:pPr>
          </w:p>
        </w:tc>
      </w:tr>
      <w:tr>
        <w:trPr>
          <w:trHeight w:val="438"/>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3680" w:type="dxa"/>
            <w:vAlign w:val="bottom"/>
            <w:tcBorders>
              <w:bottom w:val="single" w:sz="8" w:color="0000EE"/>
            </w:tcBorders>
            <w:gridSpan w:val="30"/>
          </w:tcPr>
          <w:p>
            <w:pPr>
              <w:spacing w:after="0"/>
              <w:rPr>
                <w:rFonts w:ascii="Arial" w:cs="Arial" w:eastAsia="Arial" w:hAnsi="Arial"/>
                <w:sz w:val="18"/>
                <w:szCs w:val="18"/>
                <w:color w:val="auto"/>
                <w:w w:val="94"/>
              </w:rPr>
            </w:pPr>
            <w:hyperlink r:id="rId393">
              <w:r>
                <w:rPr>
                  <w:rFonts w:ascii="Arial" w:cs="Arial" w:eastAsia="Arial" w:hAnsi="Arial"/>
                  <w:sz w:val="18"/>
                  <w:szCs w:val="18"/>
                  <w:color w:val="auto"/>
                  <w:w w:val="94"/>
                </w:rPr>
                <w:t>Amendment to Employment Agreement between</w:t>
              </w:r>
            </w:hyperlink>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30"/>
          </w:tcPr>
          <w:p>
            <w:pPr>
              <w:spacing w:after="0" w:line="195" w:lineRule="exact"/>
              <w:rPr>
                <w:rFonts w:ascii="Arial" w:cs="Arial" w:eastAsia="Arial" w:hAnsi="Arial"/>
                <w:sz w:val="18"/>
                <w:szCs w:val="18"/>
                <w:color w:val="auto"/>
              </w:rPr>
            </w:pPr>
            <w:hyperlink r:id="rId393">
              <w:r>
                <w:rPr>
                  <w:rFonts w:ascii="Arial" w:cs="Arial" w:eastAsia="Arial" w:hAnsi="Arial"/>
                  <w:sz w:val="18"/>
                  <w:szCs w:val="18"/>
                  <w:color w:val="auto"/>
                </w:rPr>
                <w:t>Tripadvisor LLC and Seth Kalvert, dated as of</w:t>
              </w:r>
            </w:hyperlink>
          </w:p>
        </w:tc>
      </w:tr>
      <w:tr>
        <w:trPr>
          <w:trHeight w:val="196"/>
        </w:trPr>
        <w:tc>
          <w:tcPr>
            <w:tcW w:w="1100" w:type="dxa"/>
            <w:vAlign w:val="bottom"/>
          </w:tcPr>
          <w:p>
            <w:pPr>
              <w:spacing w:after="0"/>
              <w:rPr>
                <w:sz w:val="17"/>
                <w:szCs w:val="17"/>
                <w:color w:val="auto"/>
              </w:rPr>
            </w:pPr>
          </w:p>
        </w:tc>
        <w:tc>
          <w:tcPr>
            <w:tcW w:w="3680" w:type="dxa"/>
            <w:vAlign w:val="bottom"/>
            <w:gridSpan w:val="30"/>
          </w:tcPr>
          <w:p>
            <w:pPr>
              <w:spacing w:after="0" w:line="195" w:lineRule="exact"/>
              <w:rPr>
                <w:rFonts w:ascii="Arial" w:cs="Arial" w:eastAsia="Arial" w:hAnsi="Arial"/>
                <w:sz w:val="18"/>
                <w:szCs w:val="18"/>
                <w:color w:val="auto"/>
              </w:rPr>
            </w:pPr>
            <w:hyperlink r:id="rId393">
              <w:r>
                <w:rPr>
                  <w:rFonts w:ascii="Arial" w:cs="Arial" w:eastAsia="Arial" w:hAnsi="Arial"/>
                  <w:sz w:val="18"/>
                  <w:szCs w:val="18"/>
                  <w:color w:val="auto"/>
                </w:rPr>
                <w:t>February 19, 2018</w:t>
              </w:r>
            </w:hyperlink>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3680" w:type="dxa"/>
            <w:vAlign w:val="bottom"/>
            <w:tcBorders>
              <w:bottom w:val="single" w:sz="8" w:color="0000EE"/>
            </w:tcBorders>
            <w:gridSpan w:val="30"/>
          </w:tcPr>
          <w:p>
            <w:pPr>
              <w:spacing w:after="0"/>
              <w:rPr>
                <w:rFonts w:ascii="Arial" w:cs="Arial" w:eastAsia="Arial" w:hAnsi="Arial"/>
                <w:sz w:val="18"/>
                <w:szCs w:val="18"/>
                <w:color w:val="auto"/>
                <w:w w:val="91"/>
              </w:rPr>
            </w:pPr>
            <w:hyperlink r:id="rId394">
              <w:r>
                <w:rPr>
                  <w:rFonts w:ascii="Arial" w:cs="Arial" w:eastAsia="Arial" w:hAnsi="Arial"/>
                  <w:sz w:val="18"/>
                  <w:szCs w:val="18"/>
                  <w:color w:val="auto"/>
                  <w:w w:val="91"/>
                </w:rPr>
                <w:t>Employment Agreement between Tripadvisor LLC</w:t>
              </w:r>
            </w:hyperlink>
          </w:p>
        </w:tc>
      </w:tr>
      <w:tr>
        <w:trPr>
          <w:trHeight w:val="196"/>
        </w:trPr>
        <w:tc>
          <w:tcPr>
            <w:tcW w:w="1100" w:type="dxa"/>
            <w:vAlign w:val="bottom"/>
          </w:tcPr>
          <w:p>
            <w:pPr>
              <w:spacing w:after="0"/>
              <w:rPr>
                <w:sz w:val="17"/>
                <w:szCs w:val="17"/>
                <w:color w:val="auto"/>
              </w:rPr>
            </w:pPr>
          </w:p>
        </w:tc>
        <w:tc>
          <w:tcPr>
            <w:tcW w:w="3680" w:type="dxa"/>
            <w:vAlign w:val="bottom"/>
            <w:gridSpan w:val="30"/>
          </w:tcPr>
          <w:p>
            <w:pPr>
              <w:spacing w:after="0" w:line="195" w:lineRule="exact"/>
              <w:rPr>
                <w:rFonts w:ascii="Arial" w:cs="Arial" w:eastAsia="Arial" w:hAnsi="Arial"/>
                <w:sz w:val="18"/>
                <w:szCs w:val="18"/>
                <w:color w:val="auto"/>
                <w:w w:val="99"/>
              </w:rPr>
            </w:pPr>
            <w:hyperlink r:id="rId394">
              <w:r>
                <w:rPr>
                  <w:rFonts w:ascii="Arial" w:cs="Arial" w:eastAsia="Arial" w:hAnsi="Arial"/>
                  <w:sz w:val="18"/>
                  <w:szCs w:val="18"/>
                  <w:color w:val="auto"/>
                  <w:w w:val="99"/>
                </w:rPr>
                <w:t>and Stephen Kaufer, effective as of March 31,</w:t>
              </w:r>
            </w:hyperlink>
          </w:p>
        </w:tc>
      </w:tr>
      <w:tr>
        <w:trPr>
          <w:trHeight w:val="196"/>
        </w:trPr>
        <w:tc>
          <w:tcPr>
            <w:tcW w:w="1100" w:type="dxa"/>
            <w:vAlign w:val="bottom"/>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auto"/>
                <w:w w:val="89"/>
              </w:rPr>
            </w:pPr>
            <w:hyperlink r:id="rId394">
              <w:r>
                <w:rPr>
                  <w:rFonts w:ascii="Arial" w:cs="Arial" w:eastAsia="Arial" w:hAnsi="Arial"/>
                  <w:sz w:val="18"/>
                  <w:szCs w:val="18"/>
                  <w:color w:val="auto"/>
                  <w:w w:val="89"/>
                </w:rPr>
                <w:t>2014</w:t>
              </w:r>
            </w:hyperlink>
          </w:p>
        </w:tc>
        <w:tc>
          <w:tcPr>
            <w:tcW w:w="7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3580" w:type="dxa"/>
            <w:vAlign w:val="bottom"/>
            <w:tcBorders>
              <w:bottom w:val="single" w:sz="8" w:color="0000EE"/>
            </w:tcBorders>
            <w:gridSpan w:val="25"/>
          </w:tcPr>
          <w:p>
            <w:pPr>
              <w:spacing w:after="0"/>
              <w:rPr>
                <w:rFonts w:ascii="Arial" w:cs="Arial" w:eastAsia="Arial" w:hAnsi="Arial"/>
                <w:sz w:val="18"/>
                <w:szCs w:val="18"/>
                <w:color w:val="auto"/>
                <w:w w:val="91"/>
              </w:rPr>
            </w:pPr>
            <w:hyperlink r:id="rId395">
              <w:r>
                <w:rPr>
                  <w:rFonts w:ascii="Arial" w:cs="Arial" w:eastAsia="Arial" w:hAnsi="Arial"/>
                  <w:sz w:val="18"/>
                  <w:szCs w:val="18"/>
                  <w:color w:val="auto"/>
                  <w:w w:val="91"/>
                </w:rPr>
                <w:t>Amendment to Employment Agreement between</w:t>
              </w:r>
            </w:hyperlink>
          </w:p>
        </w:tc>
        <w:tc>
          <w:tcPr>
            <w:tcW w:w="100" w:type="dxa"/>
            <w:vAlign w:val="bottom"/>
            <w:gridSpan w:val="5"/>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640" w:type="dxa"/>
            <w:vAlign w:val="bottom"/>
            <w:tcBorders>
              <w:bottom w:val="single" w:sz="8" w:color="0000EE"/>
            </w:tcBorders>
            <w:gridSpan w:val="28"/>
          </w:tcPr>
          <w:p>
            <w:pPr>
              <w:spacing w:after="0" w:line="195" w:lineRule="exact"/>
              <w:rPr>
                <w:rFonts w:ascii="Arial" w:cs="Arial" w:eastAsia="Arial" w:hAnsi="Arial"/>
                <w:sz w:val="18"/>
                <w:szCs w:val="18"/>
                <w:color w:val="auto"/>
                <w:w w:val="92"/>
              </w:rPr>
            </w:pPr>
            <w:hyperlink r:id="rId395">
              <w:r>
                <w:rPr>
                  <w:rFonts w:ascii="Arial" w:cs="Arial" w:eastAsia="Arial" w:hAnsi="Arial"/>
                  <w:sz w:val="18"/>
                  <w:szCs w:val="18"/>
                  <w:color w:val="auto"/>
                  <w:w w:val="92"/>
                </w:rPr>
                <w:t>Tripadvisor LLC and Stephen Kaufer, effective as</w:t>
              </w:r>
            </w:hyperlink>
          </w:p>
        </w:tc>
        <w:tc>
          <w:tcPr>
            <w:tcW w:w="4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5" w:lineRule="exact"/>
              <w:rPr>
                <w:rFonts w:ascii="Arial" w:cs="Arial" w:eastAsia="Arial" w:hAnsi="Arial"/>
                <w:sz w:val="18"/>
                <w:szCs w:val="18"/>
                <w:color w:val="auto"/>
                <w:w w:val="90"/>
              </w:rPr>
            </w:pPr>
            <w:hyperlink r:id="rId395">
              <w:r>
                <w:rPr>
                  <w:rFonts w:ascii="Arial" w:cs="Arial" w:eastAsia="Arial" w:hAnsi="Arial"/>
                  <w:sz w:val="18"/>
                  <w:szCs w:val="18"/>
                  <w:color w:val="auto"/>
                  <w:w w:val="90"/>
                </w:rPr>
                <w:t>of November 28, 2017</w:t>
              </w:r>
            </w:hyperlink>
          </w:p>
        </w:tc>
        <w:tc>
          <w:tcPr>
            <w:tcW w:w="2040" w:type="dxa"/>
            <w:vAlign w:val="bottom"/>
            <w:gridSpan w:val="24"/>
          </w:tcPr>
          <w:p>
            <w:pPr>
              <w:spacing w:after="0"/>
              <w:rPr>
                <w:sz w:val="17"/>
                <w:szCs w:val="17"/>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3540" w:type="dxa"/>
            <w:vAlign w:val="bottom"/>
            <w:tcBorders>
              <w:bottom w:val="single" w:sz="8" w:color="0000EE"/>
            </w:tcBorders>
            <w:gridSpan w:val="24"/>
          </w:tcPr>
          <w:p>
            <w:pPr>
              <w:spacing w:after="0"/>
              <w:rPr>
                <w:rFonts w:ascii="Arial" w:cs="Arial" w:eastAsia="Arial" w:hAnsi="Arial"/>
                <w:sz w:val="18"/>
                <w:szCs w:val="18"/>
                <w:color w:val="auto"/>
                <w:w w:val="90"/>
              </w:rPr>
            </w:pPr>
            <w:hyperlink r:id="rId396">
              <w:r>
                <w:rPr>
                  <w:rFonts w:ascii="Arial" w:cs="Arial" w:eastAsia="Arial" w:hAnsi="Arial"/>
                  <w:sz w:val="18"/>
                  <w:szCs w:val="18"/>
                  <w:color w:val="auto"/>
                  <w:w w:val="90"/>
                </w:rPr>
                <w:t>Amended and Restated Option Agreement dated</w:t>
              </w:r>
            </w:hyperlink>
          </w:p>
        </w:tc>
        <w:tc>
          <w:tcPr>
            <w:tcW w:w="140" w:type="dxa"/>
            <w:vAlign w:val="bottom"/>
            <w:gridSpan w:val="6"/>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080" w:type="dxa"/>
            <w:vAlign w:val="bottom"/>
            <w:tcBorders>
              <w:bottom w:val="single" w:sz="8" w:color="0000EE"/>
            </w:tcBorders>
            <w:gridSpan w:val="13"/>
          </w:tcPr>
          <w:p>
            <w:pPr>
              <w:spacing w:after="0" w:line="195" w:lineRule="exact"/>
              <w:rPr>
                <w:rFonts w:ascii="Arial" w:cs="Arial" w:eastAsia="Arial" w:hAnsi="Arial"/>
                <w:sz w:val="18"/>
                <w:szCs w:val="18"/>
                <w:color w:val="auto"/>
                <w:w w:val="89"/>
              </w:rPr>
            </w:pPr>
            <w:hyperlink r:id="rId396">
              <w:r>
                <w:rPr>
                  <w:rFonts w:ascii="Arial" w:cs="Arial" w:eastAsia="Arial" w:hAnsi="Arial"/>
                  <w:sz w:val="18"/>
                  <w:szCs w:val="18"/>
                  <w:color w:val="auto"/>
                  <w:w w:val="89"/>
                </w:rPr>
                <w:t>June 5, 2017 between Stephen Kaufer and</w:t>
              </w:r>
            </w:hyperlink>
          </w:p>
        </w:tc>
        <w:tc>
          <w:tcPr>
            <w:tcW w:w="600" w:type="dxa"/>
            <w:vAlign w:val="bottom"/>
            <w:gridSpan w:val="1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gridSpan w:val="30"/>
          </w:tcPr>
          <w:p>
            <w:pPr>
              <w:spacing w:after="0" w:line="195" w:lineRule="exact"/>
              <w:rPr>
                <w:rFonts w:ascii="Arial" w:cs="Arial" w:eastAsia="Arial" w:hAnsi="Arial"/>
                <w:sz w:val="18"/>
                <w:szCs w:val="18"/>
                <w:color w:val="auto"/>
              </w:rPr>
            </w:pPr>
            <w:hyperlink r:id="rId396">
              <w:r>
                <w:rPr>
                  <w:rFonts w:ascii="Arial" w:cs="Arial" w:eastAsia="Arial" w:hAnsi="Arial"/>
                  <w:sz w:val="18"/>
                  <w:szCs w:val="18"/>
                  <w:color w:val="auto"/>
                </w:rPr>
                <w:t>Tripadvisor, Inc.</w:t>
              </w:r>
            </w:hyperlink>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3480" w:type="dxa"/>
            <w:vAlign w:val="bottom"/>
            <w:tcBorders>
              <w:bottom w:val="single" w:sz="8" w:color="0000EE"/>
            </w:tcBorders>
            <w:gridSpan w:val="23"/>
          </w:tcPr>
          <w:p>
            <w:pPr>
              <w:spacing w:after="0"/>
              <w:rPr>
                <w:rFonts w:ascii="Arial" w:cs="Arial" w:eastAsia="Arial" w:hAnsi="Arial"/>
                <w:sz w:val="18"/>
                <w:szCs w:val="18"/>
                <w:color w:val="auto"/>
                <w:w w:val="92"/>
              </w:rPr>
            </w:pPr>
            <w:hyperlink r:id="rId397">
              <w:r>
                <w:rPr>
                  <w:rFonts w:ascii="Arial" w:cs="Arial" w:eastAsia="Arial" w:hAnsi="Arial"/>
                  <w:sz w:val="18"/>
                  <w:szCs w:val="18"/>
                  <w:color w:val="auto"/>
                  <w:w w:val="92"/>
                </w:rPr>
                <w:t>Stock Option Agreement (time-based) between</w:t>
              </w:r>
            </w:hyperlink>
          </w:p>
        </w:tc>
        <w:tc>
          <w:tcPr>
            <w:tcW w:w="200" w:type="dxa"/>
            <w:vAlign w:val="bottom"/>
            <w:gridSpan w:val="7"/>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5" w:lineRule="exact"/>
              <w:rPr>
                <w:rFonts w:ascii="Arial" w:cs="Arial" w:eastAsia="Arial" w:hAnsi="Arial"/>
                <w:sz w:val="18"/>
                <w:szCs w:val="18"/>
                <w:color w:val="auto"/>
                <w:w w:val="90"/>
              </w:rPr>
            </w:pPr>
            <w:hyperlink r:id="rId397">
              <w:r>
                <w:rPr>
                  <w:rFonts w:ascii="Arial" w:cs="Arial" w:eastAsia="Arial" w:hAnsi="Arial"/>
                  <w:sz w:val="18"/>
                  <w:szCs w:val="18"/>
                  <w:color w:val="auto"/>
                  <w:w w:val="90"/>
                </w:rPr>
                <w:t>Stephen Kaufer and Tripadvisor, Inc. dated</w:t>
              </w:r>
            </w:hyperlink>
          </w:p>
        </w:tc>
        <w:tc>
          <w:tcPr>
            <w:tcW w:w="540" w:type="dxa"/>
            <w:vAlign w:val="bottom"/>
            <w:gridSpan w:val="1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5" w:lineRule="exact"/>
              <w:rPr>
                <w:rFonts w:ascii="Arial" w:cs="Arial" w:eastAsia="Arial" w:hAnsi="Arial"/>
                <w:sz w:val="18"/>
                <w:szCs w:val="18"/>
                <w:color w:val="auto"/>
                <w:w w:val="89"/>
              </w:rPr>
            </w:pPr>
            <w:hyperlink r:id="rId397">
              <w:r>
                <w:rPr>
                  <w:rFonts w:ascii="Arial" w:cs="Arial" w:eastAsia="Arial" w:hAnsi="Arial"/>
                  <w:sz w:val="18"/>
                  <w:szCs w:val="18"/>
                  <w:color w:val="auto"/>
                  <w:w w:val="89"/>
                </w:rPr>
                <w:t>November 28, 2017</w:t>
              </w:r>
            </w:hyperlink>
          </w:p>
        </w:tc>
        <w:tc>
          <w:tcPr>
            <w:tcW w:w="2240" w:type="dxa"/>
            <w:vAlign w:val="bottom"/>
            <w:gridSpan w:val="25"/>
          </w:tcPr>
          <w:p>
            <w:pPr>
              <w:spacing w:after="0"/>
              <w:rPr>
                <w:sz w:val="17"/>
                <w:szCs w:val="17"/>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10.14+</w:t>
            </w:r>
          </w:p>
        </w:tc>
        <w:tc>
          <w:tcPr>
            <w:tcW w:w="3480" w:type="dxa"/>
            <w:vAlign w:val="bottom"/>
            <w:tcBorders>
              <w:bottom w:val="single" w:sz="8" w:color="0000EE"/>
            </w:tcBorders>
            <w:gridSpan w:val="23"/>
          </w:tcPr>
          <w:p>
            <w:pPr>
              <w:spacing w:after="0"/>
              <w:rPr>
                <w:rFonts w:ascii="Arial" w:cs="Arial" w:eastAsia="Arial" w:hAnsi="Arial"/>
                <w:sz w:val="18"/>
                <w:szCs w:val="18"/>
                <w:color w:val="auto"/>
                <w:w w:val="90"/>
              </w:rPr>
            </w:pPr>
            <w:hyperlink r:id="rId398">
              <w:r>
                <w:rPr>
                  <w:rFonts w:ascii="Arial" w:cs="Arial" w:eastAsia="Arial" w:hAnsi="Arial"/>
                  <w:sz w:val="18"/>
                  <w:szCs w:val="18"/>
                  <w:color w:val="auto"/>
                  <w:w w:val="90"/>
                </w:rPr>
                <w:t>RSU Agreement (time-based) between Stephen</w:t>
              </w:r>
            </w:hyperlink>
          </w:p>
        </w:tc>
        <w:tc>
          <w:tcPr>
            <w:tcW w:w="200" w:type="dxa"/>
            <w:vAlign w:val="bottom"/>
            <w:gridSpan w:val="7"/>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680" w:type="dxa"/>
            <w:vAlign w:val="bottom"/>
            <w:gridSpan w:val="30"/>
          </w:tcPr>
          <w:p>
            <w:pPr>
              <w:spacing w:after="0" w:line="195" w:lineRule="exact"/>
              <w:rPr>
                <w:rFonts w:ascii="Arial" w:cs="Arial" w:eastAsia="Arial" w:hAnsi="Arial"/>
                <w:sz w:val="18"/>
                <w:szCs w:val="18"/>
                <w:color w:val="auto"/>
                <w:w w:val="94"/>
              </w:rPr>
            </w:pPr>
            <w:hyperlink r:id="rId398">
              <w:r>
                <w:rPr>
                  <w:rFonts w:ascii="Arial" w:cs="Arial" w:eastAsia="Arial" w:hAnsi="Arial"/>
                  <w:sz w:val="18"/>
                  <w:szCs w:val="18"/>
                  <w:color w:val="auto"/>
                  <w:w w:val="94"/>
                </w:rPr>
                <w:t>Kaufer and Tripadvisor, Inc. dated November 28,</w:t>
              </w:r>
            </w:hyperlink>
          </w:p>
        </w:tc>
      </w:tr>
      <w:tr>
        <w:trPr>
          <w:trHeight w:val="196"/>
        </w:trPr>
        <w:tc>
          <w:tcPr>
            <w:tcW w:w="1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5" w:lineRule="exact"/>
              <w:rPr>
                <w:rFonts w:ascii="Arial" w:cs="Arial" w:eastAsia="Arial" w:hAnsi="Arial"/>
                <w:sz w:val="18"/>
                <w:szCs w:val="18"/>
                <w:color w:val="auto"/>
                <w:w w:val="84"/>
              </w:rPr>
            </w:pPr>
            <w:hyperlink r:id="rId398">
              <w:r>
                <w:rPr>
                  <w:rFonts w:ascii="Arial" w:cs="Arial" w:eastAsia="Arial" w:hAnsi="Arial"/>
                  <w:sz w:val="18"/>
                  <w:szCs w:val="18"/>
                  <w:color w:val="auto"/>
                  <w:w w:val="84"/>
                </w:rPr>
                <w:t>2017</w:t>
              </w:r>
            </w:hyperlink>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3440" w:type="dxa"/>
            <w:vAlign w:val="bottom"/>
            <w:tcBorders>
              <w:bottom w:val="single" w:sz="8" w:color="0000EE"/>
            </w:tcBorders>
            <w:gridSpan w:val="21"/>
          </w:tcPr>
          <w:p>
            <w:pPr>
              <w:spacing w:after="0"/>
              <w:rPr>
                <w:rFonts w:ascii="Arial" w:cs="Arial" w:eastAsia="Arial" w:hAnsi="Arial"/>
                <w:sz w:val="18"/>
                <w:szCs w:val="18"/>
                <w:color w:val="auto"/>
                <w:w w:val="91"/>
              </w:rPr>
            </w:pPr>
            <w:hyperlink r:id="rId399">
              <w:r>
                <w:rPr>
                  <w:rFonts w:ascii="Arial" w:cs="Arial" w:eastAsia="Arial" w:hAnsi="Arial"/>
                  <w:sz w:val="18"/>
                  <w:szCs w:val="18"/>
                  <w:color w:val="auto"/>
                  <w:w w:val="91"/>
                </w:rPr>
                <w:t>RSU Agreement (performance based (market))</w:t>
              </w:r>
            </w:hyperlink>
          </w:p>
        </w:tc>
        <w:tc>
          <w:tcPr>
            <w:tcW w:w="240" w:type="dxa"/>
            <w:vAlign w:val="bottom"/>
            <w:gridSpan w:val="9"/>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360" w:type="dxa"/>
            <w:vAlign w:val="bottom"/>
            <w:tcBorders>
              <w:bottom w:val="single" w:sz="8" w:color="0000EE"/>
            </w:tcBorders>
            <w:gridSpan w:val="18"/>
          </w:tcPr>
          <w:p>
            <w:pPr>
              <w:spacing w:after="0" w:line="195" w:lineRule="exact"/>
              <w:rPr>
                <w:rFonts w:ascii="Arial" w:cs="Arial" w:eastAsia="Arial" w:hAnsi="Arial"/>
                <w:sz w:val="18"/>
                <w:szCs w:val="18"/>
                <w:color w:val="auto"/>
                <w:w w:val="91"/>
              </w:rPr>
            </w:pPr>
            <w:hyperlink r:id="rId399">
              <w:r>
                <w:rPr>
                  <w:rFonts w:ascii="Arial" w:cs="Arial" w:eastAsia="Arial" w:hAnsi="Arial"/>
                  <w:sz w:val="18"/>
                  <w:szCs w:val="18"/>
                  <w:color w:val="auto"/>
                  <w:w w:val="91"/>
                </w:rPr>
                <w:t>between Stephen Kaufer and Tripadvisor, Inc.</w:t>
              </w:r>
            </w:hyperlink>
          </w:p>
        </w:tc>
        <w:tc>
          <w:tcPr>
            <w:tcW w:w="320" w:type="dxa"/>
            <w:vAlign w:val="bottom"/>
            <w:gridSpan w:val="1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80" w:type="dxa"/>
            <w:vAlign w:val="bottom"/>
            <w:tcBorders>
              <w:bottom w:val="single" w:sz="8" w:color="0000EE"/>
            </w:tcBorders>
            <w:gridSpan w:val="9"/>
          </w:tcPr>
          <w:p>
            <w:pPr>
              <w:spacing w:after="0" w:line="195" w:lineRule="exact"/>
              <w:rPr>
                <w:rFonts w:ascii="Arial" w:cs="Arial" w:eastAsia="Arial" w:hAnsi="Arial"/>
                <w:sz w:val="18"/>
                <w:szCs w:val="18"/>
                <w:color w:val="auto"/>
                <w:w w:val="89"/>
              </w:rPr>
            </w:pPr>
            <w:hyperlink r:id="rId399">
              <w:r>
                <w:rPr>
                  <w:rFonts w:ascii="Arial" w:cs="Arial" w:eastAsia="Arial" w:hAnsi="Arial"/>
                  <w:sz w:val="18"/>
                  <w:szCs w:val="18"/>
                  <w:color w:val="auto"/>
                  <w:w w:val="89"/>
                </w:rPr>
                <w:t>dated November 28, 2017</w:t>
              </w:r>
            </w:hyperlink>
          </w:p>
        </w:tc>
        <w:tc>
          <w:tcPr>
            <w:tcW w:w="1800" w:type="dxa"/>
            <w:vAlign w:val="bottom"/>
            <w:gridSpan w:val="21"/>
          </w:tcPr>
          <w:p>
            <w:pPr>
              <w:spacing w:after="0"/>
              <w:rPr>
                <w:sz w:val="17"/>
                <w:szCs w:val="17"/>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10.16+</w:t>
            </w:r>
          </w:p>
        </w:tc>
        <w:tc>
          <w:tcPr>
            <w:tcW w:w="3460" w:type="dxa"/>
            <w:vAlign w:val="bottom"/>
            <w:tcBorders>
              <w:bottom w:val="single" w:sz="8" w:color="0000EE"/>
            </w:tcBorders>
            <w:gridSpan w:val="22"/>
          </w:tcPr>
          <w:p>
            <w:pPr>
              <w:spacing w:after="0"/>
              <w:rPr>
                <w:rFonts w:ascii="Arial" w:cs="Arial" w:eastAsia="Arial" w:hAnsi="Arial"/>
                <w:sz w:val="18"/>
                <w:szCs w:val="18"/>
                <w:color w:val="auto"/>
                <w:w w:val="91"/>
              </w:rPr>
            </w:pPr>
            <w:hyperlink r:id="rId400">
              <w:r>
                <w:rPr>
                  <w:rFonts w:ascii="Arial" w:cs="Arial" w:eastAsia="Arial" w:hAnsi="Arial"/>
                  <w:sz w:val="18"/>
                  <w:szCs w:val="18"/>
                  <w:color w:val="auto"/>
                  <w:w w:val="91"/>
                </w:rPr>
                <w:t>RSU Agreement (performance based (financial</w:t>
              </w:r>
            </w:hyperlink>
          </w:p>
        </w:tc>
        <w:tc>
          <w:tcPr>
            <w:tcW w:w="220" w:type="dxa"/>
            <w:vAlign w:val="bottom"/>
            <w:gridSpan w:val="8"/>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200" w:type="dxa"/>
            <w:vAlign w:val="bottom"/>
            <w:tcBorders>
              <w:bottom w:val="single" w:sz="8" w:color="0000EE"/>
            </w:tcBorders>
            <w:gridSpan w:val="16"/>
          </w:tcPr>
          <w:p>
            <w:pPr>
              <w:spacing w:after="0" w:line="195" w:lineRule="exact"/>
              <w:rPr>
                <w:rFonts w:ascii="Arial" w:cs="Arial" w:eastAsia="Arial" w:hAnsi="Arial"/>
                <w:sz w:val="18"/>
                <w:szCs w:val="18"/>
                <w:color w:val="auto"/>
                <w:w w:val="90"/>
              </w:rPr>
            </w:pPr>
            <w:hyperlink r:id="rId400">
              <w:r>
                <w:rPr>
                  <w:rFonts w:ascii="Arial" w:cs="Arial" w:eastAsia="Arial" w:hAnsi="Arial"/>
                  <w:sz w:val="18"/>
                  <w:szCs w:val="18"/>
                  <w:color w:val="auto"/>
                  <w:w w:val="90"/>
                </w:rPr>
                <w:t>and strategic)) between Stephen Kaufer and</w:t>
              </w:r>
            </w:hyperlink>
          </w:p>
        </w:tc>
        <w:tc>
          <w:tcPr>
            <w:tcW w:w="480" w:type="dxa"/>
            <w:vAlign w:val="bottom"/>
            <w:gridSpan w:val="1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gridSpan w:val="30"/>
          </w:tcPr>
          <w:p>
            <w:pPr>
              <w:spacing w:after="0" w:line="195" w:lineRule="exact"/>
              <w:rPr>
                <w:rFonts w:ascii="Arial" w:cs="Arial" w:eastAsia="Arial" w:hAnsi="Arial"/>
                <w:sz w:val="18"/>
                <w:szCs w:val="18"/>
                <w:color w:val="auto"/>
              </w:rPr>
            </w:pPr>
            <w:hyperlink r:id="rId400">
              <w:r>
                <w:rPr>
                  <w:rFonts w:ascii="Arial" w:cs="Arial" w:eastAsia="Arial" w:hAnsi="Arial"/>
                  <w:sz w:val="18"/>
                  <w:szCs w:val="18"/>
                  <w:color w:val="auto"/>
                </w:rPr>
                <w:t>Tripadvisor, Inc. dated November 28, 2017</w:t>
              </w:r>
            </w:hyperlink>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3100" w:type="dxa"/>
            <w:vAlign w:val="bottom"/>
            <w:tcBorders>
              <w:top w:val="single" w:sz="8" w:color="0000EE"/>
            </w:tcBorders>
            <w:gridSpan w:val="14"/>
          </w:tcPr>
          <w:p>
            <w:pPr>
              <w:spacing w:after="0"/>
              <w:rPr>
                <w:rFonts w:ascii="Arial" w:cs="Arial" w:eastAsia="Arial" w:hAnsi="Arial"/>
                <w:sz w:val="18"/>
                <w:szCs w:val="18"/>
                <w:color w:val="auto"/>
              </w:rPr>
            </w:pPr>
            <w:hyperlink r:id="rId401">
              <w:r>
                <w:rPr>
                  <w:rFonts w:ascii="Arial" w:cs="Arial" w:eastAsia="Arial" w:hAnsi="Arial"/>
                  <w:sz w:val="18"/>
                  <w:szCs w:val="18"/>
                  <w:color w:val="auto"/>
                </w:rPr>
                <w:t>Viator, Inc. 2010 Stock Incentive Plan</w:t>
              </w:r>
            </w:hyperlink>
          </w:p>
        </w:tc>
        <w:tc>
          <w:tcPr>
            <w:tcW w:w="580" w:type="dxa"/>
            <w:vAlign w:val="bottom"/>
            <w:gridSpan w:val="16"/>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2740" w:type="dxa"/>
            <w:vAlign w:val="bottom"/>
            <w:gridSpan w:val="11"/>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10.19</w:t>
            </w:r>
          </w:p>
        </w:tc>
        <w:tc>
          <w:tcPr>
            <w:tcW w:w="3440" w:type="dxa"/>
            <w:vAlign w:val="bottom"/>
            <w:tcBorders>
              <w:bottom w:val="single" w:sz="8" w:color="0000EE"/>
            </w:tcBorders>
            <w:gridSpan w:val="21"/>
          </w:tcPr>
          <w:p>
            <w:pPr>
              <w:spacing w:after="0"/>
              <w:rPr>
                <w:rFonts w:ascii="Arial" w:cs="Arial" w:eastAsia="Arial" w:hAnsi="Arial"/>
                <w:sz w:val="18"/>
                <w:szCs w:val="18"/>
                <w:color w:val="auto"/>
                <w:w w:val="90"/>
              </w:rPr>
            </w:pPr>
            <w:hyperlink r:id="rId402">
              <w:r>
                <w:rPr>
                  <w:rFonts w:ascii="Arial" w:cs="Arial" w:eastAsia="Arial" w:hAnsi="Arial"/>
                  <w:sz w:val="18"/>
                  <w:szCs w:val="18"/>
                  <w:color w:val="auto"/>
                  <w:w w:val="90"/>
                </w:rPr>
                <w:t>Credit Agreement dated as of June 26, 2015 by</w:t>
              </w:r>
            </w:hyperlink>
          </w:p>
        </w:tc>
        <w:tc>
          <w:tcPr>
            <w:tcW w:w="240" w:type="dxa"/>
            <w:vAlign w:val="bottom"/>
            <w:gridSpan w:val="9"/>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000" w:type="dxa"/>
            <w:vAlign w:val="bottom"/>
            <w:tcBorders>
              <w:bottom w:val="single" w:sz="8" w:color="0000EE"/>
            </w:tcBorders>
            <w:gridSpan w:val="12"/>
          </w:tcPr>
          <w:p>
            <w:pPr>
              <w:spacing w:after="0" w:line="195" w:lineRule="exact"/>
              <w:rPr>
                <w:rFonts w:ascii="Arial" w:cs="Arial" w:eastAsia="Arial" w:hAnsi="Arial"/>
                <w:sz w:val="18"/>
                <w:szCs w:val="18"/>
                <w:color w:val="auto"/>
                <w:w w:val="92"/>
              </w:rPr>
            </w:pPr>
            <w:hyperlink r:id="rId402">
              <w:r>
                <w:rPr>
                  <w:rFonts w:ascii="Arial" w:cs="Arial" w:eastAsia="Arial" w:hAnsi="Arial"/>
                  <w:sz w:val="18"/>
                  <w:szCs w:val="18"/>
                  <w:color w:val="auto"/>
                  <w:w w:val="92"/>
                </w:rPr>
                <w:t>and among Tripadvisor, Inc., Tripadvisor</w:t>
              </w:r>
            </w:hyperlink>
          </w:p>
        </w:tc>
        <w:tc>
          <w:tcPr>
            <w:tcW w:w="680" w:type="dxa"/>
            <w:vAlign w:val="bottom"/>
            <w:gridSpan w:val="18"/>
          </w:tcPr>
          <w:p>
            <w:pPr>
              <w:spacing w:after="0"/>
              <w:rPr>
                <w:sz w:val="17"/>
                <w:szCs w:val="17"/>
                <w:color w:val="auto"/>
              </w:rPr>
            </w:pPr>
          </w:p>
        </w:tc>
      </w:tr>
    </w:tbl>
    <w:p>
      <w:pPr>
        <w:spacing w:after="0" w:line="13" w:lineRule="exact"/>
        <w:rPr>
          <w:sz w:val="20"/>
          <w:szCs w:val="20"/>
          <w:color w:val="auto"/>
        </w:rPr>
      </w:pPr>
    </w:p>
    <w:p>
      <w:pPr>
        <w:ind w:left="1100" w:right="1140"/>
        <w:spacing w:after="0" w:line="293" w:lineRule="auto"/>
        <w:rPr>
          <w:rFonts w:ascii="Arial" w:cs="Arial" w:eastAsia="Arial" w:hAnsi="Arial"/>
          <w:sz w:val="16"/>
          <w:szCs w:val="16"/>
          <w:color w:val="auto"/>
        </w:rPr>
      </w:pPr>
      <w:hyperlink r:id="rId402">
        <w:r>
          <w:rPr>
            <w:rFonts w:ascii="Arial" w:cs="Arial" w:eastAsia="Arial" w:hAnsi="Arial"/>
            <w:sz w:val="16"/>
            <w:szCs w:val="16"/>
            <w:color w:val="auto"/>
          </w:rPr>
          <w:t>Holdings, LLC, Tripadvisor LLC, JPMorgan</w:t>
        </w:r>
      </w:hyperlink>
      <w:r>
        <w:rPr>
          <w:rFonts w:ascii="Arial" w:cs="Arial" w:eastAsia="Arial" w:hAnsi="Arial"/>
          <w:sz w:val="16"/>
          <w:szCs w:val="16"/>
          <w:color w:val="auto"/>
        </w:rPr>
        <w:t xml:space="preserve"> </w:t>
      </w:r>
      <w:hyperlink r:id="rId402">
        <w:r>
          <w:rPr>
            <w:rFonts w:ascii="Arial" w:cs="Arial" w:eastAsia="Arial" w:hAnsi="Arial"/>
            <w:sz w:val="16"/>
            <w:szCs w:val="16"/>
            <w:color w:val="auto"/>
          </w:rPr>
          <w:t>Chase Bank, N.A., as Administrative Agent; J.P.</w:t>
        </w:r>
      </w:hyperlink>
      <w:r>
        <w:rPr>
          <w:rFonts w:ascii="Arial" w:cs="Arial" w:eastAsia="Arial" w:hAnsi="Arial"/>
          <w:sz w:val="16"/>
          <w:szCs w:val="16"/>
          <w:color w:val="auto"/>
        </w:rPr>
        <w:t xml:space="preserve"> </w:t>
      </w:r>
      <w:hyperlink r:id="rId402">
        <w:r>
          <w:rPr>
            <w:rFonts w:ascii="Arial" w:cs="Arial" w:eastAsia="Arial" w:hAnsi="Arial"/>
            <w:sz w:val="16"/>
            <w:szCs w:val="16"/>
            <w:color w:val="auto"/>
          </w:rPr>
          <w:t>Morgan Europe Limited, as London Agent;</w:t>
        </w:r>
      </w:hyperlink>
      <w:r>
        <w:rPr>
          <w:rFonts w:ascii="Arial" w:cs="Arial" w:eastAsia="Arial" w:hAnsi="Arial"/>
          <w:sz w:val="16"/>
          <w:szCs w:val="16"/>
          <w:color w:val="auto"/>
        </w:rPr>
        <w:t xml:space="preserve"> </w:t>
      </w:r>
      <w:hyperlink r:id="rId402">
        <w:r>
          <w:rPr>
            <w:rFonts w:ascii="Arial" w:cs="Arial" w:eastAsia="Arial" w:hAnsi="Arial"/>
            <w:sz w:val="16"/>
            <w:szCs w:val="16"/>
            <w:color w:val="auto"/>
          </w:rPr>
          <w:t>Morgan Stanley Bank, N.A.; Bank of America,</w:t>
        </w:r>
      </w:hyperlink>
      <w:r>
        <w:rPr>
          <w:rFonts w:ascii="Arial" w:cs="Arial" w:eastAsia="Arial" w:hAnsi="Arial"/>
          <w:sz w:val="16"/>
          <w:szCs w:val="16"/>
          <w:color w:val="auto"/>
        </w:rPr>
        <w:t xml:space="preserve"> </w:t>
      </w:r>
      <w:hyperlink r:id="rId402">
        <w:r>
          <w:rPr>
            <w:rFonts w:ascii="Arial" w:cs="Arial" w:eastAsia="Arial" w:hAnsi="Arial"/>
            <w:sz w:val="16"/>
            <w:szCs w:val="16"/>
            <w:color w:val="auto"/>
          </w:rPr>
          <w:t>N.A.; BNP Paribas; SunTrust Bank; Wells Fargo</w:t>
        </w:r>
      </w:hyperlink>
      <w:r>
        <w:rPr>
          <w:rFonts w:ascii="Arial" w:cs="Arial" w:eastAsia="Arial" w:hAnsi="Arial"/>
          <w:sz w:val="16"/>
          <w:szCs w:val="16"/>
          <w:color w:val="auto"/>
        </w:rPr>
        <w:t xml:space="preserve"> </w:t>
      </w:r>
      <w:hyperlink r:id="rId402">
        <w:r>
          <w:rPr>
            <w:rFonts w:ascii="Arial" w:cs="Arial" w:eastAsia="Arial" w:hAnsi="Arial"/>
            <w:sz w:val="16"/>
            <w:szCs w:val="16"/>
            <w:color w:val="auto"/>
          </w:rPr>
          <w:t>Bank, National Association; Royal</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702945</wp:posOffset>
            </wp:positionH>
            <wp:positionV relativeFrom="paragraph">
              <wp:posOffset>-734695</wp:posOffset>
            </wp:positionV>
            <wp:extent cx="20732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207327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-597535</wp:posOffset>
            </wp:positionV>
            <wp:extent cx="22409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22409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-461010</wp:posOffset>
            </wp:positionV>
            <wp:extent cx="201041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2010410"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-323850</wp:posOffset>
            </wp:positionV>
            <wp:extent cx="21812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218122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-186690</wp:posOffset>
            </wp:positionV>
            <wp:extent cx="22510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225107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-49530</wp:posOffset>
            </wp:positionV>
            <wp:extent cx="16192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spacing w:after="0" w:line="183"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2"/>
              </w:rPr>
              <w:t>S-8</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333-178637</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87"/>
              </w:rPr>
              <w:t>4.6</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8"/>
              </w:rPr>
              <w:t>12/20/11</w:t>
            </w:r>
          </w:p>
        </w:tc>
      </w:tr>
      <w:tr>
        <w:trPr>
          <w:trHeight w:val="458"/>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4"/>
              </w:rPr>
              <w:t>10-Q</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7/24/13</w:t>
            </w:r>
          </w:p>
        </w:tc>
      </w:tr>
      <w:tr>
        <w:trPr>
          <w:trHeight w:val="674"/>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4"/>
              </w:rPr>
              <w:t>10-Q</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7/24/13</w:t>
            </w:r>
          </w:p>
        </w:tc>
      </w:tr>
      <w:tr>
        <w:trPr>
          <w:trHeight w:val="674"/>
        </w:trPr>
        <w:tc>
          <w:tcPr>
            <w:tcW w:w="84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5/23/16</w:t>
            </w:r>
          </w:p>
        </w:tc>
      </w:tr>
      <w:tr>
        <w:trPr>
          <w:trHeight w:val="674"/>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10.8</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2/21/18</w:t>
            </w:r>
          </w:p>
        </w:tc>
      </w:tr>
      <w:tr>
        <w:trPr>
          <w:trHeight w:val="674"/>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4"/>
              </w:rPr>
              <w:t>10-Q</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10.3</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1"/>
              </w:rPr>
              <w:t>5/6/14</w:t>
            </w:r>
          </w:p>
        </w:tc>
      </w:tr>
      <w:tr>
        <w:trPr>
          <w:trHeight w:val="674"/>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88"/>
              </w:rPr>
              <w:t>10.10</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2/21/18</w:t>
            </w:r>
          </w:p>
        </w:tc>
      </w:tr>
      <w:tr>
        <w:trPr>
          <w:trHeight w:val="674"/>
        </w:trPr>
        <w:tc>
          <w:tcPr>
            <w:tcW w:w="84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91"/>
              </w:rPr>
              <w:t>6/8/17</w:t>
            </w:r>
          </w:p>
        </w:tc>
      </w:tr>
      <w:tr>
        <w:trPr>
          <w:trHeight w:val="674"/>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88"/>
              </w:rPr>
              <w:t>10.12</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2/21/18</w:t>
            </w:r>
          </w:p>
        </w:tc>
      </w:tr>
      <w:tr>
        <w:trPr>
          <w:trHeight w:val="674"/>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88"/>
              </w:rPr>
              <w:t>10.13</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2/21/18</w:t>
            </w:r>
          </w:p>
        </w:tc>
      </w:tr>
      <w:tr>
        <w:trPr>
          <w:trHeight w:val="674"/>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88"/>
              </w:rPr>
              <w:t>10.14</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2/21/18</w:t>
            </w:r>
          </w:p>
        </w:tc>
      </w:tr>
      <w:tr>
        <w:trPr>
          <w:trHeight w:val="674"/>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88"/>
              </w:rPr>
              <w:t>10.15</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2/21/18</w:t>
            </w:r>
          </w:p>
        </w:tc>
      </w:tr>
      <w:tr>
        <w:trPr>
          <w:trHeight w:val="674"/>
        </w:trPr>
        <w:tc>
          <w:tcPr>
            <w:tcW w:w="840" w:type="dxa"/>
            <w:vAlign w:val="bottom"/>
          </w:tcPr>
          <w:p>
            <w:pPr>
              <w:jc w:val="center"/>
              <w:ind w:right="370"/>
              <w:spacing w:after="0"/>
              <w:rPr>
                <w:sz w:val="20"/>
                <w:szCs w:val="20"/>
                <w:color w:val="auto"/>
              </w:rPr>
            </w:pPr>
            <w:r>
              <w:rPr>
                <w:rFonts w:ascii="Arial" w:cs="Arial" w:eastAsia="Arial" w:hAnsi="Arial"/>
                <w:sz w:val="18"/>
                <w:szCs w:val="18"/>
                <w:color w:val="auto"/>
                <w:w w:val="92"/>
              </w:rPr>
              <w:t>S-8</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333-198726</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99.1</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9/12/14</w:t>
            </w:r>
          </w:p>
        </w:tc>
      </w:tr>
      <w:tr>
        <w:trPr>
          <w:trHeight w:val="243"/>
        </w:trPr>
        <w:tc>
          <w:tcPr>
            <w:tcW w:w="84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9"/>
              </w:rPr>
              <w:t>6/30/15</w:t>
            </w:r>
          </w:p>
        </w:tc>
      </w:tr>
    </w:tbl>
    <w:p>
      <w:pPr>
        <w:sectPr>
          <w:pgSz w:w="11900" w:h="16838" w:orient="portrait"/>
          <w:cols w:equalWidth="0" w:num="2">
            <w:col w:w="5740" w:space="520"/>
            <w:col w:w="4700"/>
          </w:cols>
          <w:pgMar w:left="340" w:top="364" w:right="59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3580" w:type="dxa"/>
            <w:vAlign w:val="bottom"/>
            <w:tcBorders>
              <w:bottom w:val="single" w:sz="8" w:color="0000EE"/>
            </w:tcBorders>
            <w:gridSpan w:val="19"/>
          </w:tcPr>
          <w:p>
            <w:pPr>
              <w:spacing w:after="0"/>
              <w:rPr>
                <w:rFonts w:ascii="Arial" w:cs="Arial" w:eastAsia="Arial" w:hAnsi="Arial"/>
                <w:sz w:val="18"/>
                <w:szCs w:val="18"/>
                <w:color w:val="auto"/>
                <w:w w:val="92"/>
              </w:rPr>
            </w:pPr>
            <w:hyperlink r:id="rId402">
              <w:r>
                <w:rPr>
                  <w:rFonts w:ascii="Arial" w:cs="Arial" w:eastAsia="Arial" w:hAnsi="Arial"/>
                  <w:sz w:val="18"/>
                  <w:szCs w:val="18"/>
                  <w:color w:val="auto"/>
                  <w:w w:val="92"/>
                </w:rPr>
                <w:t>Bank of Canada; Barclays Bank PLC; U.S. Bank</w:t>
              </w:r>
            </w:hyperlink>
          </w:p>
        </w:tc>
        <w:tc>
          <w:tcPr>
            <w:tcW w:w="10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22"/>
          </w:tcPr>
          <w:p>
            <w:pPr>
              <w:spacing w:after="0" w:line="195" w:lineRule="exact"/>
              <w:rPr>
                <w:rFonts w:ascii="Arial" w:cs="Arial" w:eastAsia="Arial" w:hAnsi="Arial"/>
                <w:sz w:val="18"/>
                <w:szCs w:val="18"/>
                <w:color w:val="auto"/>
                <w:w w:val="93"/>
              </w:rPr>
            </w:pPr>
            <w:hyperlink r:id="rId402">
              <w:r>
                <w:rPr>
                  <w:rFonts w:ascii="Arial" w:cs="Arial" w:eastAsia="Arial" w:hAnsi="Arial"/>
                  <w:sz w:val="18"/>
                  <w:szCs w:val="18"/>
                  <w:color w:val="auto"/>
                  <w:w w:val="93"/>
                </w:rPr>
                <w:t>National Association; Citibank, N.A.; The Bank of</w:t>
              </w:r>
            </w:hyperlink>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22"/>
          </w:tcPr>
          <w:p>
            <w:pPr>
              <w:spacing w:after="0" w:line="195" w:lineRule="exact"/>
              <w:rPr>
                <w:rFonts w:ascii="Arial" w:cs="Arial" w:eastAsia="Arial" w:hAnsi="Arial"/>
                <w:sz w:val="18"/>
                <w:szCs w:val="18"/>
                <w:color w:val="auto"/>
                <w:w w:val="92"/>
              </w:rPr>
            </w:pPr>
            <w:hyperlink r:id="rId402">
              <w:r>
                <w:rPr>
                  <w:rFonts w:ascii="Arial" w:cs="Arial" w:eastAsia="Arial" w:hAnsi="Arial"/>
                  <w:sz w:val="18"/>
                  <w:szCs w:val="18"/>
                  <w:color w:val="auto"/>
                  <w:w w:val="92"/>
                </w:rPr>
                <w:t>Tokyo-Mitsubishi UFJ, Ltd.; Goldman Sachs Bank</w:t>
              </w:r>
            </w:hyperlink>
          </w:p>
        </w:tc>
      </w:tr>
      <w:tr>
        <w:trPr>
          <w:trHeight w:val="196"/>
        </w:trPr>
        <w:tc>
          <w:tcPr>
            <w:tcW w:w="1100" w:type="dxa"/>
            <w:vAlign w:val="bottom"/>
          </w:tcPr>
          <w:p>
            <w:pPr>
              <w:spacing w:after="0"/>
              <w:rPr>
                <w:sz w:val="17"/>
                <w:szCs w:val="17"/>
                <w:color w:val="auto"/>
              </w:rPr>
            </w:pPr>
          </w:p>
        </w:tc>
        <w:tc>
          <w:tcPr>
            <w:tcW w:w="3520" w:type="dxa"/>
            <w:vAlign w:val="bottom"/>
            <w:tcBorders>
              <w:bottom w:val="single" w:sz="8" w:color="0000EE"/>
            </w:tcBorders>
            <w:gridSpan w:val="16"/>
          </w:tcPr>
          <w:p>
            <w:pPr>
              <w:spacing w:after="0" w:line="195" w:lineRule="exact"/>
              <w:rPr>
                <w:rFonts w:ascii="Arial" w:cs="Arial" w:eastAsia="Arial" w:hAnsi="Arial"/>
                <w:sz w:val="18"/>
                <w:szCs w:val="18"/>
                <w:color w:val="auto"/>
                <w:w w:val="92"/>
              </w:rPr>
            </w:pPr>
            <w:hyperlink r:id="rId402">
              <w:r>
                <w:rPr>
                  <w:rFonts w:ascii="Arial" w:cs="Arial" w:eastAsia="Arial" w:hAnsi="Arial"/>
                  <w:sz w:val="18"/>
                  <w:szCs w:val="18"/>
                  <w:color w:val="auto"/>
                  <w:w w:val="92"/>
                </w:rPr>
                <w:t>USA; and Deutsche Bank AG New York Branch</w:t>
              </w:r>
            </w:hyperlink>
          </w:p>
        </w:tc>
        <w:tc>
          <w:tcPr>
            <w:tcW w:w="160" w:type="dxa"/>
            <w:vAlign w:val="bottom"/>
            <w:gridSpan w:val="6"/>
          </w:tcPr>
          <w:p>
            <w:pPr>
              <w:spacing w:after="0"/>
              <w:rPr>
                <w:sz w:val="17"/>
                <w:szCs w:val="17"/>
                <w:color w:val="auto"/>
              </w:rPr>
            </w:pPr>
          </w:p>
        </w:tc>
      </w:tr>
      <w:tr>
        <w:trPr>
          <w:trHeight w:val="223"/>
        </w:trPr>
        <w:tc>
          <w:tcPr>
            <w:tcW w:w="1100" w:type="dxa"/>
            <w:vAlign w:val="bottom"/>
          </w:tcPr>
          <w:p>
            <w:pPr>
              <w:jc w:val="right"/>
              <w:ind w:right="610"/>
              <w:spacing w:after="0"/>
              <w:rPr>
                <w:sz w:val="20"/>
                <w:szCs w:val="20"/>
                <w:color w:val="auto"/>
              </w:rPr>
            </w:pPr>
            <w:r>
              <w:rPr>
                <w:rFonts w:ascii="Arial" w:cs="Arial" w:eastAsia="Arial" w:hAnsi="Arial"/>
                <w:sz w:val="18"/>
                <w:szCs w:val="18"/>
                <w:color w:val="auto"/>
                <w:w w:val="84"/>
              </w:rPr>
              <w:t>10.20</w:t>
            </w:r>
          </w:p>
        </w:tc>
        <w:tc>
          <w:tcPr>
            <w:tcW w:w="3520" w:type="dxa"/>
            <w:vAlign w:val="bottom"/>
            <w:tcBorders>
              <w:bottom w:val="single" w:sz="8" w:color="0000EE"/>
            </w:tcBorders>
            <w:gridSpan w:val="16"/>
          </w:tcPr>
          <w:p>
            <w:pPr>
              <w:spacing w:after="0"/>
              <w:rPr>
                <w:rFonts w:ascii="Arial" w:cs="Arial" w:eastAsia="Arial" w:hAnsi="Arial"/>
                <w:sz w:val="18"/>
                <w:szCs w:val="18"/>
                <w:color w:val="auto"/>
                <w:w w:val="92"/>
              </w:rPr>
            </w:pPr>
            <w:hyperlink r:id="rId410">
              <w:r>
                <w:rPr>
                  <w:rFonts w:ascii="Arial" w:cs="Arial" w:eastAsia="Arial" w:hAnsi="Arial"/>
                  <w:sz w:val="18"/>
                  <w:szCs w:val="18"/>
                  <w:color w:val="auto"/>
                  <w:w w:val="92"/>
                </w:rPr>
                <w:t>First Amendment, dated as of May 12, 2017, by</w:t>
              </w:r>
            </w:hyperlink>
          </w:p>
        </w:tc>
        <w:tc>
          <w:tcPr>
            <w:tcW w:w="160" w:type="dxa"/>
            <w:vAlign w:val="bottom"/>
            <w:gridSpan w:val="6"/>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000" w:type="dxa"/>
            <w:vAlign w:val="bottom"/>
            <w:tcBorders>
              <w:bottom w:val="single" w:sz="8" w:color="0000EE"/>
            </w:tcBorders>
            <w:gridSpan w:val="3"/>
          </w:tcPr>
          <w:p>
            <w:pPr>
              <w:spacing w:after="0" w:line="195" w:lineRule="exact"/>
              <w:rPr>
                <w:rFonts w:ascii="Arial" w:cs="Arial" w:eastAsia="Arial" w:hAnsi="Arial"/>
                <w:sz w:val="18"/>
                <w:szCs w:val="18"/>
                <w:color w:val="auto"/>
                <w:w w:val="92"/>
              </w:rPr>
            </w:pPr>
            <w:hyperlink r:id="rId410">
              <w:r>
                <w:rPr>
                  <w:rFonts w:ascii="Arial" w:cs="Arial" w:eastAsia="Arial" w:hAnsi="Arial"/>
                  <w:sz w:val="18"/>
                  <w:szCs w:val="18"/>
                  <w:color w:val="auto"/>
                  <w:w w:val="92"/>
                </w:rPr>
                <w:t>and among Tripadvisor, Inc., Tripadvisor</w:t>
              </w:r>
            </w:hyperlink>
          </w:p>
        </w:tc>
        <w:tc>
          <w:tcPr>
            <w:tcW w:w="680" w:type="dxa"/>
            <w:vAlign w:val="bottom"/>
            <w:gridSpan w:val="1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160" w:type="dxa"/>
            <w:vAlign w:val="bottom"/>
            <w:tcBorders>
              <w:bottom w:val="single" w:sz="8" w:color="0000EE"/>
            </w:tcBorders>
            <w:gridSpan w:val="6"/>
          </w:tcPr>
          <w:p>
            <w:pPr>
              <w:spacing w:after="0" w:line="195" w:lineRule="exact"/>
              <w:rPr>
                <w:rFonts w:ascii="Arial" w:cs="Arial" w:eastAsia="Arial" w:hAnsi="Arial"/>
                <w:sz w:val="18"/>
                <w:szCs w:val="18"/>
                <w:color w:val="auto"/>
                <w:w w:val="94"/>
              </w:rPr>
            </w:pPr>
            <w:hyperlink r:id="rId410">
              <w:r>
                <w:rPr>
                  <w:rFonts w:ascii="Arial" w:cs="Arial" w:eastAsia="Arial" w:hAnsi="Arial"/>
                  <w:sz w:val="18"/>
                  <w:szCs w:val="18"/>
                  <w:color w:val="auto"/>
                  <w:w w:val="94"/>
                </w:rPr>
                <w:t>Holdings, LLC, Tripadvisor LLC and other</w:t>
              </w:r>
            </w:hyperlink>
          </w:p>
        </w:tc>
        <w:tc>
          <w:tcPr>
            <w:tcW w:w="520" w:type="dxa"/>
            <w:vAlign w:val="bottom"/>
            <w:gridSpan w:val="1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22"/>
          </w:tcPr>
          <w:p>
            <w:pPr>
              <w:spacing w:after="0" w:line="195" w:lineRule="exact"/>
              <w:rPr>
                <w:rFonts w:ascii="Arial" w:cs="Arial" w:eastAsia="Arial" w:hAnsi="Arial"/>
                <w:sz w:val="18"/>
                <w:szCs w:val="18"/>
                <w:color w:val="auto"/>
                <w:w w:val="91"/>
              </w:rPr>
            </w:pPr>
            <w:hyperlink r:id="rId410">
              <w:r>
                <w:rPr>
                  <w:rFonts w:ascii="Arial" w:cs="Arial" w:eastAsia="Arial" w:hAnsi="Arial"/>
                  <w:sz w:val="18"/>
                  <w:szCs w:val="18"/>
                  <w:color w:val="auto"/>
                  <w:w w:val="91"/>
                </w:rPr>
                <w:t>Subsidiary Loan Parties party thereto, the Lenders</w:t>
              </w:r>
            </w:hyperlink>
          </w:p>
        </w:tc>
      </w:tr>
      <w:tr>
        <w:trPr>
          <w:trHeight w:val="196"/>
        </w:trPr>
        <w:tc>
          <w:tcPr>
            <w:tcW w:w="1100" w:type="dxa"/>
            <w:vAlign w:val="bottom"/>
          </w:tcPr>
          <w:p>
            <w:pPr>
              <w:spacing w:after="0"/>
              <w:rPr>
                <w:sz w:val="17"/>
                <w:szCs w:val="17"/>
                <w:color w:val="auto"/>
              </w:rPr>
            </w:pPr>
          </w:p>
        </w:tc>
        <w:tc>
          <w:tcPr>
            <w:tcW w:w="3380" w:type="dxa"/>
            <w:vAlign w:val="bottom"/>
            <w:tcBorders>
              <w:bottom w:val="single" w:sz="8" w:color="0000EE"/>
            </w:tcBorders>
            <w:gridSpan w:val="14"/>
          </w:tcPr>
          <w:p>
            <w:pPr>
              <w:spacing w:after="0" w:line="195" w:lineRule="exact"/>
              <w:rPr>
                <w:rFonts w:ascii="Arial" w:cs="Arial" w:eastAsia="Arial" w:hAnsi="Arial"/>
                <w:sz w:val="18"/>
                <w:szCs w:val="18"/>
                <w:color w:val="auto"/>
                <w:w w:val="90"/>
              </w:rPr>
            </w:pPr>
            <w:hyperlink r:id="rId410">
              <w:r>
                <w:rPr>
                  <w:rFonts w:ascii="Arial" w:cs="Arial" w:eastAsia="Arial" w:hAnsi="Arial"/>
                  <w:sz w:val="18"/>
                  <w:szCs w:val="18"/>
                  <w:color w:val="auto"/>
                  <w:w w:val="90"/>
                </w:rPr>
                <w:t>party thereto, JPMorgan Chase Bank, N.A., as</w:t>
              </w:r>
            </w:hyperlink>
          </w:p>
        </w:tc>
        <w:tc>
          <w:tcPr>
            <w:tcW w:w="30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280" w:type="dxa"/>
            <w:vAlign w:val="bottom"/>
            <w:tcBorders>
              <w:bottom w:val="single" w:sz="8" w:color="0000EE"/>
            </w:tcBorders>
            <w:gridSpan w:val="11"/>
          </w:tcPr>
          <w:p>
            <w:pPr>
              <w:spacing w:after="0" w:line="195" w:lineRule="exact"/>
              <w:rPr>
                <w:rFonts w:ascii="Arial" w:cs="Arial" w:eastAsia="Arial" w:hAnsi="Arial"/>
                <w:sz w:val="18"/>
                <w:szCs w:val="18"/>
                <w:color w:val="auto"/>
                <w:w w:val="90"/>
              </w:rPr>
            </w:pPr>
            <w:hyperlink r:id="rId410">
              <w:r>
                <w:rPr>
                  <w:rFonts w:ascii="Arial" w:cs="Arial" w:eastAsia="Arial" w:hAnsi="Arial"/>
                  <w:sz w:val="18"/>
                  <w:szCs w:val="18"/>
                  <w:color w:val="auto"/>
                  <w:w w:val="90"/>
                </w:rPr>
                <w:t>administrative agent, and J.P.Morgan Europe</w:t>
              </w:r>
            </w:hyperlink>
          </w:p>
        </w:tc>
        <w:tc>
          <w:tcPr>
            <w:tcW w:w="400" w:type="dxa"/>
            <w:vAlign w:val="bottom"/>
            <w:gridSpan w:val="11"/>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gridSpan w:val="22"/>
          </w:tcPr>
          <w:p>
            <w:pPr>
              <w:spacing w:after="0" w:line="195" w:lineRule="exact"/>
              <w:rPr>
                <w:rFonts w:ascii="Arial" w:cs="Arial" w:eastAsia="Arial" w:hAnsi="Arial"/>
                <w:sz w:val="18"/>
                <w:szCs w:val="18"/>
                <w:color w:val="auto"/>
              </w:rPr>
            </w:pPr>
            <w:hyperlink r:id="rId410">
              <w:r>
                <w:rPr>
                  <w:rFonts w:ascii="Arial" w:cs="Arial" w:eastAsia="Arial" w:hAnsi="Arial"/>
                  <w:sz w:val="18"/>
                  <w:szCs w:val="18"/>
                  <w:color w:val="auto"/>
                </w:rPr>
                <w:t>Limited, as London Agent</w:t>
              </w:r>
            </w:hyperlink>
          </w:p>
        </w:tc>
      </w:tr>
      <w:tr>
        <w:trPr>
          <w:trHeight w:val="20"/>
        </w:trPr>
        <w:tc>
          <w:tcPr>
            <w:tcW w:w="11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00" w:type="dxa"/>
            <w:vAlign w:val="bottom"/>
          </w:tcPr>
          <w:p>
            <w:pPr>
              <w:jc w:val="right"/>
              <w:ind w:right="610"/>
              <w:spacing w:after="0"/>
              <w:rPr>
                <w:sz w:val="20"/>
                <w:szCs w:val="20"/>
                <w:color w:val="auto"/>
              </w:rPr>
            </w:pPr>
            <w:r>
              <w:rPr>
                <w:rFonts w:ascii="Arial" w:cs="Arial" w:eastAsia="Arial" w:hAnsi="Arial"/>
                <w:sz w:val="18"/>
                <w:szCs w:val="18"/>
                <w:color w:val="auto"/>
                <w:w w:val="84"/>
              </w:rPr>
              <w:t>10.21</w:t>
            </w:r>
          </w:p>
        </w:tc>
        <w:tc>
          <w:tcPr>
            <w:tcW w:w="3620" w:type="dxa"/>
            <w:vAlign w:val="bottom"/>
            <w:tcBorders>
              <w:bottom w:val="single" w:sz="8" w:color="0000EE"/>
            </w:tcBorders>
            <w:gridSpan w:val="20"/>
          </w:tcPr>
          <w:p>
            <w:pPr>
              <w:spacing w:after="0"/>
              <w:rPr>
                <w:rFonts w:ascii="Arial" w:cs="Arial" w:eastAsia="Arial" w:hAnsi="Arial"/>
                <w:sz w:val="18"/>
                <w:szCs w:val="18"/>
                <w:color w:val="auto"/>
                <w:w w:val="91"/>
              </w:rPr>
            </w:pPr>
            <w:hyperlink r:id="rId411">
              <w:r>
                <w:rPr>
                  <w:rFonts w:ascii="Arial" w:cs="Arial" w:eastAsia="Arial" w:hAnsi="Arial"/>
                  <w:sz w:val="18"/>
                  <w:szCs w:val="18"/>
                  <w:color w:val="auto"/>
                  <w:w w:val="91"/>
                </w:rPr>
                <w:t>Second Amendment, dated as of May 5, 2020, by</w:t>
              </w:r>
            </w:hyperlink>
          </w:p>
        </w:tc>
        <w:tc>
          <w:tcPr>
            <w:tcW w:w="60" w:type="dxa"/>
            <w:vAlign w:val="bottom"/>
            <w:gridSpan w:val="2"/>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000" w:type="dxa"/>
            <w:vAlign w:val="bottom"/>
            <w:tcBorders>
              <w:bottom w:val="single" w:sz="8" w:color="0000EE"/>
            </w:tcBorders>
            <w:gridSpan w:val="3"/>
          </w:tcPr>
          <w:p>
            <w:pPr>
              <w:spacing w:after="0" w:line="195" w:lineRule="exact"/>
              <w:rPr>
                <w:rFonts w:ascii="Arial" w:cs="Arial" w:eastAsia="Arial" w:hAnsi="Arial"/>
                <w:sz w:val="18"/>
                <w:szCs w:val="18"/>
                <w:color w:val="auto"/>
                <w:w w:val="92"/>
              </w:rPr>
            </w:pPr>
            <w:hyperlink r:id="rId411">
              <w:r>
                <w:rPr>
                  <w:rFonts w:ascii="Arial" w:cs="Arial" w:eastAsia="Arial" w:hAnsi="Arial"/>
                  <w:sz w:val="18"/>
                  <w:szCs w:val="18"/>
                  <w:color w:val="auto"/>
                  <w:w w:val="92"/>
                </w:rPr>
                <w:t>and among Tripadvisor, Inc., Tripadvisor</w:t>
              </w:r>
            </w:hyperlink>
          </w:p>
        </w:tc>
        <w:tc>
          <w:tcPr>
            <w:tcW w:w="680" w:type="dxa"/>
            <w:vAlign w:val="bottom"/>
            <w:gridSpan w:val="1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180" w:type="dxa"/>
            <w:vAlign w:val="bottom"/>
            <w:tcBorders>
              <w:bottom w:val="single" w:sz="8" w:color="0000EE"/>
            </w:tcBorders>
            <w:gridSpan w:val="7"/>
          </w:tcPr>
          <w:p>
            <w:pPr>
              <w:spacing w:after="0" w:line="195" w:lineRule="exact"/>
              <w:rPr>
                <w:rFonts w:ascii="Arial" w:cs="Arial" w:eastAsia="Arial" w:hAnsi="Arial"/>
                <w:sz w:val="18"/>
                <w:szCs w:val="18"/>
                <w:color w:val="auto"/>
                <w:w w:val="95"/>
              </w:rPr>
            </w:pPr>
            <w:hyperlink r:id="rId411">
              <w:r>
                <w:rPr>
                  <w:rFonts w:ascii="Arial" w:cs="Arial" w:eastAsia="Arial" w:hAnsi="Arial"/>
                  <w:sz w:val="18"/>
                  <w:szCs w:val="18"/>
                  <w:color w:val="auto"/>
                  <w:w w:val="95"/>
                </w:rPr>
                <w:t>Holdings, LLC, Tripadvisor LLC, the other</w:t>
              </w:r>
            </w:hyperlink>
          </w:p>
        </w:tc>
        <w:tc>
          <w:tcPr>
            <w:tcW w:w="500" w:type="dxa"/>
            <w:vAlign w:val="bottom"/>
            <w:gridSpan w:val="1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22"/>
          </w:tcPr>
          <w:p>
            <w:pPr>
              <w:spacing w:after="0" w:line="195" w:lineRule="exact"/>
              <w:rPr>
                <w:rFonts w:ascii="Arial" w:cs="Arial" w:eastAsia="Arial" w:hAnsi="Arial"/>
                <w:sz w:val="18"/>
                <w:szCs w:val="18"/>
                <w:color w:val="auto"/>
                <w:w w:val="90"/>
              </w:rPr>
            </w:pPr>
            <w:hyperlink r:id="rId411">
              <w:r>
                <w:rPr>
                  <w:rFonts w:ascii="Arial" w:cs="Arial" w:eastAsia="Arial" w:hAnsi="Arial"/>
                  <w:sz w:val="18"/>
                  <w:szCs w:val="18"/>
                  <w:color w:val="auto"/>
                  <w:w w:val="90"/>
                </w:rPr>
                <w:t>Borrowers party thereto, the Lenders party thereto,</w:t>
              </w:r>
            </w:hyperlink>
          </w:p>
        </w:tc>
      </w:tr>
      <w:tr>
        <w:trPr>
          <w:trHeight w:val="196"/>
        </w:trPr>
        <w:tc>
          <w:tcPr>
            <w:tcW w:w="1100" w:type="dxa"/>
            <w:vAlign w:val="bottom"/>
          </w:tcPr>
          <w:p>
            <w:pPr>
              <w:spacing w:after="0"/>
              <w:rPr>
                <w:sz w:val="17"/>
                <w:szCs w:val="17"/>
                <w:color w:val="auto"/>
              </w:rPr>
            </w:pPr>
          </w:p>
        </w:tc>
        <w:tc>
          <w:tcPr>
            <w:tcW w:w="3500" w:type="dxa"/>
            <w:vAlign w:val="bottom"/>
            <w:tcBorders>
              <w:bottom w:val="single" w:sz="8" w:color="0000EE"/>
            </w:tcBorders>
            <w:gridSpan w:val="15"/>
          </w:tcPr>
          <w:p>
            <w:pPr>
              <w:spacing w:after="0" w:line="195" w:lineRule="exact"/>
              <w:rPr>
                <w:rFonts w:ascii="Arial" w:cs="Arial" w:eastAsia="Arial" w:hAnsi="Arial"/>
                <w:sz w:val="18"/>
                <w:szCs w:val="18"/>
                <w:color w:val="auto"/>
                <w:w w:val="92"/>
              </w:rPr>
            </w:pPr>
            <w:hyperlink r:id="rId411">
              <w:r>
                <w:rPr>
                  <w:rFonts w:ascii="Arial" w:cs="Arial" w:eastAsia="Arial" w:hAnsi="Arial"/>
                  <w:sz w:val="18"/>
                  <w:szCs w:val="18"/>
                  <w:color w:val="auto"/>
                  <w:w w:val="92"/>
                </w:rPr>
                <w:t>JPMorgan Chase Bank, N.A., as Administrative</w:t>
              </w:r>
            </w:hyperlink>
          </w:p>
        </w:tc>
        <w:tc>
          <w:tcPr>
            <w:tcW w:w="180" w:type="dxa"/>
            <w:vAlign w:val="bottom"/>
            <w:gridSpan w:val="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560" w:type="dxa"/>
            <w:vAlign w:val="bottom"/>
            <w:tcBorders>
              <w:bottom w:val="single" w:sz="8" w:color="0000EE"/>
            </w:tcBorders>
            <w:gridSpan w:val="18"/>
          </w:tcPr>
          <w:p>
            <w:pPr>
              <w:spacing w:after="0" w:line="195" w:lineRule="exact"/>
              <w:rPr>
                <w:rFonts w:ascii="Arial" w:cs="Arial" w:eastAsia="Arial" w:hAnsi="Arial"/>
                <w:sz w:val="18"/>
                <w:szCs w:val="18"/>
                <w:color w:val="auto"/>
                <w:w w:val="94"/>
              </w:rPr>
            </w:pPr>
            <w:hyperlink r:id="rId411">
              <w:r>
                <w:rPr>
                  <w:rFonts w:ascii="Arial" w:cs="Arial" w:eastAsia="Arial" w:hAnsi="Arial"/>
                  <w:sz w:val="18"/>
                  <w:szCs w:val="18"/>
                  <w:color w:val="auto"/>
                  <w:w w:val="94"/>
                </w:rPr>
                <w:t>Agent and London Agent, BofA Securities, Inc.,</w:t>
              </w:r>
            </w:hyperlink>
          </w:p>
        </w:tc>
        <w:tc>
          <w:tcPr>
            <w:tcW w:w="12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140" w:type="dxa"/>
            <w:vAlign w:val="bottom"/>
            <w:tcBorders>
              <w:bottom w:val="single" w:sz="8" w:color="0000EE"/>
            </w:tcBorders>
            <w:gridSpan w:val="5"/>
          </w:tcPr>
          <w:p>
            <w:pPr>
              <w:spacing w:after="0" w:line="195" w:lineRule="exact"/>
              <w:rPr>
                <w:rFonts w:ascii="Arial" w:cs="Arial" w:eastAsia="Arial" w:hAnsi="Arial"/>
                <w:sz w:val="18"/>
                <w:szCs w:val="18"/>
                <w:color w:val="auto"/>
                <w:w w:val="93"/>
              </w:rPr>
            </w:pPr>
            <w:hyperlink r:id="rId411">
              <w:r>
                <w:rPr>
                  <w:rFonts w:ascii="Arial" w:cs="Arial" w:eastAsia="Arial" w:hAnsi="Arial"/>
                  <w:sz w:val="18"/>
                  <w:szCs w:val="18"/>
                  <w:color w:val="auto"/>
                  <w:w w:val="93"/>
                </w:rPr>
                <w:t>BMO Capital Markets Corp., BNP Paribas</w:t>
              </w:r>
            </w:hyperlink>
          </w:p>
        </w:tc>
        <w:tc>
          <w:tcPr>
            <w:tcW w:w="540" w:type="dxa"/>
            <w:vAlign w:val="bottom"/>
            <w:gridSpan w:val="1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540" w:type="dxa"/>
            <w:vAlign w:val="bottom"/>
            <w:tcBorders>
              <w:bottom w:val="single" w:sz="8" w:color="0000EE"/>
            </w:tcBorders>
            <w:gridSpan w:val="17"/>
          </w:tcPr>
          <w:p>
            <w:pPr>
              <w:spacing w:after="0" w:line="195" w:lineRule="exact"/>
              <w:rPr>
                <w:rFonts w:ascii="Arial" w:cs="Arial" w:eastAsia="Arial" w:hAnsi="Arial"/>
                <w:sz w:val="18"/>
                <w:szCs w:val="18"/>
                <w:color w:val="auto"/>
                <w:w w:val="91"/>
              </w:rPr>
            </w:pPr>
            <w:hyperlink r:id="rId411">
              <w:r>
                <w:rPr>
                  <w:rFonts w:ascii="Arial" w:cs="Arial" w:eastAsia="Arial" w:hAnsi="Arial"/>
                  <w:sz w:val="18"/>
                  <w:szCs w:val="18"/>
                  <w:color w:val="auto"/>
                  <w:w w:val="91"/>
                </w:rPr>
                <w:t>Securities Corp., SunTrust Robinson Humphrey,</w:t>
              </w:r>
            </w:hyperlink>
          </w:p>
        </w:tc>
        <w:tc>
          <w:tcPr>
            <w:tcW w:w="14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60" w:type="dxa"/>
            <w:vAlign w:val="bottom"/>
            <w:tcBorders>
              <w:bottom w:val="single" w:sz="8" w:color="0000EE"/>
            </w:tcBorders>
            <w:gridSpan w:val="21"/>
          </w:tcPr>
          <w:p>
            <w:pPr>
              <w:spacing w:after="0" w:line="195" w:lineRule="exact"/>
              <w:rPr>
                <w:rFonts w:ascii="Arial" w:cs="Arial" w:eastAsia="Arial" w:hAnsi="Arial"/>
                <w:sz w:val="18"/>
                <w:szCs w:val="18"/>
                <w:color w:val="auto"/>
                <w:w w:val="92"/>
              </w:rPr>
            </w:pPr>
            <w:hyperlink r:id="rId411">
              <w:r>
                <w:rPr>
                  <w:rFonts w:ascii="Arial" w:cs="Arial" w:eastAsia="Arial" w:hAnsi="Arial"/>
                  <w:sz w:val="18"/>
                  <w:szCs w:val="18"/>
                  <w:color w:val="auto"/>
                  <w:w w:val="92"/>
                </w:rPr>
                <w:t>Inc., and U.S. Bank National Association, as Joint</w:t>
              </w:r>
            </w:hyperlink>
          </w:p>
        </w:tc>
        <w:tc>
          <w:tcPr>
            <w:tcW w:w="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520" w:type="dxa"/>
            <w:vAlign w:val="bottom"/>
            <w:tcBorders>
              <w:bottom w:val="single" w:sz="8" w:color="0000EE"/>
            </w:tcBorders>
            <w:gridSpan w:val="16"/>
          </w:tcPr>
          <w:p>
            <w:pPr>
              <w:spacing w:after="0" w:line="195" w:lineRule="exact"/>
              <w:rPr>
                <w:rFonts w:ascii="Arial" w:cs="Arial" w:eastAsia="Arial" w:hAnsi="Arial"/>
                <w:sz w:val="18"/>
                <w:szCs w:val="18"/>
                <w:color w:val="auto"/>
                <w:w w:val="92"/>
              </w:rPr>
            </w:pPr>
            <w:hyperlink r:id="rId411">
              <w:r>
                <w:rPr>
                  <w:rFonts w:ascii="Arial" w:cs="Arial" w:eastAsia="Arial" w:hAnsi="Arial"/>
                  <w:sz w:val="18"/>
                  <w:szCs w:val="18"/>
                  <w:color w:val="auto"/>
                  <w:w w:val="92"/>
                </w:rPr>
                <w:t>Lead Arrangers and Joint Bookrunners; Bank of</w:t>
              </w:r>
            </w:hyperlink>
          </w:p>
        </w:tc>
        <w:tc>
          <w:tcPr>
            <w:tcW w:w="16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22"/>
          </w:tcPr>
          <w:p>
            <w:pPr>
              <w:spacing w:after="0" w:line="195" w:lineRule="exact"/>
              <w:rPr>
                <w:rFonts w:ascii="Arial" w:cs="Arial" w:eastAsia="Arial" w:hAnsi="Arial"/>
                <w:sz w:val="18"/>
                <w:szCs w:val="18"/>
                <w:color w:val="auto"/>
                <w:w w:val="94"/>
              </w:rPr>
            </w:pPr>
            <w:hyperlink r:id="rId411">
              <w:r>
                <w:rPr>
                  <w:rFonts w:ascii="Arial" w:cs="Arial" w:eastAsia="Arial" w:hAnsi="Arial"/>
                  <w:sz w:val="18"/>
                  <w:szCs w:val="18"/>
                  <w:color w:val="auto"/>
                  <w:w w:val="94"/>
                </w:rPr>
                <w:t>America, N.A., BMO Capital Markets Corp., BNP</w:t>
              </w:r>
            </w:hyperlink>
          </w:p>
        </w:tc>
      </w:tr>
      <w:tr>
        <w:trPr>
          <w:trHeight w:val="196"/>
        </w:trPr>
        <w:tc>
          <w:tcPr>
            <w:tcW w:w="1100" w:type="dxa"/>
            <w:vAlign w:val="bottom"/>
          </w:tcPr>
          <w:p>
            <w:pPr>
              <w:spacing w:after="0"/>
              <w:rPr>
                <w:sz w:val="17"/>
                <w:szCs w:val="17"/>
                <w:color w:val="auto"/>
              </w:rPr>
            </w:pPr>
          </w:p>
        </w:tc>
        <w:tc>
          <w:tcPr>
            <w:tcW w:w="3260" w:type="dxa"/>
            <w:vAlign w:val="bottom"/>
            <w:tcBorders>
              <w:bottom w:val="single" w:sz="8" w:color="0000EE"/>
            </w:tcBorders>
            <w:gridSpan w:val="10"/>
          </w:tcPr>
          <w:p>
            <w:pPr>
              <w:spacing w:after="0" w:line="195" w:lineRule="exact"/>
              <w:rPr>
                <w:rFonts w:ascii="Arial" w:cs="Arial" w:eastAsia="Arial" w:hAnsi="Arial"/>
                <w:sz w:val="18"/>
                <w:szCs w:val="18"/>
                <w:color w:val="auto"/>
                <w:w w:val="90"/>
              </w:rPr>
            </w:pPr>
            <w:hyperlink r:id="rId411">
              <w:r>
                <w:rPr>
                  <w:rFonts w:ascii="Arial" w:cs="Arial" w:eastAsia="Arial" w:hAnsi="Arial"/>
                  <w:sz w:val="18"/>
                  <w:szCs w:val="18"/>
                  <w:color w:val="auto"/>
                  <w:w w:val="90"/>
                </w:rPr>
                <w:t>Paribas Securities Corp., SunTrust Robinson</w:t>
              </w:r>
            </w:hyperlink>
          </w:p>
        </w:tc>
        <w:tc>
          <w:tcPr>
            <w:tcW w:w="420" w:type="dxa"/>
            <w:vAlign w:val="bottom"/>
            <w:gridSpan w:val="1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920" w:type="dxa"/>
            <w:vAlign w:val="bottom"/>
            <w:tcBorders>
              <w:bottom w:val="single" w:sz="8" w:color="0000EE"/>
            </w:tcBorders>
            <w:gridSpan w:val="2"/>
          </w:tcPr>
          <w:p>
            <w:pPr>
              <w:spacing w:after="0" w:line="195" w:lineRule="exact"/>
              <w:rPr>
                <w:rFonts w:ascii="Arial" w:cs="Arial" w:eastAsia="Arial" w:hAnsi="Arial"/>
                <w:sz w:val="18"/>
                <w:szCs w:val="18"/>
                <w:color w:val="auto"/>
                <w:w w:val="92"/>
              </w:rPr>
            </w:pPr>
            <w:hyperlink r:id="rId411">
              <w:r>
                <w:rPr>
                  <w:rFonts w:ascii="Arial" w:cs="Arial" w:eastAsia="Arial" w:hAnsi="Arial"/>
                  <w:sz w:val="18"/>
                  <w:szCs w:val="18"/>
                  <w:color w:val="auto"/>
                  <w:w w:val="92"/>
                </w:rPr>
                <w:t>Humphrey, Inc. and U.S. Bank National</w:t>
              </w:r>
            </w:hyperlink>
          </w:p>
        </w:tc>
        <w:tc>
          <w:tcPr>
            <w:tcW w:w="760" w:type="dxa"/>
            <w:vAlign w:val="bottom"/>
            <w:gridSpan w:val="20"/>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220" w:type="dxa"/>
            <w:vAlign w:val="bottom"/>
            <w:tcBorders>
              <w:bottom w:val="single" w:sz="8" w:color="0000EE"/>
            </w:tcBorders>
            <w:gridSpan w:val="8"/>
          </w:tcPr>
          <w:p>
            <w:pPr>
              <w:spacing w:after="0" w:line="195" w:lineRule="exact"/>
              <w:rPr>
                <w:rFonts w:ascii="Arial" w:cs="Arial" w:eastAsia="Arial" w:hAnsi="Arial"/>
                <w:sz w:val="18"/>
                <w:szCs w:val="18"/>
                <w:color w:val="auto"/>
                <w:w w:val="91"/>
              </w:rPr>
            </w:pPr>
            <w:hyperlink r:id="rId411">
              <w:r>
                <w:rPr>
                  <w:rFonts w:ascii="Arial" w:cs="Arial" w:eastAsia="Arial" w:hAnsi="Arial"/>
                  <w:sz w:val="18"/>
                  <w:szCs w:val="18"/>
                  <w:color w:val="auto"/>
                  <w:w w:val="91"/>
                </w:rPr>
                <w:t>Association, as Co-Syndication Agents; and</w:t>
              </w:r>
            </w:hyperlink>
          </w:p>
        </w:tc>
        <w:tc>
          <w:tcPr>
            <w:tcW w:w="460" w:type="dxa"/>
            <w:vAlign w:val="bottom"/>
            <w:gridSpan w:val="1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240" w:type="dxa"/>
            <w:vAlign w:val="bottom"/>
            <w:tcBorders>
              <w:bottom w:val="single" w:sz="8" w:color="0000EE"/>
            </w:tcBorders>
            <w:gridSpan w:val="9"/>
          </w:tcPr>
          <w:p>
            <w:pPr>
              <w:spacing w:after="0" w:line="195" w:lineRule="exact"/>
              <w:rPr>
                <w:rFonts w:ascii="Arial" w:cs="Arial" w:eastAsia="Arial" w:hAnsi="Arial"/>
                <w:sz w:val="18"/>
                <w:szCs w:val="18"/>
                <w:color w:val="auto"/>
                <w:w w:val="92"/>
              </w:rPr>
            </w:pPr>
            <w:hyperlink r:id="rId411">
              <w:r>
                <w:rPr>
                  <w:rFonts w:ascii="Arial" w:cs="Arial" w:eastAsia="Arial" w:hAnsi="Arial"/>
                  <w:sz w:val="18"/>
                  <w:szCs w:val="18"/>
                  <w:color w:val="auto"/>
                  <w:w w:val="92"/>
                </w:rPr>
                <w:t>Barclays Bank PLC, Morgan Stanley Senior</w:t>
              </w:r>
            </w:hyperlink>
          </w:p>
        </w:tc>
        <w:tc>
          <w:tcPr>
            <w:tcW w:w="440" w:type="dxa"/>
            <w:vAlign w:val="bottom"/>
            <w:gridSpan w:val="1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5" w:lineRule="exact"/>
              <w:rPr>
                <w:rFonts w:ascii="Arial" w:cs="Arial" w:eastAsia="Arial" w:hAnsi="Arial"/>
                <w:sz w:val="18"/>
                <w:szCs w:val="18"/>
                <w:color w:val="auto"/>
                <w:w w:val="92"/>
              </w:rPr>
            </w:pPr>
            <w:hyperlink r:id="rId411">
              <w:r>
                <w:rPr>
                  <w:rFonts w:ascii="Arial" w:cs="Arial" w:eastAsia="Arial" w:hAnsi="Arial"/>
                  <w:sz w:val="18"/>
                  <w:szCs w:val="18"/>
                  <w:color w:val="auto"/>
                  <w:w w:val="92"/>
                </w:rPr>
                <w:t>Funding, Inc. and Wells Fargo Bank, National</w:t>
              </w:r>
            </w:hyperlink>
          </w:p>
        </w:tc>
        <w:tc>
          <w:tcPr>
            <w:tcW w:w="320" w:type="dxa"/>
            <w:vAlign w:val="bottom"/>
            <w:gridSpan w:val="9"/>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120" w:type="dxa"/>
            <w:vAlign w:val="bottom"/>
            <w:tcBorders>
              <w:bottom w:val="single" w:sz="8" w:color="0000EE"/>
            </w:tcBorders>
            <w:gridSpan w:val="4"/>
          </w:tcPr>
          <w:p>
            <w:pPr>
              <w:spacing w:after="0" w:line="195" w:lineRule="exact"/>
              <w:rPr>
                <w:rFonts w:ascii="Arial" w:cs="Arial" w:eastAsia="Arial" w:hAnsi="Arial"/>
                <w:sz w:val="18"/>
                <w:szCs w:val="18"/>
                <w:color w:val="auto"/>
                <w:w w:val="90"/>
              </w:rPr>
            </w:pPr>
            <w:hyperlink r:id="rId411">
              <w:r>
                <w:rPr>
                  <w:rFonts w:ascii="Arial" w:cs="Arial" w:eastAsia="Arial" w:hAnsi="Arial"/>
                  <w:sz w:val="18"/>
                  <w:szCs w:val="18"/>
                  <w:color w:val="auto"/>
                  <w:w w:val="90"/>
                </w:rPr>
                <w:t>Association, as Co-Documentation Agents.</w:t>
              </w:r>
            </w:hyperlink>
          </w:p>
        </w:tc>
        <w:tc>
          <w:tcPr>
            <w:tcW w:w="560" w:type="dxa"/>
            <w:vAlign w:val="bottom"/>
            <w:gridSpan w:val="18"/>
          </w:tcPr>
          <w:p>
            <w:pPr>
              <w:spacing w:after="0"/>
              <w:rPr>
                <w:sz w:val="17"/>
                <w:szCs w:val="17"/>
                <w:color w:val="auto"/>
              </w:rPr>
            </w:pPr>
          </w:p>
        </w:tc>
      </w:tr>
      <w:tr>
        <w:trPr>
          <w:trHeight w:val="223"/>
        </w:trPr>
        <w:tc>
          <w:tcPr>
            <w:tcW w:w="1100" w:type="dxa"/>
            <w:vAlign w:val="bottom"/>
          </w:tcPr>
          <w:p>
            <w:pPr>
              <w:jc w:val="right"/>
              <w:ind w:right="610"/>
              <w:spacing w:after="0"/>
              <w:rPr>
                <w:sz w:val="20"/>
                <w:szCs w:val="20"/>
                <w:color w:val="auto"/>
              </w:rPr>
            </w:pPr>
            <w:r>
              <w:rPr>
                <w:rFonts w:ascii="Arial" w:cs="Arial" w:eastAsia="Arial" w:hAnsi="Arial"/>
                <w:sz w:val="18"/>
                <w:szCs w:val="18"/>
                <w:color w:val="auto"/>
                <w:w w:val="84"/>
              </w:rPr>
              <w:t>10.22</w:t>
            </w:r>
          </w:p>
        </w:tc>
        <w:tc>
          <w:tcPr>
            <w:tcW w:w="3300" w:type="dxa"/>
            <w:vAlign w:val="bottom"/>
            <w:tcBorders>
              <w:bottom w:val="single" w:sz="8" w:color="0000EE"/>
            </w:tcBorders>
            <w:gridSpan w:val="12"/>
          </w:tcPr>
          <w:p>
            <w:pPr>
              <w:spacing w:after="0"/>
              <w:rPr>
                <w:rFonts w:ascii="Arial" w:cs="Arial" w:eastAsia="Arial" w:hAnsi="Arial"/>
                <w:sz w:val="18"/>
                <w:szCs w:val="18"/>
                <w:color w:val="auto"/>
                <w:w w:val="91"/>
              </w:rPr>
            </w:pPr>
            <w:hyperlink r:id="rId412">
              <w:r>
                <w:rPr>
                  <w:rFonts w:ascii="Arial" w:cs="Arial" w:eastAsia="Arial" w:hAnsi="Arial"/>
                  <w:sz w:val="18"/>
                  <w:szCs w:val="18"/>
                  <w:color w:val="auto"/>
                  <w:w w:val="91"/>
                </w:rPr>
                <w:t>Third Amendment, dated as of December 17,</w:t>
              </w:r>
            </w:hyperlink>
          </w:p>
        </w:tc>
        <w:tc>
          <w:tcPr>
            <w:tcW w:w="380" w:type="dxa"/>
            <w:vAlign w:val="bottom"/>
            <w:gridSpan w:val="10"/>
          </w:tcPr>
          <w:p>
            <w:pPr>
              <w:spacing w:after="0"/>
              <w:rPr>
                <w:sz w:val="19"/>
                <w:szCs w:val="19"/>
                <w:color w:val="auto"/>
              </w:rPr>
            </w:pPr>
          </w:p>
        </w:tc>
      </w:tr>
      <w:tr>
        <w:trPr>
          <w:trHeight w:val="196"/>
        </w:trPr>
        <w:tc>
          <w:tcPr>
            <w:tcW w:w="1100" w:type="dxa"/>
            <w:vAlign w:val="bottom"/>
          </w:tcPr>
          <w:p>
            <w:pPr>
              <w:spacing w:after="0"/>
              <w:rPr>
                <w:sz w:val="17"/>
                <w:szCs w:val="17"/>
                <w:color w:val="auto"/>
              </w:rPr>
            </w:pPr>
          </w:p>
        </w:tc>
        <w:tc>
          <w:tcPr>
            <w:tcW w:w="3680" w:type="dxa"/>
            <w:vAlign w:val="bottom"/>
            <w:tcBorders>
              <w:bottom w:val="single" w:sz="8" w:color="0000EE"/>
            </w:tcBorders>
            <w:gridSpan w:val="22"/>
          </w:tcPr>
          <w:p>
            <w:pPr>
              <w:spacing w:after="0" w:line="195" w:lineRule="exact"/>
              <w:rPr>
                <w:rFonts w:ascii="Arial" w:cs="Arial" w:eastAsia="Arial" w:hAnsi="Arial"/>
                <w:sz w:val="18"/>
                <w:szCs w:val="18"/>
                <w:color w:val="auto"/>
                <w:w w:val="92"/>
              </w:rPr>
            </w:pPr>
            <w:hyperlink r:id="rId412">
              <w:r>
                <w:rPr>
                  <w:rFonts w:ascii="Arial" w:cs="Arial" w:eastAsia="Arial" w:hAnsi="Arial"/>
                  <w:sz w:val="18"/>
                  <w:szCs w:val="18"/>
                  <w:color w:val="auto"/>
                  <w:w w:val="92"/>
                </w:rPr>
                <w:t>2020, by and among Tripadvisor, Inc., Tripadvisor</w:t>
              </w:r>
            </w:hyperlink>
          </w:p>
        </w:tc>
      </w:tr>
      <w:tr>
        <w:trPr>
          <w:trHeight w:val="196"/>
        </w:trPr>
        <w:tc>
          <w:tcPr>
            <w:tcW w:w="1100" w:type="dxa"/>
            <w:vAlign w:val="bottom"/>
          </w:tcPr>
          <w:p>
            <w:pPr>
              <w:spacing w:after="0"/>
              <w:rPr>
                <w:sz w:val="17"/>
                <w:szCs w:val="17"/>
                <w:color w:val="auto"/>
              </w:rPr>
            </w:pPr>
          </w:p>
        </w:tc>
        <w:tc>
          <w:tcPr>
            <w:tcW w:w="3180" w:type="dxa"/>
            <w:vAlign w:val="bottom"/>
            <w:tcBorders>
              <w:bottom w:val="single" w:sz="8" w:color="0000EE"/>
            </w:tcBorders>
            <w:gridSpan w:val="7"/>
          </w:tcPr>
          <w:p>
            <w:pPr>
              <w:spacing w:after="0" w:line="195" w:lineRule="exact"/>
              <w:rPr>
                <w:rFonts w:ascii="Arial" w:cs="Arial" w:eastAsia="Arial" w:hAnsi="Arial"/>
                <w:sz w:val="18"/>
                <w:szCs w:val="18"/>
                <w:color w:val="auto"/>
                <w:w w:val="95"/>
              </w:rPr>
            </w:pPr>
            <w:hyperlink r:id="rId412">
              <w:r>
                <w:rPr>
                  <w:rFonts w:ascii="Arial" w:cs="Arial" w:eastAsia="Arial" w:hAnsi="Arial"/>
                  <w:sz w:val="18"/>
                  <w:szCs w:val="18"/>
                  <w:color w:val="auto"/>
                  <w:w w:val="95"/>
                </w:rPr>
                <w:t>Holdings, LLC, Tripadvisor LLC, the other</w:t>
              </w:r>
            </w:hyperlink>
          </w:p>
        </w:tc>
        <w:tc>
          <w:tcPr>
            <w:tcW w:w="500" w:type="dxa"/>
            <w:vAlign w:val="bottom"/>
            <w:gridSpan w:val="15"/>
          </w:tcPr>
          <w:p>
            <w:pPr>
              <w:spacing w:after="0"/>
              <w:rPr>
                <w:sz w:val="17"/>
                <w:szCs w:val="17"/>
                <w:color w:val="auto"/>
              </w:rPr>
            </w:pPr>
          </w:p>
        </w:tc>
      </w:tr>
    </w:tbl>
    <w:p>
      <w:pPr>
        <w:spacing w:after="0" w:line="13" w:lineRule="exact"/>
        <w:rPr>
          <w:sz w:val="20"/>
          <w:szCs w:val="20"/>
          <w:color w:val="auto"/>
        </w:rPr>
      </w:pPr>
    </w:p>
    <w:p>
      <w:pPr>
        <w:ind w:left="1100" w:right="960"/>
        <w:spacing w:after="0" w:line="269" w:lineRule="auto"/>
        <w:rPr>
          <w:rFonts w:ascii="Arial" w:cs="Arial" w:eastAsia="Arial" w:hAnsi="Arial"/>
          <w:sz w:val="17"/>
          <w:szCs w:val="17"/>
          <w:color w:val="auto"/>
        </w:rPr>
      </w:pPr>
      <w:hyperlink r:id="rId412">
        <w:r>
          <w:rPr>
            <w:rFonts w:ascii="Arial" w:cs="Arial" w:eastAsia="Arial" w:hAnsi="Arial"/>
            <w:sz w:val="17"/>
            <w:szCs w:val="17"/>
            <w:color w:val="auto"/>
          </w:rPr>
          <w:t>Borrowers party thereto, the Lenders party thereto,</w:t>
        </w:r>
      </w:hyperlink>
      <w:r>
        <w:rPr>
          <w:rFonts w:ascii="Arial" w:cs="Arial" w:eastAsia="Arial" w:hAnsi="Arial"/>
          <w:sz w:val="17"/>
          <w:szCs w:val="17"/>
          <w:color w:val="auto"/>
        </w:rPr>
        <w:t xml:space="preserve"> </w:t>
      </w:r>
      <w:hyperlink r:id="rId412">
        <w:r>
          <w:rPr>
            <w:rFonts w:ascii="Arial" w:cs="Arial" w:eastAsia="Arial" w:hAnsi="Arial"/>
            <w:sz w:val="17"/>
            <w:szCs w:val="17"/>
            <w:color w:val="auto"/>
          </w:rPr>
          <w:t>JPMorgan Chase Bank, N.A., as Administrative</w:t>
        </w:r>
      </w:hyperlink>
      <w:r>
        <w:rPr>
          <w:rFonts w:ascii="Arial" w:cs="Arial" w:eastAsia="Arial" w:hAnsi="Arial"/>
          <w:sz w:val="17"/>
          <w:szCs w:val="17"/>
          <w:color w:val="auto"/>
        </w:rPr>
        <w:t xml:space="preserve"> </w:t>
      </w:r>
      <w:hyperlink r:id="rId412">
        <w:r>
          <w:rPr>
            <w:rFonts w:ascii="Arial" w:cs="Arial" w:eastAsia="Arial" w:hAnsi="Arial"/>
            <w:sz w:val="17"/>
            <w:szCs w:val="17"/>
            <w:color w:val="auto"/>
          </w:rPr>
          <w:t>Agent and London Agent, BofA Securities, Inc.,</w:t>
        </w:r>
      </w:hyperlink>
      <w:r>
        <w:rPr>
          <w:rFonts w:ascii="Arial" w:cs="Arial" w:eastAsia="Arial" w:hAnsi="Arial"/>
          <w:sz w:val="17"/>
          <w:szCs w:val="17"/>
          <w:color w:val="auto"/>
        </w:rPr>
        <w:t xml:space="preserve"> </w:t>
      </w:r>
      <w:hyperlink r:id="rId412">
        <w:r>
          <w:rPr>
            <w:rFonts w:ascii="Arial" w:cs="Arial" w:eastAsia="Arial" w:hAnsi="Arial"/>
            <w:sz w:val="17"/>
            <w:szCs w:val="17"/>
            <w:color w:val="auto"/>
          </w:rPr>
          <w:t>BMO Capital markets Corp., BNP Paribas</w:t>
        </w:r>
      </w:hyperlink>
      <w:r>
        <w:rPr>
          <w:rFonts w:ascii="Arial" w:cs="Arial" w:eastAsia="Arial" w:hAnsi="Arial"/>
          <w:sz w:val="17"/>
          <w:szCs w:val="17"/>
          <w:color w:val="auto"/>
        </w:rPr>
        <w:t xml:space="preserve"> </w:t>
      </w:r>
      <w:hyperlink r:id="rId412">
        <w:r>
          <w:rPr>
            <w:rFonts w:ascii="Arial" w:cs="Arial" w:eastAsia="Arial" w:hAnsi="Arial"/>
            <w:sz w:val="17"/>
            <w:szCs w:val="17"/>
            <w:color w:val="auto"/>
          </w:rPr>
          <w:t>Securities Corp., Truist Securities, Inc., and U.S.</w:t>
        </w:r>
      </w:hyperlink>
      <w:r>
        <w:rPr>
          <w:rFonts w:ascii="Arial" w:cs="Arial" w:eastAsia="Arial" w:hAnsi="Arial"/>
          <w:sz w:val="17"/>
          <w:szCs w:val="17"/>
          <w:color w:val="auto"/>
        </w:rPr>
        <w:t xml:space="preserve"> </w:t>
      </w:r>
      <w:hyperlink r:id="rId412">
        <w:r>
          <w:rPr>
            <w:rFonts w:ascii="Arial" w:cs="Arial" w:eastAsia="Arial" w:hAnsi="Arial"/>
            <w:sz w:val="17"/>
            <w:szCs w:val="17"/>
            <w:color w:val="auto"/>
          </w:rPr>
          <w:t>Bank National Association, as Joint Lead</w:t>
        </w:r>
      </w:hyperlink>
      <w:r>
        <w:rPr>
          <w:rFonts w:ascii="Arial" w:cs="Arial" w:eastAsia="Arial" w:hAnsi="Arial"/>
          <w:sz w:val="17"/>
          <w:szCs w:val="17"/>
          <w:color w:val="auto"/>
        </w:rPr>
        <w:t xml:space="preserve"> </w:t>
      </w:r>
      <w:hyperlink r:id="rId412">
        <w:r>
          <w:rPr>
            <w:rFonts w:ascii="Arial" w:cs="Arial" w:eastAsia="Arial" w:hAnsi="Arial"/>
            <w:sz w:val="17"/>
            <w:szCs w:val="17"/>
            <w:color w:val="auto"/>
          </w:rPr>
          <w:t>Arrangers and Joint Bookrunners; Bank of</w:t>
        </w:r>
      </w:hyperlink>
      <w:r>
        <w:rPr>
          <w:rFonts w:ascii="Arial" w:cs="Arial" w:eastAsia="Arial" w:hAnsi="Arial"/>
          <w:sz w:val="17"/>
          <w:szCs w:val="17"/>
          <w:color w:val="auto"/>
        </w:rPr>
        <w:t xml:space="preserve"> </w:t>
      </w:r>
      <w:hyperlink r:id="rId412">
        <w:r>
          <w:rPr>
            <w:rFonts w:ascii="Arial" w:cs="Arial" w:eastAsia="Arial" w:hAnsi="Arial"/>
            <w:sz w:val="17"/>
            <w:szCs w:val="17"/>
            <w:color w:val="auto"/>
          </w:rPr>
          <w:t>America, N.A., BMO Capital Markets Corp., BNP</w:t>
        </w:r>
      </w:hyperlink>
      <w:r>
        <w:rPr>
          <w:rFonts w:ascii="Arial" w:cs="Arial" w:eastAsia="Arial" w:hAnsi="Arial"/>
          <w:sz w:val="17"/>
          <w:szCs w:val="17"/>
          <w:color w:val="auto"/>
        </w:rPr>
        <w:t xml:space="preserve"> </w:t>
      </w:r>
      <w:hyperlink r:id="rId412">
        <w:r>
          <w:rPr>
            <w:rFonts w:ascii="Arial" w:cs="Arial" w:eastAsia="Arial" w:hAnsi="Arial"/>
            <w:sz w:val="17"/>
            <w:szCs w:val="17"/>
            <w:color w:val="auto"/>
          </w:rPr>
          <w:t>Paribas Securities Corp., Truist Securities, Inc. and</w:t>
        </w:r>
      </w:hyperlink>
      <w:r>
        <w:rPr>
          <w:rFonts w:ascii="Arial" w:cs="Arial" w:eastAsia="Arial" w:hAnsi="Arial"/>
          <w:sz w:val="17"/>
          <w:szCs w:val="17"/>
          <w:color w:val="auto"/>
        </w:rPr>
        <w:t xml:space="preserve"> </w:t>
      </w:r>
      <w:hyperlink r:id="rId412">
        <w:r>
          <w:rPr>
            <w:rFonts w:ascii="Arial" w:cs="Arial" w:eastAsia="Arial" w:hAnsi="Arial"/>
            <w:sz w:val="17"/>
            <w:szCs w:val="17"/>
            <w:color w:val="auto"/>
          </w:rPr>
          <w:t>U.S. Bank National Association, as Co-</w:t>
        </w:r>
      </w:hyperlink>
      <w:hyperlink r:id="rId412">
        <w:r>
          <w:rPr>
            <w:rFonts w:ascii="Arial" w:cs="Arial" w:eastAsia="Arial" w:hAnsi="Arial"/>
            <w:sz w:val="17"/>
            <w:szCs w:val="17"/>
            <w:color w:val="auto"/>
          </w:rPr>
          <w:t>Syndication</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702945</wp:posOffset>
            </wp:positionH>
            <wp:positionV relativeFrom="paragraph">
              <wp:posOffset>-1409065</wp:posOffset>
            </wp:positionV>
            <wp:extent cx="2337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233743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-1272540</wp:posOffset>
            </wp:positionV>
            <wp:extent cx="221678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221678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-1135380</wp:posOffset>
            </wp:positionV>
            <wp:extent cx="22409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22409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-998220</wp:posOffset>
            </wp:positionV>
            <wp:extent cx="1965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196532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-861060</wp:posOffset>
            </wp:positionV>
            <wp:extent cx="225234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225234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-724535</wp:posOffset>
            </wp:positionV>
            <wp:extent cx="19177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1917700"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-587375</wp:posOffset>
            </wp:positionV>
            <wp:extent cx="19710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1971040"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-450215</wp:posOffset>
            </wp:positionV>
            <wp:extent cx="2337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0">
                      <a:extLst>
                        <a:ext uri="{28A0092B-C50C-407E-A947-70E740481C1C}"/>
                      </a:extLst>
                    </a:blip>
                    <a:srcRect/>
                    <a:stretch>
                      <a:fillRect/>
                    </a:stretch>
                  </pic:blipFill>
                  <pic:spPr bwMode="auto">
                    <a:xfrm>
                      <a:off x="0" y="0"/>
                      <a:ext cx="233743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-313055</wp:posOffset>
            </wp:positionV>
            <wp:extent cx="2337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1">
                      <a:extLst>
                        <a:ext uri="{28A0092B-C50C-407E-A947-70E740481C1C}"/>
                      </a:extLst>
                    </a:blip>
                    <a:srcRect/>
                    <a:stretch>
                      <a:fillRect/>
                    </a:stretch>
                  </pic:blipFill>
                  <pic:spPr bwMode="auto">
                    <a:xfrm>
                      <a:off x="0" y="0"/>
                      <a:ext cx="233743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-176530</wp:posOffset>
            </wp:positionV>
            <wp:extent cx="18129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2">
                      <a:extLst>
                        <a:ext uri="{28A0092B-C50C-407E-A947-70E740481C1C}"/>
                      </a:extLst>
                    </a:blip>
                    <a:srcRect/>
                    <a:stretch>
                      <a:fillRect/>
                    </a:stretch>
                  </pic:blipFill>
                  <pic:spPr bwMode="auto">
                    <a:xfrm>
                      <a:off x="0" y="0"/>
                      <a:ext cx="181292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-39370</wp:posOffset>
            </wp:positionV>
            <wp:extent cx="57340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3">
                      <a:extLst>
                        <a:ext uri="{28A0092B-C50C-407E-A947-70E740481C1C}"/>
                      </a:extLst>
                    </a:blip>
                    <a:srcRect/>
                    <a:stretch>
                      <a:fillRect/>
                    </a:stretch>
                  </pic:blipFill>
                  <pic:spPr bwMode="auto">
                    <a:xfrm>
                      <a:off x="0" y="0"/>
                      <a:ext cx="573405" cy="8255"/>
                    </a:xfrm>
                    <a:prstGeom prst="rect">
                      <a:avLst/>
                    </a:prstGeom>
                    <a:noFill/>
                  </pic:spPr>
                </pic:pic>
              </a:graphicData>
            </a:graphic>
          </wp:anchor>
        </w:drawing>
      </w:r>
    </w:p>
    <w:p>
      <w:pPr>
        <w:spacing w:after="0" w:line="199" w:lineRule="exact"/>
        <w:rPr>
          <w:rFonts w:ascii="Arial" w:cs="Arial" w:eastAsia="Arial" w:hAnsi="Arial"/>
          <w:sz w:val="17"/>
          <w:szCs w:val="17"/>
          <w:color w:val="auto"/>
        </w:rPr>
      </w:pPr>
    </w:p>
    <w:p>
      <w:pPr>
        <w:jc w:val="right"/>
        <w:spacing w:after="0"/>
        <w:rPr>
          <w:sz w:val="20"/>
          <w:szCs w:val="20"/>
          <w:color w:val="auto"/>
        </w:rPr>
      </w:pPr>
      <w:r>
        <w:rPr>
          <w:rFonts w:ascii="Arial" w:cs="Arial" w:eastAsia="Arial" w:hAnsi="Arial"/>
          <w:sz w:val="18"/>
          <w:szCs w:val="18"/>
          <w:color w:val="auto"/>
        </w:rPr>
        <w:t>110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spacing w:after="0"/>
        <w:tabs>
          <w:tab w:leader="none" w:pos="1260" w:val="left"/>
          <w:tab w:leader="none" w:pos="3040" w:val="left"/>
          <w:tab w:leader="none" w:pos="40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001-35362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5/15/17</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0" w:lineRule="exact"/>
        <w:rPr>
          <w:rFonts w:ascii="Arial" w:cs="Arial" w:eastAsia="Arial" w:hAnsi="Arial"/>
          <w:sz w:val="17"/>
          <w:szCs w:val="17"/>
          <w:color w:val="auto"/>
        </w:rPr>
      </w:pPr>
    </w:p>
    <w:p>
      <w:pPr>
        <w:spacing w:after="0"/>
        <w:tabs>
          <w:tab w:leader="none" w:pos="1260" w:val="left"/>
          <w:tab w:leader="none" w:pos="3040" w:val="left"/>
          <w:tab w:leader="none" w:pos="40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001-35362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5/7/20</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8" w:lineRule="exact"/>
        <w:rPr>
          <w:rFonts w:ascii="Arial" w:cs="Arial" w:eastAsia="Arial" w:hAnsi="Arial"/>
          <w:sz w:val="17"/>
          <w:szCs w:val="17"/>
          <w:color w:val="auto"/>
        </w:rPr>
      </w:pPr>
    </w:p>
    <w:p>
      <w:pPr>
        <w:spacing w:after="0"/>
        <w:tabs>
          <w:tab w:leader="none" w:pos="1260" w:val="left"/>
          <w:tab w:leader="none" w:pos="3040" w:val="left"/>
          <w:tab w:leader="none" w:pos="39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001-35362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12/22/20</w:t>
      </w:r>
    </w:p>
    <w:p>
      <w:pPr>
        <w:sectPr>
          <w:pgSz w:w="11900" w:h="16838" w:orient="portrait"/>
          <w:cols w:equalWidth="0" w:num="2">
            <w:col w:w="5740" w:space="580"/>
            <w:col w:w="4640"/>
          </w:cols>
          <w:pgMar w:left="340" w:top="364" w:right="5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640" w:type="dxa"/>
            <w:vAlign w:val="bottom"/>
            <w:gridSpan w:val="22"/>
          </w:tcPr>
          <w:p>
            <w:pPr>
              <w:spacing w:after="0"/>
              <w:rPr>
                <w:rFonts w:ascii="Arial" w:cs="Arial" w:eastAsia="Arial" w:hAnsi="Arial"/>
                <w:sz w:val="18"/>
                <w:szCs w:val="18"/>
                <w:color w:val="auto"/>
                <w:w w:val="92"/>
              </w:rPr>
            </w:pPr>
            <w:hyperlink r:id="rId412">
              <w:r>
                <w:rPr>
                  <w:rFonts w:ascii="Arial" w:cs="Arial" w:eastAsia="Arial" w:hAnsi="Arial"/>
                  <w:sz w:val="18"/>
                  <w:szCs w:val="18"/>
                  <w:color w:val="auto"/>
                  <w:w w:val="92"/>
                </w:rPr>
                <w:t>Agents; and Barclays Bank PLC, Morgan Stanley</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rPr>
            </w:pPr>
            <w:hyperlink r:id="rId412">
              <w:r>
                <w:rPr>
                  <w:rFonts w:ascii="Arial" w:cs="Arial" w:eastAsia="Arial" w:hAnsi="Arial"/>
                  <w:sz w:val="18"/>
                  <w:szCs w:val="18"/>
                  <w:color w:val="auto"/>
                </w:rPr>
                <w:t>Senior Funding, Inc. and Wells Fargo Bank,</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rPr>
            </w:pPr>
            <w:hyperlink r:id="rId412">
              <w:r>
                <w:rPr>
                  <w:rFonts w:ascii="Arial" w:cs="Arial" w:eastAsia="Arial" w:hAnsi="Arial"/>
                  <w:sz w:val="18"/>
                  <w:szCs w:val="18"/>
                  <w:color w:val="auto"/>
                </w:rPr>
                <w:t>National Association, as Co-Documentation</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rPr>
            </w:pPr>
            <w:hyperlink r:id="rId412">
              <w:r>
                <w:rPr>
                  <w:rFonts w:ascii="Arial" w:cs="Arial" w:eastAsia="Arial" w:hAnsi="Arial"/>
                  <w:sz w:val="18"/>
                  <w:szCs w:val="18"/>
                  <w:color w:val="auto"/>
                </w:rPr>
                <w:t>Agents.</w:t>
              </w:r>
            </w:hyperlink>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10.23+</w:t>
            </w:r>
          </w:p>
        </w:tc>
        <w:tc>
          <w:tcPr>
            <w:tcW w:w="3640" w:type="dxa"/>
            <w:vAlign w:val="bottom"/>
            <w:gridSpan w:val="22"/>
          </w:tcPr>
          <w:p>
            <w:pPr>
              <w:spacing w:after="0"/>
              <w:rPr>
                <w:rFonts w:ascii="Arial" w:cs="Arial" w:eastAsia="Arial" w:hAnsi="Arial"/>
                <w:sz w:val="18"/>
                <w:szCs w:val="18"/>
                <w:color w:val="auto"/>
                <w:w w:val="94"/>
              </w:rPr>
            </w:pPr>
            <w:hyperlink r:id="rId425">
              <w:r>
                <w:rPr>
                  <w:rFonts w:ascii="Arial" w:cs="Arial" w:eastAsia="Arial" w:hAnsi="Arial"/>
                  <w:sz w:val="18"/>
                  <w:szCs w:val="18"/>
                  <w:color w:val="auto"/>
                  <w:w w:val="94"/>
                </w:rPr>
                <w:t>Employment Agreement, dated as of October 6,</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rPr>
            </w:pPr>
            <w:hyperlink r:id="rId425">
              <w:r>
                <w:rPr>
                  <w:rFonts w:ascii="Arial" w:cs="Arial" w:eastAsia="Arial" w:hAnsi="Arial"/>
                  <w:sz w:val="18"/>
                  <w:szCs w:val="18"/>
                  <w:color w:val="auto"/>
                </w:rPr>
                <w:t>2015, between Tripadvisor, LLC and Ernst</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rPr>
            </w:pPr>
            <w:hyperlink r:id="rId425">
              <w:r>
                <w:rPr>
                  <w:rFonts w:ascii="Arial" w:cs="Arial" w:eastAsia="Arial" w:hAnsi="Arial"/>
                  <w:sz w:val="18"/>
                  <w:szCs w:val="18"/>
                  <w:color w:val="auto"/>
                </w:rPr>
                <w:t>Teunissen</w:t>
              </w:r>
            </w:hyperlink>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10.24+</w:t>
            </w:r>
          </w:p>
        </w:tc>
        <w:tc>
          <w:tcPr>
            <w:tcW w:w="3640" w:type="dxa"/>
            <w:vAlign w:val="bottom"/>
            <w:gridSpan w:val="22"/>
          </w:tcPr>
          <w:p>
            <w:pPr>
              <w:spacing w:after="0"/>
              <w:rPr>
                <w:rFonts w:ascii="Arial" w:cs="Arial" w:eastAsia="Arial" w:hAnsi="Arial"/>
                <w:sz w:val="18"/>
                <w:szCs w:val="18"/>
                <w:color w:val="auto"/>
                <w:w w:val="91"/>
              </w:rPr>
            </w:pPr>
            <w:hyperlink r:id="rId426">
              <w:r>
                <w:rPr>
                  <w:rFonts w:ascii="Arial" w:cs="Arial" w:eastAsia="Arial" w:hAnsi="Arial"/>
                  <w:sz w:val="18"/>
                  <w:szCs w:val="18"/>
                  <w:color w:val="auto"/>
                  <w:w w:val="91"/>
                </w:rPr>
                <w:t>Amendment to Employment Agreement, dated as</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w w:val="92"/>
              </w:rPr>
            </w:pPr>
            <w:hyperlink r:id="rId426">
              <w:r>
                <w:rPr>
                  <w:rFonts w:ascii="Arial" w:cs="Arial" w:eastAsia="Arial" w:hAnsi="Arial"/>
                  <w:sz w:val="18"/>
                  <w:szCs w:val="18"/>
                  <w:color w:val="auto"/>
                  <w:w w:val="92"/>
                </w:rPr>
                <w:t>of November 28, 2017, between Tripadvisor, LLC</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40" w:type="dxa"/>
            <w:vAlign w:val="bottom"/>
            <w:tcBorders>
              <w:bottom w:val="single" w:sz="8" w:color="0000EE"/>
            </w:tcBorders>
            <w:gridSpan w:val="7"/>
          </w:tcPr>
          <w:p>
            <w:pPr>
              <w:spacing w:after="0" w:line="195" w:lineRule="exact"/>
              <w:rPr>
                <w:rFonts w:ascii="Arial" w:cs="Arial" w:eastAsia="Arial" w:hAnsi="Arial"/>
                <w:sz w:val="18"/>
                <w:szCs w:val="18"/>
                <w:color w:val="auto"/>
                <w:w w:val="85"/>
              </w:rPr>
            </w:pPr>
            <w:hyperlink r:id="rId426">
              <w:r>
                <w:rPr>
                  <w:rFonts w:ascii="Arial" w:cs="Arial" w:eastAsia="Arial" w:hAnsi="Arial"/>
                  <w:sz w:val="18"/>
                  <w:szCs w:val="18"/>
                  <w:color w:val="auto"/>
                  <w:w w:val="85"/>
                </w:rPr>
                <w:t>and Ernst Teunissen</w:t>
              </w:r>
            </w:hyperlink>
          </w:p>
        </w:tc>
        <w:tc>
          <w:tcPr>
            <w:tcW w:w="220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10.25+</w:t>
            </w:r>
          </w:p>
        </w:tc>
        <w:tc>
          <w:tcPr>
            <w:tcW w:w="3640" w:type="dxa"/>
            <w:vAlign w:val="bottom"/>
            <w:gridSpan w:val="22"/>
          </w:tcPr>
          <w:p>
            <w:pPr>
              <w:spacing w:after="0"/>
              <w:rPr>
                <w:rFonts w:ascii="Arial" w:cs="Arial" w:eastAsia="Arial" w:hAnsi="Arial"/>
                <w:sz w:val="18"/>
                <w:szCs w:val="18"/>
                <w:color w:val="auto"/>
                <w:w w:val="93"/>
              </w:rPr>
            </w:pPr>
            <w:hyperlink r:id="rId427">
              <w:r>
                <w:rPr>
                  <w:rFonts w:ascii="Arial" w:cs="Arial" w:eastAsia="Arial" w:hAnsi="Arial"/>
                  <w:sz w:val="18"/>
                  <w:szCs w:val="18"/>
                  <w:color w:val="auto"/>
                  <w:w w:val="93"/>
                </w:rPr>
                <w:t>Second Amendment to Employment Agreement,</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w w:val="97"/>
              </w:rPr>
            </w:pPr>
            <w:hyperlink r:id="rId427">
              <w:r>
                <w:rPr>
                  <w:rFonts w:ascii="Arial" w:cs="Arial" w:eastAsia="Arial" w:hAnsi="Arial"/>
                  <w:sz w:val="18"/>
                  <w:szCs w:val="18"/>
                  <w:color w:val="auto"/>
                  <w:w w:val="97"/>
                </w:rPr>
                <w:t>dated as of May 8, 2020, between Tripadvisor,</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820" w:type="dxa"/>
            <w:vAlign w:val="bottom"/>
            <w:tcBorders>
              <w:bottom w:val="single" w:sz="8" w:color="0000EE"/>
            </w:tcBorders>
            <w:gridSpan w:val="9"/>
          </w:tcPr>
          <w:p>
            <w:pPr>
              <w:spacing w:after="0" w:line="195" w:lineRule="exact"/>
              <w:rPr>
                <w:rFonts w:ascii="Arial" w:cs="Arial" w:eastAsia="Arial" w:hAnsi="Arial"/>
                <w:sz w:val="18"/>
                <w:szCs w:val="18"/>
                <w:color w:val="auto"/>
                <w:w w:val="88"/>
              </w:rPr>
            </w:pPr>
            <w:hyperlink r:id="rId427">
              <w:r>
                <w:rPr>
                  <w:rFonts w:ascii="Arial" w:cs="Arial" w:eastAsia="Arial" w:hAnsi="Arial"/>
                  <w:sz w:val="18"/>
                  <w:szCs w:val="18"/>
                  <w:color w:val="auto"/>
                  <w:w w:val="88"/>
                </w:rPr>
                <w:t>LLC and Ernst Teunissen</w:t>
              </w:r>
            </w:hyperlink>
          </w:p>
        </w:tc>
        <w:tc>
          <w:tcPr>
            <w:tcW w:w="18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10.26+</w:t>
            </w:r>
          </w:p>
        </w:tc>
        <w:tc>
          <w:tcPr>
            <w:tcW w:w="3640" w:type="dxa"/>
            <w:vAlign w:val="bottom"/>
            <w:gridSpan w:val="22"/>
          </w:tcPr>
          <w:p>
            <w:pPr>
              <w:spacing w:after="0"/>
              <w:rPr>
                <w:rFonts w:ascii="Arial" w:cs="Arial" w:eastAsia="Arial" w:hAnsi="Arial"/>
                <w:sz w:val="18"/>
                <w:szCs w:val="18"/>
                <w:color w:val="auto"/>
                <w:w w:val="98"/>
              </w:rPr>
            </w:pPr>
            <w:hyperlink r:id="rId428">
              <w:r>
                <w:rPr>
                  <w:rFonts w:ascii="Arial" w:cs="Arial" w:eastAsia="Arial" w:hAnsi="Arial"/>
                  <w:sz w:val="18"/>
                  <w:szCs w:val="18"/>
                  <w:color w:val="auto"/>
                  <w:w w:val="98"/>
                </w:rPr>
                <w:t>Executive Severance Plan and Summary Plan</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5" w:lineRule="exact"/>
              <w:rPr>
                <w:rFonts w:ascii="Arial" w:cs="Arial" w:eastAsia="Arial" w:hAnsi="Arial"/>
                <w:sz w:val="18"/>
                <w:szCs w:val="18"/>
                <w:color w:val="auto"/>
                <w:w w:val="86"/>
              </w:rPr>
            </w:pPr>
            <w:hyperlink r:id="rId428">
              <w:r>
                <w:rPr>
                  <w:rFonts w:ascii="Arial" w:cs="Arial" w:eastAsia="Arial" w:hAnsi="Arial"/>
                  <w:sz w:val="18"/>
                  <w:szCs w:val="18"/>
                  <w:color w:val="auto"/>
                  <w:w w:val="86"/>
                </w:rPr>
                <w:t>Description</w:t>
              </w:r>
            </w:hyperlink>
          </w:p>
        </w:tc>
        <w:tc>
          <w:tcPr>
            <w:tcW w:w="282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10.27</w:t>
            </w:r>
          </w:p>
        </w:tc>
        <w:tc>
          <w:tcPr>
            <w:tcW w:w="3640" w:type="dxa"/>
            <w:vAlign w:val="bottom"/>
            <w:gridSpan w:val="22"/>
          </w:tcPr>
          <w:p>
            <w:pPr>
              <w:spacing w:after="0"/>
              <w:rPr>
                <w:rFonts w:ascii="Arial" w:cs="Arial" w:eastAsia="Arial" w:hAnsi="Arial"/>
                <w:sz w:val="18"/>
                <w:szCs w:val="18"/>
                <w:color w:val="auto"/>
              </w:rPr>
            </w:pPr>
            <w:hyperlink r:id="rId429">
              <w:r>
                <w:rPr>
                  <w:rFonts w:ascii="Arial" w:cs="Arial" w:eastAsia="Arial" w:hAnsi="Arial"/>
                  <w:sz w:val="18"/>
                  <w:szCs w:val="18"/>
                  <w:color w:val="auto"/>
                </w:rPr>
                <w:t>Form of Tripadvisor Media Group Master</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rPr>
            </w:pPr>
            <w:hyperlink r:id="rId429">
              <w:r>
                <w:rPr>
                  <w:rFonts w:ascii="Arial" w:cs="Arial" w:eastAsia="Arial" w:hAnsi="Arial"/>
                  <w:sz w:val="18"/>
                  <w:szCs w:val="18"/>
                  <w:color w:val="auto"/>
                </w:rPr>
                <w:t>Advertising Insertion Order</w:t>
              </w:r>
            </w:hyperlink>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10.28+</w:t>
            </w:r>
          </w:p>
        </w:tc>
        <w:tc>
          <w:tcPr>
            <w:tcW w:w="3640" w:type="dxa"/>
            <w:vAlign w:val="bottom"/>
            <w:gridSpan w:val="22"/>
          </w:tcPr>
          <w:p>
            <w:pPr>
              <w:spacing w:after="0"/>
              <w:rPr>
                <w:rFonts w:ascii="Arial" w:cs="Arial" w:eastAsia="Arial" w:hAnsi="Arial"/>
                <w:sz w:val="18"/>
                <w:szCs w:val="18"/>
                <w:color w:val="0000FF"/>
              </w:rPr>
            </w:pPr>
            <w:hyperlink r:id="rId430">
              <w:r>
                <w:rPr>
                  <w:rFonts w:ascii="Arial" w:cs="Arial" w:eastAsia="Arial" w:hAnsi="Arial"/>
                  <w:sz w:val="18"/>
                  <w:szCs w:val="18"/>
                  <w:color w:val="0000FF"/>
                </w:rPr>
                <w:t>Form of Option Agreement (Domestic)</w:t>
              </w:r>
            </w:hyperlink>
          </w:p>
        </w:tc>
        <w:tc>
          <w:tcPr>
            <w:tcW w:w="20" w:type="dxa"/>
            <w:vAlign w:val="bottom"/>
          </w:tcPr>
          <w:p>
            <w:pPr>
              <w:spacing w:after="0"/>
              <w:rPr>
                <w:sz w:val="19"/>
                <w:szCs w:val="19"/>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10.29+</w:t>
            </w:r>
          </w:p>
        </w:tc>
        <w:tc>
          <w:tcPr>
            <w:tcW w:w="3640" w:type="dxa"/>
            <w:vAlign w:val="bottom"/>
            <w:gridSpan w:val="22"/>
          </w:tcPr>
          <w:p>
            <w:pPr>
              <w:spacing w:after="0"/>
              <w:rPr>
                <w:rFonts w:ascii="Arial" w:cs="Arial" w:eastAsia="Arial" w:hAnsi="Arial"/>
                <w:sz w:val="18"/>
                <w:szCs w:val="18"/>
                <w:color w:val="0000FF"/>
              </w:rPr>
            </w:pPr>
            <w:hyperlink r:id="rId431">
              <w:r>
                <w:rPr>
                  <w:rFonts w:ascii="Arial" w:cs="Arial" w:eastAsia="Arial" w:hAnsi="Arial"/>
                  <w:sz w:val="18"/>
                  <w:szCs w:val="18"/>
                  <w:color w:val="0000FF"/>
                </w:rPr>
                <w:t>Form of Option Agreement (International)</w:t>
              </w:r>
            </w:hyperlink>
          </w:p>
        </w:tc>
        <w:tc>
          <w:tcPr>
            <w:tcW w:w="20" w:type="dxa"/>
            <w:vAlign w:val="bottom"/>
          </w:tcPr>
          <w:p>
            <w:pPr>
              <w:spacing w:after="0"/>
              <w:rPr>
                <w:sz w:val="19"/>
                <w:szCs w:val="19"/>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10.30+</w:t>
            </w:r>
          </w:p>
        </w:tc>
        <w:tc>
          <w:tcPr>
            <w:tcW w:w="3640" w:type="dxa"/>
            <w:vAlign w:val="bottom"/>
            <w:gridSpan w:val="22"/>
          </w:tcPr>
          <w:p>
            <w:pPr>
              <w:spacing w:after="0"/>
              <w:rPr>
                <w:rFonts w:ascii="Arial" w:cs="Arial" w:eastAsia="Arial" w:hAnsi="Arial"/>
                <w:sz w:val="18"/>
                <w:szCs w:val="18"/>
                <w:color w:val="0000FF"/>
              </w:rPr>
            </w:pPr>
            <w:hyperlink r:id="rId432">
              <w:r>
                <w:rPr>
                  <w:rFonts w:ascii="Arial" w:cs="Arial" w:eastAsia="Arial" w:hAnsi="Arial"/>
                  <w:sz w:val="18"/>
                  <w:szCs w:val="18"/>
                  <w:color w:val="0000FF"/>
                </w:rPr>
                <w:t>Form of Restricted Stock Unit Agreement</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0000FF"/>
              </w:rPr>
            </w:pPr>
            <w:hyperlink r:id="rId432">
              <w:r>
                <w:rPr>
                  <w:rFonts w:ascii="Arial" w:cs="Arial" w:eastAsia="Arial" w:hAnsi="Arial"/>
                  <w:sz w:val="18"/>
                  <w:szCs w:val="18"/>
                  <w:color w:val="0000FF"/>
                </w:rPr>
                <w:t>(Domestic)</w:t>
              </w:r>
            </w:hyperlink>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10.31+</w:t>
            </w:r>
          </w:p>
        </w:tc>
        <w:tc>
          <w:tcPr>
            <w:tcW w:w="3640" w:type="dxa"/>
            <w:vAlign w:val="bottom"/>
            <w:gridSpan w:val="22"/>
          </w:tcPr>
          <w:p>
            <w:pPr>
              <w:spacing w:after="0"/>
              <w:rPr>
                <w:rFonts w:ascii="Arial" w:cs="Arial" w:eastAsia="Arial" w:hAnsi="Arial"/>
                <w:sz w:val="18"/>
                <w:szCs w:val="18"/>
                <w:color w:val="0000FF"/>
              </w:rPr>
            </w:pPr>
            <w:hyperlink r:id="rId433">
              <w:r>
                <w:rPr>
                  <w:rFonts w:ascii="Arial" w:cs="Arial" w:eastAsia="Arial" w:hAnsi="Arial"/>
                  <w:sz w:val="18"/>
                  <w:szCs w:val="18"/>
                  <w:color w:val="0000FF"/>
                </w:rPr>
                <w:t>Form of Restricted Stock Unit Agreement</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0000FF"/>
              </w:rPr>
            </w:pPr>
            <w:hyperlink r:id="rId433">
              <w:r>
                <w:rPr>
                  <w:rFonts w:ascii="Arial" w:cs="Arial" w:eastAsia="Arial" w:hAnsi="Arial"/>
                  <w:sz w:val="18"/>
                  <w:szCs w:val="18"/>
                  <w:color w:val="0000FF"/>
                </w:rPr>
                <w:t>(International)</w:t>
              </w:r>
            </w:hyperlink>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10.32+</w:t>
            </w:r>
          </w:p>
        </w:tc>
        <w:tc>
          <w:tcPr>
            <w:tcW w:w="3640" w:type="dxa"/>
            <w:vAlign w:val="bottom"/>
            <w:gridSpan w:val="22"/>
          </w:tcPr>
          <w:p>
            <w:pPr>
              <w:spacing w:after="0"/>
              <w:rPr>
                <w:rFonts w:ascii="Arial" w:cs="Arial" w:eastAsia="Arial" w:hAnsi="Arial"/>
                <w:sz w:val="18"/>
                <w:szCs w:val="18"/>
                <w:color w:val="0000FF"/>
              </w:rPr>
            </w:pPr>
            <w:hyperlink r:id="rId434">
              <w:r>
                <w:rPr>
                  <w:rFonts w:ascii="Arial" w:cs="Arial" w:eastAsia="Arial" w:hAnsi="Arial"/>
                  <w:sz w:val="18"/>
                  <w:szCs w:val="18"/>
                  <w:color w:val="0000FF"/>
                </w:rPr>
                <w:t>Form of Restricted Stock Unit Agreement</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0000FF"/>
              </w:rPr>
            </w:pPr>
            <w:hyperlink r:id="rId434">
              <w:r>
                <w:rPr>
                  <w:rFonts w:ascii="Arial" w:cs="Arial" w:eastAsia="Arial" w:hAnsi="Arial"/>
                  <w:sz w:val="18"/>
                  <w:szCs w:val="18"/>
                  <w:color w:val="0000FF"/>
                </w:rPr>
                <w:t>(French)</w:t>
              </w:r>
            </w:hyperlink>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10.35+</w:t>
            </w:r>
          </w:p>
        </w:tc>
        <w:tc>
          <w:tcPr>
            <w:tcW w:w="3640" w:type="dxa"/>
            <w:vAlign w:val="bottom"/>
            <w:gridSpan w:val="22"/>
          </w:tcPr>
          <w:p>
            <w:pPr>
              <w:spacing w:after="0"/>
              <w:rPr>
                <w:rFonts w:ascii="Arial" w:cs="Arial" w:eastAsia="Arial" w:hAnsi="Arial"/>
                <w:sz w:val="18"/>
                <w:szCs w:val="18"/>
                <w:color w:val="auto"/>
                <w:w w:val="95"/>
              </w:rPr>
            </w:pPr>
            <w:hyperlink r:id="rId435">
              <w:r>
                <w:rPr>
                  <w:rFonts w:ascii="Arial" w:cs="Arial" w:eastAsia="Arial" w:hAnsi="Arial"/>
                  <w:sz w:val="18"/>
                  <w:szCs w:val="18"/>
                  <w:color w:val="auto"/>
                  <w:w w:val="95"/>
                </w:rPr>
                <w:t>Form of Restricted Stock Unit Agreement (Non-</w:t>
              </w:r>
            </w:hyperlink>
          </w:p>
        </w:tc>
        <w:tc>
          <w:tcPr>
            <w:tcW w:w="2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460" w:type="dxa"/>
            <w:vAlign w:val="bottom"/>
            <w:tcBorders>
              <w:top w:val="single" w:sz="8" w:color="0000EE"/>
            </w:tcBorders>
            <w:gridSpan w:val="19"/>
          </w:tcPr>
          <w:p>
            <w:pPr>
              <w:spacing w:after="0" w:line="195" w:lineRule="exact"/>
              <w:rPr>
                <w:rFonts w:ascii="Arial" w:cs="Arial" w:eastAsia="Arial" w:hAnsi="Arial"/>
                <w:sz w:val="18"/>
                <w:szCs w:val="18"/>
                <w:color w:val="auto"/>
              </w:rPr>
            </w:pPr>
            <w:hyperlink r:id="rId435">
              <w:r>
                <w:rPr>
                  <w:rFonts w:ascii="Arial" w:cs="Arial" w:eastAsia="Arial" w:hAnsi="Arial"/>
                  <w:sz w:val="18"/>
                  <w:szCs w:val="18"/>
                  <w:color w:val="auto"/>
                </w:rPr>
                <w:t>Employee Directors)</w:t>
              </w:r>
            </w:hyperlink>
          </w:p>
        </w:tc>
        <w:tc>
          <w:tcPr>
            <w:tcW w:w="1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10.36</w:t>
            </w:r>
          </w:p>
        </w:tc>
        <w:tc>
          <w:tcPr>
            <w:tcW w:w="3640" w:type="dxa"/>
            <w:vAlign w:val="bottom"/>
            <w:gridSpan w:val="22"/>
          </w:tcPr>
          <w:p>
            <w:pPr>
              <w:spacing w:after="0"/>
              <w:rPr>
                <w:rFonts w:ascii="Arial" w:cs="Arial" w:eastAsia="Arial" w:hAnsi="Arial"/>
                <w:sz w:val="18"/>
                <w:szCs w:val="18"/>
                <w:color w:val="auto"/>
                <w:w w:val="92"/>
              </w:rPr>
            </w:pPr>
            <w:hyperlink r:id="rId436">
              <w:r>
                <w:rPr>
                  <w:rFonts w:ascii="Arial" w:cs="Arial" w:eastAsia="Arial" w:hAnsi="Arial"/>
                  <w:sz w:val="18"/>
                  <w:szCs w:val="18"/>
                  <w:color w:val="auto"/>
                  <w:w w:val="92"/>
                </w:rPr>
                <w:t>Governance Agreement dated as of November 6,</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rPr>
            </w:pPr>
            <w:hyperlink r:id="rId436">
              <w:r>
                <w:rPr>
                  <w:rFonts w:ascii="Arial" w:cs="Arial" w:eastAsia="Arial" w:hAnsi="Arial"/>
                  <w:sz w:val="18"/>
                  <w:szCs w:val="18"/>
                  <w:color w:val="auto"/>
                </w:rPr>
                <w:t>2019 between Tripadvisor, Inc. and Trip.com</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rPr>
            </w:pPr>
            <w:hyperlink r:id="rId436">
              <w:r>
                <w:rPr>
                  <w:rFonts w:ascii="Arial" w:cs="Arial" w:eastAsia="Arial" w:hAnsi="Arial"/>
                  <w:sz w:val="18"/>
                  <w:szCs w:val="18"/>
                  <w:color w:val="auto"/>
                </w:rPr>
                <w:t>Group Limited</w:t>
              </w:r>
            </w:hyperlink>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80" w:type="dxa"/>
            <w:vAlign w:val="bottom"/>
            <w:tcBorders>
              <w:left w:val="single" w:sz="8" w:color="0000EE"/>
            </w:tcBorders>
            <w:gridSpan w:val="5"/>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10.37+</w:t>
            </w:r>
          </w:p>
        </w:tc>
        <w:tc>
          <w:tcPr>
            <w:tcW w:w="3320" w:type="dxa"/>
            <w:vAlign w:val="bottom"/>
            <w:tcBorders>
              <w:bottom w:val="single" w:sz="8" w:color="0000EE"/>
            </w:tcBorders>
            <w:gridSpan w:val="17"/>
          </w:tcPr>
          <w:p>
            <w:pPr>
              <w:spacing w:after="0"/>
              <w:rPr>
                <w:rFonts w:ascii="Arial" w:cs="Arial" w:eastAsia="Arial" w:hAnsi="Arial"/>
                <w:sz w:val="18"/>
                <w:szCs w:val="18"/>
                <w:color w:val="auto"/>
                <w:w w:val="92"/>
              </w:rPr>
            </w:pPr>
            <w:hyperlink r:id="rId437">
              <w:r>
                <w:rPr>
                  <w:rFonts w:ascii="Arial" w:cs="Arial" w:eastAsia="Arial" w:hAnsi="Arial"/>
                  <w:sz w:val="18"/>
                  <w:szCs w:val="18"/>
                  <w:color w:val="auto"/>
                  <w:w w:val="92"/>
                </w:rPr>
                <w:t>Amendment No. 1 to 2018 Stock and Annual</w:t>
              </w:r>
            </w:hyperlink>
          </w:p>
        </w:tc>
        <w:tc>
          <w:tcPr>
            <w:tcW w:w="32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5" w:lineRule="exact"/>
              <w:rPr>
                <w:rFonts w:ascii="Arial" w:cs="Arial" w:eastAsia="Arial" w:hAnsi="Arial"/>
                <w:sz w:val="18"/>
                <w:szCs w:val="18"/>
                <w:color w:val="auto"/>
                <w:w w:val="88"/>
              </w:rPr>
            </w:pPr>
            <w:hyperlink r:id="rId437">
              <w:r>
                <w:rPr>
                  <w:rFonts w:ascii="Arial" w:cs="Arial" w:eastAsia="Arial" w:hAnsi="Arial"/>
                  <w:sz w:val="18"/>
                  <w:szCs w:val="18"/>
                  <w:color w:val="auto"/>
                  <w:w w:val="88"/>
                </w:rPr>
                <w:t>Incentive Plan</w:t>
              </w:r>
            </w:hyperlink>
          </w:p>
        </w:tc>
        <w:tc>
          <w:tcPr>
            <w:tcW w:w="26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10.38+</w:t>
            </w:r>
          </w:p>
        </w:tc>
        <w:tc>
          <w:tcPr>
            <w:tcW w:w="3640" w:type="dxa"/>
            <w:vAlign w:val="bottom"/>
            <w:gridSpan w:val="22"/>
          </w:tcPr>
          <w:p>
            <w:pPr>
              <w:spacing w:after="0"/>
              <w:rPr>
                <w:rFonts w:ascii="Arial" w:cs="Arial" w:eastAsia="Arial" w:hAnsi="Arial"/>
                <w:sz w:val="18"/>
                <w:szCs w:val="18"/>
                <w:color w:val="auto"/>
                <w:w w:val="95"/>
              </w:rPr>
            </w:pPr>
            <w:hyperlink r:id="rId426">
              <w:r>
                <w:rPr>
                  <w:rFonts w:ascii="Arial" w:cs="Arial" w:eastAsia="Arial" w:hAnsi="Arial"/>
                  <w:sz w:val="18"/>
                  <w:szCs w:val="18"/>
                  <w:color w:val="auto"/>
                  <w:w w:val="95"/>
                </w:rPr>
                <w:t>Employment Agreement, dated as of March 29,</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700" w:type="dxa"/>
            <w:vAlign w:val="bottom"/>
            <w:tcBorders>
              <w:left w:val="single" w:sz="8" w:color="0000EE"/>
            </w:tcBorders>
            <w:gridSpan w:val="6"/>
            <w:shd w:val="clear" w:color="auto" w:fill="0000EE"/>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w w:val="93"/>
              </w:rPr>
            </w:pPr>
            <w:hyperlink r:id="rId426">
              <w:r>
                <w:rPr>
                  <w:rFonts w:ascii="Arial" w:cs="Arial" w:eastAsia="Arial" w:hAnsi="Arial"/>
                  <w:sz w:val="18"/>
                  <w:szCs w:val="18"/>
                  <w:color w:val="auto"/>
                  <w:w w:val="93"/>
                </w:rPr>
                <w:t>2021 between Tripadvisor, LLC and Seth Kalvert</w:t>
              </w:r>
            </w:hyperlink>
          </w:p>
        </w:tc>
        <w:tc>
          <w:tcPr>
            <w:tcW w:w="20" w:type="dxa"/>
            <w:vAlign w:val="bottom"/>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10.39+</w:t>
            </w:r>
          </w:p>
        </w:tc>
        <w:tc>
          <w:tcPr>
            <w:tcW w:w="3500" w:type="dxa"/>
            <w:vAlign w:val="bottom"/>
            <w:tcBorders>
              <w:top w:val="single" w:sz="8" w:color="0000EE"/>
            </w:tcBorders>
            <w:gridSpan w:val="20"/>
          </w:tcPr>
          <w:p>
            <w:pPr>
              <w:spacing w:after="0"/>
              <w:rPr>
                <w:rFonts w:ascii="Arial" w:cs="Arial" w:eastAsia="Arial" w:hAnsi="Arial"/>
                <w:sz w:val="18"/>
                <w:szCs w:val="18"/>
                <w:color w:val="auto"/>
                <w:w w:val="95"/>
              </w:rPr>
            </w:pPr>
            <w:hyperlink r:id="rId426">
              <w:r>
                <w:rPr>
                  <w:rFonts w:ascii="Arial" w:cs="Arial" w:eastAsia="Arial" w:hAnsi="Arial"/>
                  <w:sz w:val="18"/>
                  <w:szCs w:val="18"/>
                  <w:color w:val="auto"/>
                  <w:w w:val="95"/>
                </w:rPr>
                <w:t>Offer Letter, dated as of September 14, 2018,</w:t>
              </w:r>
            </w:hyperlink>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700" w:type="dxa"/>
            <w:vAlign w:val="bottom"/>
            <w:tcBorders>
              <w:left w:val="single" w:sz="8" w:color="0000EE"/>
            </w:tcBorders>
            <w:gridSpan w:val="6"/>
            <w:shd w:val="clear" w:color="auto" w:fill="0000EE"/>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w w:val="98"/>
              </w:rPr>
            </w:pPr>
            <w:hyperlink r:id="rId426">
              <w:r>
                <w:rPr>
                  <w:rFonts w:ascii="Arial" w:cs="Arial" w:eastAsia="Arial" w:hAnsi="Arial"/>
                  <w:sz w:val="18"/>
                  <w:szCs w:val="18"/>
                  <w:color w:val="auto"/>
                  <w:w w:val="98"/>
                </w:rPr>
                <w:t>between Tripadvisor, LLC and Lindsay Nelson</w:t>
              </w:r>
            </w:hyperlink>
          </w:p>
        </w:tc>
        <w:tc>
          <w:tcPr>
            <w:tcW w:w="20" w:type="dxa"/>
            <w:vAlign w:val="bottom"/>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10.40+</w:t>
            </w:r>
          </w:p>
        </w:tc>
        <w:tc>
          <w:tcPr>
            <w:tcW w:w="3380" w:type="dxa"/>
            <w:vAlign w:val="bottom"/>
            <w:tcBorders>
              <w:top w:val="single" w:sz="8" w:color="0000EE"/>
            </w:tcBorders>
            <w:gridSpan w:val="18"/>
          </w:tcPr>
          <w:p>
            <w:pPr>
              <w:spacing w:after="0"/>
              <w:rPr>
                <w:rFonts w:ascii="Arial" w:cs="Arial" w:eastAsia="Arial" w:hAnsi="Arial"/>
                <w:sz w:val="18"/>
                <w:szCs w:val="18"/>
                <w:color w:val="auto"/>
                <w:w w:val="96"/>
              </w:rPr>
            </w:pPr>
            <w:hyperlink r:id="rId426">
              <w:r>
                <w:rPr>
                  <w:rFonts w:ascii="Arial" w:cs="Arial" w:eastAsia="Arial" w:hAnsi="Arial"/>
                  <w:sz w:val="18"/>
                  <w:szCs w:val="18"/>
                  <w:color w:val="auto"/>
                  <w:w w:val="96"/>
                </w:rPr>
                <w:t>Offer Letter, dated as of February 13, 2019,</w:t>
              </w:r>
            </w:hyperlink>
          </w:p>
        </w:tc>
        <w:tc>
          <w:tcPr>
            <w:tcW w:w="2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700" w:type="dxa"/>
            <w:vAlign w:val="bottom"/>
            <w:tcBorders>
              <w:left w:val="single" w:sz="8" w:color="0000EE"/>
            </w:tcBorders>
            <w:gridSpan w:val="6"/>
            <w:shd w:val="clear" w:color="auto" w:fill="0000EE"/>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auto"/>
              </w:rPr>
            </w:pPr>
            <w:hyperlink r:id="rId426">
              <w:r>
                <w:rPr>
                  <w:rFonts w:ascii="Arial" w:cs="Arial" w:eastAsia="Arial" w:hAnsi="Arial"/>
                  <w:sz w:val="18"/>
                  <w:szCs w:val="18"/>
                  <w:color w:val="auto"/>
                </w:rPr>
                <w:t>between Tripadvisor, LLC and Kanika Soni</w:t>
              </w:r>
            </w:hyperlink>
          </w:p>
        </w:tc>
        <w:tc>
          <w:tcPr>
            <w:tcW w:w="20" w:type="dxa"/>
            <w:vAlign w:val="bottom"/>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10.41</w:t>
            </w:r>
          </w:p>
        </w:tc>
        <w:tc>
          <w:tcPr>
            <w:tcW w:w="3160" w:type="dxa"/>
            <w:vAlign w:val="bottom"/>
            <w:tcBorders>
              <w:top w:val="single" w:sz="8" w:color="0000EE"/>
            </w:tcBorders>
            <w:gridSpan w:val="15"/>
          </w:tcPr>
          <w:p>
            <w:pPr>
              <w:spacing w:after="0"/>
              <w:rPr>
                <w:rFonts w:ascii="Arial" w:cs="Arial" w:eastAsia="Arial" w:hAnsi="Arial"/>
                <w:sz w:val="18"/>
                <w:szCs w:val="18"/>
                <w:color w:val="auto"/>
              </w:rPr>
            </w:pPr>
            <w:hyperlink r:id="rId438">
              <w:r>
                <w:rPr>
                  <w:rFonts w:ascii="Arial" w:cs="Arial" w:eastAsia="Arial" w:hAnsi="Arial"/>
                  <w:sz w:val="18"/>
                  <w:szCs w:val="18"/>
                  <w:color w:val="auto"/>
                </w:rPr>
                <w:t>Form of Capped Call Confirmation</w:t>
              </w:r>
            </w:hyperlink>
          </w:p>
        </w:tc>
        <w:tc>
          <w:tcPr>
            <w:tcW w:w="48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700" w:type="dxa"/>
            <w:vAlign w:val="bottom"/>
            <w:tcBorders>
              <w:left w:val="single" w:sz="8" w:color="0000EE"/>
            </w:tcBorders>
            <w:gridSpan w:val="6"/>
            <w:shd w:val="clear" w:color="auto" w:fill="0000EE"/>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10.42+</w:t>
            </w:r>
          </w:p>
        </w:tc>
        <w:tc>
          <w:tcPr>
            <w:tcW w:w="3640" w:type="dxa"/>
            <w:vAlign w:val="bottom"/>
            <w:gridSpan w:val="22"/>
          </w:tcPr>
          <w:p>
            <w:pPr>
              <w:spacing w:after="0"/>
              <w:rPr>
                <w:rFonts w:ascii="Arial" w:cs="Arial" w:eastAsia="Arial" w:hAnsi="Arial"/>
                <w:sz w:val="18"/>
                <w:szCs w:val="18"/>
                <w:color w:val="0000FF"/>
                <w:w w:val="92"/>
              </w:rPr>
            </w:pPr>
            <w:hyperlink r:id="rId439">
              <w:r>
                <w:rPr>
                  <w:rFonts w:ascii="Arial" w:cs="Arial" w:eastAsia="Arial" w:hAnsi="Arial"/>
                  <w:sz w:val="18"/>
                  <w:szCs w:val="18"/>
                  <w:color w:val="0000FF"/>
                  <w:w w:val="92"/>
                </w:rPr>
                <w:t>RSU Agreement (Time-Based) between Stephen</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80" w:type="dxa"/>
            <w:vAlign w:val="bottom"/>
            <w:tcBorders>
              <w:left w:val="single" w:sz="8" w:color="0000FF"/>
            </w:tcBorders>
            <w:gridSpan w:val="1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0000FF"/>
                <w:w w:val="89"/>
              </w:rPr>
            </w:pPr>
            <w:hyperlink r:id="rId439">
              <w:r>
                <w:rPr>
                  <w:rFonts w:ascii="Arial" w:cs="Arial" w:eastAsia="Arial" w:hAnsi="Arial"/>
                  <w:sz w:val="18"/>
                  <w:szCs w:val="18"/>
                  <w:color w:val="0000FF"/>
                  <w:w w:val="89"/>
                </w:rPr>
                <w:t>Kaufer and Tripadvisor, Inc. dated as of December</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640" w:type="dxa"/>
            <w:vAlign w:val="bottom"/>
            <w:gridSpan w:val="4"/>
          </w:tcPr>
          <w:p>
            <w:pPr>
              <w:spacing w:after="0" w:line="195" w:lineRule="exact"/>
              <w:rPr>
                <w:rFonts w:ascii="Arial" w:cs="Arial" w:eastAsia="Arial" w:hAnsi="Arial"/>
                <w:sz w:val="18"/>
                <w:szCs w:val="18"/>
                <w:color w:val="0000FF"/>
                <w:w w:val="85"/>
              </w:rPr>
            </w:pPr>
            <w:hyperlink r:id="rId439">
              <w:r>
                <w:rPr>
                  <w:rFonts w:ascii="Arial" w:cs="Arial" w:eastAsia="Arial" w:hAnsi="Arial"/>
                  <w:sz w:val="18"/>
                  <w:szCs w:val="18"/>
                  <w:color w:val="0000FF"/>
                  <w:w w:val="85"/>
                </w:rPr>
                <w:t>31, 2021</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1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10.43+</w:t>
            </w:r>
          </w:p>
        </w:tc>
        <w:tc>
          <w:tcPr>
            <w:tcW w:w="3640" w:type="dxa"/>
            <w:vAlign w:val="bottom"/>
            <w:gridSpan w:val="22"/>
          </w:tcPr>
          <w:p>
            <w:pPr>
              <w:spacing w:after="0"/>
              <w:rPr>
                <w:rFonts w:ascii="Arial" w:cs="Arial" w:eastAsia="Arial" w:hAnsi="Arial"/>
                <w:sz w:val="18"/>
                <w:szCs w:val="18"/>
                <w:color w:val="0000FF"/>
                <w:w w:val="94"/>
              </w:rPr>
            </w:pPr>
            <w:hyperlink r:id="rId440">
              <w:r>
                <w:rPr>
                  <w:rFonts w:ascii="Arial" w:cs="Arial" w:eastAsia="Arial" w:hAnsi="Arial"/>
                  <w:sz w:val="18"/>
                  <w:szCs w:val="18"/>
                  <w:color w:val="0000FF"/>
                  <w:w w:val="94"/>
                </w:rPr>
                <w:t>Option Agreement (Domestic) between Stephen</w:t>
              </w:r>
            </w:hyperlink>
          </w:p>
        </w:tc>
        <w:tc>
          <w:tcPr>
            <w:tcW w:w="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tcBorders>
              <w:right w:val="single" w:sz="8" w:color="0000FF"/>
            </w:tcBorders>
            <w:gridSpan w:val="5"/>
            <w:shd w:val="clear" w:color="auto" w:fill="0000FF"/>
          </w:tcPr>
          <w:p>
            <w:pPr>
              <w:spacing w:after="0" w:line="20" w:lineRule="exact"/>
              <w:rPr>
                <w:sz w:val="1"/>
                <w:szCs w:val="1"/>
                <w:color w:val="auto"/>
              </w:rPr>
            </w:pPr>
          </w:p>
        </w:tc>
        <w:tc>
          <w:tcPr>
            <w:tcW w:w="2680" w:type="dxa"/>
            <w:vAlign w:val="bottom"/>
            <w:tcBorders>
              <w:left w:val="single" w:sz="8" w:color="0000FF"/>
            </w:tcBorders>
            <w:gridSpan w:val="1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gridSpan w:val="22"/>
          </w:tcPr>
          <w:p>
            <w:pPr>
              <w:spacing w:after="0" w:line="195" w:lineRule="exact"/>
              <w:rPr>
                <w:rFonts w:ascii="Arial" w:cs="Arial" w:eastAsia="Arial" w:hAnsi="Arial"/>
                <w:sz w:val="18"/>
                <w:szCs w:val="18"/>
                <w:color w:val="0000FF"/>
              </w:rPr>
            </w:pPr>
            <w:hyperlink r:id="rId440">
              <w:r>
                <w:rPr>
                  <w:rFonts w:ascii="Arial" w:cs="Arial" w:eastAsia="Arial" w:hAnsi="Arial"/>
                  <w:sz w:val="18"/>
                  <w:szCs w:val="18"/>
                  <w:color w:val="0000FF"/>
                </w:rPr>
                <w:t>Kaufer and</w:t>
              </w:r>
            </w:hyperlink>
          </w:p>
        </w:tc>
        <w:tc>
          <w:tcPr>
            <w:tcW w:w="20" w:type="dxa"/>
            <w:vAlign w:val="bottom"/>
          </w:tcPr>
          <w:p>
            <w:pPr>
              <w:spacing w:after="0"/>
              <w:rPr>
                <w:sz w:val="17"/>
                <w:szCs w:val="17"/>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9"/>
              </w:rPr>
              <w:t>10/8/15</w:t>
            </w:r>
          </w:p>
        </w:tc>
      </w:tr>
      <w:tr>
        <w:trPr>
          <w:trHeight w:val="674"/>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9"/>
              </w:rPr>
              <w:t>10-K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8"/>
              </w:rPr>
              <w:t>10.21</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9"/>
              </w:rPr>
              <w:t>2/21/18</w:t>
            </w:r>
          </w:p>
        </w:tc>
      </w:tr>
      <w:tr>
        <w:trPr>
          <w:trHeight w:val="674"/>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10.9</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5/8/20</w:t>
            </w:r>
          </w:p>
        </w:tc>
      </w:tr>
      <w:tr>
        <w:trPr>
          <w:trHeight w:val="674"/>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10.4</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8/8/17</w:t>
            </w:r>
          </w:p>
        </w:tc>
      </w:tr>
      <w:tr>
        <w:trPr>
          <w:trHeight w:val="458"/>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9"/>
              </w:rPr>
              <w:t>10-K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8"/>
              </w:rPr>
              <w:t>10.23</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9"/>
              </w:rPr>
              <w:t>2/21/18</w:t>
            </w:r>
          </w:p>
        </w:tc>
      </w:tr>
      <w:tr>
        <w:trPr>
          <w:trHeight w:val="458"/>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5/6/21</w:t>
            </w:r>
          </w:p>
        </w:tc>
      </w:tr>
      <w:tr>
        <w:trPr>
          <w:trHeight w:val="243"/>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10.3</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5/6/21</w:t>
            </w:r>
          </w:p>
        </w:tc>
      </w:tr>
      <w:tr>
        <w:trPr>
          <w:trHeight w:val="243"/>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10.4</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5/6/21</w:t>
            </w:r>
          </w:p>
        </w:tc>
      </w:tr>
      <w:tr>
        <w:trPr>
          <w:trHeight w:val="458"/>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10.5</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5/6/21</w:t>
            </w:r>
          </w:p>
        </w:tc>
      </w:tr>
      <w:tr>
        <w:trPr>
          <w:trHeight w:val="458"/>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10.6</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5/6/21</w:t>
            </w:r>
          </w:p>
        </w:tc>
      </w:tr>
      <w:tr>
        <w:trPr>
          <w:trHeight w:val="458"/>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8/1/18</w:t>
            </w:r>
          </w:p>
        </w:tc>
      </w:tr>
      <w:tr>
        <w:trPr>
          <w:trHeight w:val="458"/>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9"/>
              </w:rPr>
              <w:t>11/6/19</w:t>
            </w:r>
          </w:p>
        </w:tc>
      </w:tr>
      <w:tr>
        <w:trPr>
          <w:trHeight w:val="674"/>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8/5/21</w:t>
            </w:r>
          </w:p>
        </w:tc>
      </w:tr>
      <w:tr>
        <w:trPr>
          <w:trHeight w:val="458"/>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10.7</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5/6/21</w:t>
            </w:r>
          </w:p>
        </w:tc>
      </w:tr>
      <w:tr>
        <w:trPr>
          <w:trHeight w:val="458"/>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10.8</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5/6/21</w:t>
            </w:r>
          </w:p>
        </w:tc>
      </w:tr>
      <w:tr>
        <w:trPr>
          <w:trHeight w:val="458"/>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9"/>
              </w:rPr>
              <w:t>10-K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10.9</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5/6/21</w:t>
            </w:r>
          </w:p>
        </w:tc>
      </w:tr>
      <w:tr>
        <w:trPr>
          <w:trHeight w:val="458"/>
        </w:trPr>
        <w:tc>
          <w:tcPr>
            <w:tcW w:w="860" w:type="dxa"/>
            <w:vAlign w:val="bottom"/>
          </w:tcPr>
          <w:p>
            <w:pPr>
              <w:jc w:val="center"/>
              <w:ind w:right="37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9"/>
              </w:rPr>
              <w:t>3/25/21</w:t>
            </w:r>
          </w:p>
        </w:tc>
      </w:tr>
      <w:tr>
        <w:trPr>
          <w:trHeight w:val="243"/>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5/4/22</w:t>
            </w:r>
          </w:p>
        </w:tc>
      </w:tr>
      <w:tr>
        <w:trPr>
          <w:trHeight w:val="674"/>
        </w:trPr>
        <w:tc>
          <w:tcPr>
            <w:tcW w:w="860" w:type="dxa"/>
            <w:vAlign w:val="bottom"/>
          </w:tcPr>
          <w:p>
            <w:pPr>
              <w:jc w:val="center"/>
              <w:ind w:right="390"/>
              <w:spacing w:after="0"/>
              <w:rPr>
                <w:sz w:val="20"/>
                <w:szCs w:val="20"/>
                <w:color w:val="auto"/>
              </w:rPr>
            </w:pPr>
            <w:r>
              <w:rPr>
                <w:rFonts w:ascii="Arial" w:cs="Arial" w:eastAsia="Arial" w:hAnsi="Arial"/>
                <w:sz w:val="18"/>
                <w:szCs w:val="18"/>
                <w:color w:val="auto"/>
                <w:w w:val="94"/>
              </w:rPr>
              <w:t>10-Q</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001-35362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91"/>
              </w:rPr>
              <w:t>5/4/22</w:t>
            </w:r>
          </w:p>
        </w:tc>
      </w:tr>
    </w:tbl>
    <w:p>
      <w:pPr>
        <w:sectPr>
          <w:pgSz w:w="11900" w:h="16838" w:orient="portrait"/>
          <w:cols w:equalWidth="0" w:num="2">
            <w:col w:w="5740" w:space="520"/>
            <w:col w:w="4660"/>
          </w:cols>
          <w:pgMar w:left="340" w:top="364" w:right="6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660" w:type="dxa"/>
            <w:vAlign w:val="bottom"/>
            <w:gridSpan w:val="13"/>
          </w:tcPr>
          <w:p>
            <w:pPr>
              <w:spacing w:after="0"/>
              <w:rPr>
                <w:rFonts w:ascii="Arial" w:cs="Arial" w:eastAsia="Arial" w:hAnsi="Arial"/>
                <w:sz w:val="18"/>
                <w:szCs w:val="18"/>
                <w:color w:val="0000FF"/>
                <w:w w:val="94"/>
              </w:rPr>
            </w:pPr>
            <w:hyperlink r:id="rId440">
              <w:r>
                <w:rPr>
                  <w:rFonts w:ascii="Arial" w:cs="Arial" w:eastAsia="Arial" w:hAnsi="Arial"/>
                  <w:sz w:val="18"/>
                  <w:szCs w:val="18"/>
                  <w:color w:val="0000FF"/>
                  <w:w w:val="94"/>
                </w:rPr>
                <w:t>Tripadvisor, Inc. dated as of December 31,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10.44+</w:t>
            </w:r>
          </w:p>
        </w:tc>
        <w:tc>
          <w:tcPr>
            <w:tcW w:w="3660" w:type="dxa"/>
            <w:vAlign w:val="bottom"/>
            <w:gridSpan w:val="13"/>
          </w:tcPr>
          <w:p>
            <w:pPr>
              <w:spacing w:after="0"/>
              <w:rPr>
                <w:rFonts w:ascii="Arial" w:cs="Arial" w:eastAsia="Arial" w:hAnsi="Arial"/>
                <w:sz w:val="18"/>
                <w:szCs w:val="18"/>
                <w:color w:val="0000FF"/>
                <w:w w:val="91"/>
              </w:rPr>
            </w:pPr>
            <w:hyperlink r:id="rId442">
              <w:r>
                <w:rPr>
                  <w:rFonts w:ascii="Arial" w:cs="Arial" w:eastAsia="Arial" w:hAnsi="Arial"/>
                  <w:sz w:val="18"/>
                  <w:szCs w:val="18"/>
                  <w:color w:val="0000FF"/>
                  <w:w w:val="91"/>
                </w:rPr>
                <w:t>Employment Letter Agreement dated May 2, 2022</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rFonts w:ascii="Arial" w:cs="Arial" w:eastAsia="Arial" w:hAnsi="Arial"/>
                <w:sz w:val="18"/>
                <w:szCs w:val="18"/>
                <w:color w:val="0000FF"/>
              </w:rPr>
            </w:pPr>
            <w:hyperlink r:id="rId442">
              <w:r>
                <w:rPr>
                  <w:rFonts w:ascii="Arial" w:cs="Arial" w:eastAsia="Arial" w:hAnsi="Arial"/>
                  <w:sz w:val="18"/>
                  <w:szCs w:val="18"/>
                  <w:color w:val="0000FF"/>
                </w:rPr>
                <w:t>between Tripadvisor LLC and Matt Goldberg</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10.45+</w:t>
            </w:r>
          </w:p>
        </w:tc>
        <w:tc>
          <w:tcPr>
            <w:tcW w:w="3660" w:type="dxa"/>
            <w:vAlign w:val="bottom"/>
            <w:gridSpan w:val="13"/>
          </w:tcPr>
          <w:p>
            <w:pPr>
              <w:spacing w:after="0"/>
              <w:rPr>
                <w:rFonts w:ascii="Arial" w:cs="Arial" w:eastAsia="Arial" w:hAnsi="Arial"/>
                <w:sz w:val="18"/>
                <w:szCs w:val="18"/>
                <w:color w:val="0000FF"/>
                <w:w w:val="89"/>
              </w:rPr>
            </w:pPr>
            <w:hyperlink r:id="rId443">
              <w:r>
                <w:rPr>
                  <w:rFonts w:ascii="Arial" w:cs="Arial" w:eastAsia="Arial" w:hAnsi="Arial"/>
                  <w:sz w:val="18"/>
                  <w:szCs w:val="18"/>
                  <w:color w:val="0000FF"/>
                  <w:w w:val="89"/>
                </w:rPr>
                <w:t>Consulting Services Agreement dated May 3, 2022</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rFonts w:ascii="Arial" w:cs="Arial" w:eastAsia="Arial" w:hAnsi="Arial"/>
                <w:sz w:val="18"/>
                <w:szCs w:val="18"/>
                <w:color w:val="0000FF"/>
                <w:w w:val="98"/>
              </w:rPr>
            </w:pPr>
            <w:hyperlink r:id="rId443">
              <w:r>
                <w:rPr>
                  <w:rFonts w:ascii="Arial" w:cs="Arial" w:eastAsia="Arial" w:hAnsi="Arial"/>
                  <w:sz w:val="18"/>
                  <w:szCs w:val="18"/>
                  <w:color w:val="0000FF"/>
                  <w:w w:val="98"/>
                </w:rPr>
                <w:t>between Tripadvisor LLC and Stephen Kaufer.</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10.46+</w:t>
            </w:r>
          </w:p>
        </w:tc>
        <w:tc>
          <w:tcPr>
            <w:tcW w:w="3660" w:type="dxa"/>
            <w:vAlign w:val="bottom"/>
            <w:gridSpan w:val="13"/>
          </w:tcPr>
          <w:p>
            <w:pPr>
              <w:spacing w:after="0"/>
              <w:rPr>
                <w:rFonts w:ascii="Arial" w:cs="Arial" w:eastAsia="Arial" w:hAnsi="Arial"/>
                <w:sz w:val="18"/>
                <w:szCs w:val="18"/>
                <w:color w:val="0000FF"/>
                <w:w w:val="92"/>
              </w:rPr>
            </w:pPr>
            <w:hyperlink r:id="rId444">
              <w:r>
                <w:rPr>
                  <w:rFonts w:ascii="Arial" w:cs="Arial" w:eastAsia="Arial" w:hAnsi="Arial"/>
                  <w:sz w:val="18"/>
                  <w:szCs w:val="18"/>
                  <w:color w:val="0000FF"/>
                  <w:w w:val="92"/>
                </w:rPr>
                <w:t>Employment Letter Agreement dated October 10,</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rFonts w:ascii="Arial" w:cs="Arial" w:eastAsia="Arial" w:hAnsi="Arial"/>
                <w:sz w:val="18"/>
                <w:szCs w:val="18"/>
                <w:color w:val="0000FF"/>
              </w:rPr>
            </w:pPr>
            <w:hyperlink r:id="rId444">
              <w:r>
                <w:rPr>
                  <w:rFonts w:ascii="Arial" w:cs="Arial" w:eastAsia="Arial" w:hAnsi="Arial"/>
                  <w:sz w:val="18"/>
                  <w:szCs w:val="18"/>
                  <w:color w:val="0000FF"/>
                </w:rPr>
                <w:t>2022 between Tripadvisor LLC and Michael</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rFonts w:ascii="Arial" w:cs="Arial" w:eastAsia="Arial" w:hAnsi="Arial"/>
                <w:sz w:val="18"/>
                <w:szCs w:val="18"/>
                <w:color w:val="0000FF"/>
              </w:rPr>
            </w:pPr>
            <w:hyperlink r:id="rId444">
              <w:r>
                <w:rPr>
                  <w:rFonts w:ascii="Arial" w:cs="Arial" w:eastAsia="Arial" w:hAnsi="Arial"/>
                  <w:sz w:val="18"/>
                  <w:szCs w:val="18"/>
                  <w:color w:val="0000FF"/>
                </w:rPr>
                <w:t>Noonan</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10.47+</w:t>
            </w:r>
          </w:p>
        </w:tc>
        <w:tc>
          <w:tcPr>
            <w:tcW w:w="3660" w:type="dxa"/>
            <w:vAlign w:val="bottom"/>
            <w:gridSpan w:val="13"/>
          </w:tcPr>
          <w:p>
            <w:pPr>
              <w:spacing w:after="0"/>
              <w:rPr>
                <w:rFonts w:ascii="Arial" w:cs="Arial" w:eastAsia="Arial" w:hAnsi="Arial"/>
                <w:sz w:val="18"/>
                <w:szCs w:val="18"/>
                <w:color w:val="0000FF"/>
                <w:w w:val="92"/>
              </w:rPr>
            </w:pPr>
            <w:hyperlink r:id="rId445">
              <w:r>
                <w:rPr>
                  <w:rFonts w:ascii="Arial" w:cs="Arial" w:eastAsia="Arial" w:hAnsi="Arial"/>
                  <w:sz w:val="18"/>
                  <w:szCs w:val="18"/>
                  <w:color w:val="0000FF"/>
                  <w:w w:val="92"/>
                </w:rPr>
                <w:t>Transition Services Agreement dated October 10,</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rFonts w:ascii="Arial" w:cs="Arial" w:eastAsia="Arial" w:hAnsi="Arial"/>
                <w:sz w:val="18"/>
                <w:szCs w:val="18"/>
                <w:color w:val="0000FF"/>
              </w:rPr>
            </w:pPr>
            <w:hyperlink r:id="rId445">
              <w:r>
                <w:rPr>
                  <w:rFonts w:ascii="Arial" w:cs="Arial" w:eastAsia="Arial" w:hAnsi="Arial"/>
                  <w:sz w:val="18"/>
                  <w:szCs w:val="18"/>
                  <w:color w:val="0000FF"/>
                </w:rPr>
                <w:t>2022 between Tripadvisor LLC and Ernst</w:t>
              </w:r>
            </w:hyperlink>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rFonts w:ascii="Arial" w:cs="Arial" w:eastAsia="Arial" w:hAnsi="Arial"/>
                <w:sz w:val="18"/>
                <w:szCs w:val="18"/>
                <w:color w:val="0000FF"/>
              </w:rPr>
            </w:pPr>
            <w:hyperlink r:id="rId445">
              <w:r>
                <w:rPr>
                  <w:rFonts w:ascii="Arial" w:cs="Arial" w:eastAsia="Arial" w:hAnsi="Arial"/>
                  <w:sz w:val="18"/>
                  <w:szCs w:val="18"/>
                  <w:color w:val="0000FF"/>
                </w:rPr>
                <w:t>Teunissen</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21.1</w:t>
            </w:r>
          </w:p>
        </w:tc>
        <w:tc>
          <w:tcPr>
            <w:tcW w:w="3660" w:type="dxa"/>
            <w:vAlign w:val="bottom"/>
            <w:gridSpan w:val="13"/>
          </w:tcPr>
          <w:p>
            <w:pPr>
              <w:spacing w:after="0"/>
              <w:rPr>
                <w:sz w:val="20"/>
                <w:szCs w:val="20"/>
                <w:color w:val="auto"/>
              </w:rPr>
            </w:pPr>
            <w:r>
              <w:rPr>
                <w:rFonts w:ascii="Arial" w:cs="Arial" w:eastAsia="Arial" w:hAnsi="Arial"/>
                <w:sz w:val="18"/>
                <w:szCs w:val="18"/>
                <w:color w:val="auto"/>
              </w:rPr>
              <w:t>Subsidiaries of the Registrant</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3660" w:type="dxa"/>
            <w:vAlign w:val="bottom"/>
            <w:gridSpan w:val="13"/>
          </w:tcPr>
          <w:p>
            <w:pPr>
              <w:spacing w:after="0"/>
              <w:rPr>
                <w:sz w:val="20"/>
                <w:szCs w:val="20"/>
                <w:color w:val="auto"/>
              </w:rPr>
            </w:pPr>
            <w:r>
              <w:rPr>
                <w:rFonts w:ascii="Arial" w:cs="Arial" w:eastAsia="Arial" w:hAnsi="Arial"/>
                <w:sz w:val="18"/>
                <w:szCs w:val="18"/>
                <w:color w:val="auto"/>
                <w:w w:val="94"/>
              </w:rPr>
              <w:t>Consent of KPMG LLP, Independent Registered</w:t>
            </w: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sz w:val="20"/>
                <w:szCs w:val="20"/>
                <w:color w:val="auto"/>
              </w:rPr>
            </w:pPr>
            <w:r>
              <w:rPr>
                <w:rFonts w:ascii="Arial" w:cs="Arial" w:eastAsia="Arial" w:hAnsi="Arial"/>
                <w:sz w:val="18"/>
                <w:szCs w:val="18"/>
                <w:color w:val="auto"/>
              </w:rPr>
              <w:t>Public Accounting Firm</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24.1</w:t>
            </w:r>
          </w:p>
        </w:tc>
        <w:tc>
          <w:tcPr>
            <w:tcW w:w="3660" w:type="dxa"/>
            <w:vAlign w:val="bottom"/>
            <w:gridSpan w:val="13"/>
          </w:tcPr>
          <w:p>
            <w:pPr>
              <w:spacing w:after="0"/>
              <w:rPr>
                <w:sz w:val="20"/>
                <w:szCs w:val="20"/>
                <w:color w:val="auto"/>
              </w:rPr>
            </w:pPr>
            <w:r>
              <w:rPr>
                <w:rFonts w:ascii="Arial" w:cs="Arial" w:eastAsia="Arial" w:hAnsi="Arial"/>
                <w:sz w:val="18"/>
                <w:szCs w:val="18"/>
                <w:color w:val="auto"/>
                <w:w w:val="98"/>
              </w:rPr>
              <w:t>Power of Attorney (included in signature page)</w:t>
            </w: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31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auto"/>
                <w:w w:val="94"/>
              </w:rPr>
              <w:t>Certification of the Chief Executive Officer</w:t>
            </w:r>
          </w:p>
        </w:tc>
        <w:tc>
          <w:tcPr>
            <w:tcW w:w="220" w:type="dxa"/>
            <w:vAlign w:val="bottom"/>
            <w:tcBorders>
              <w:top w:val="single" w:sz="8" w:color="0000EE"/>
            </w:tcBorders>
            <w:gridSpan w:val="2"/>
          </w:tcPr>
          <w:p>
            <w:pPr>
              <w:spacing w:after="0"/>
              <w:rPr>
                <w:sz w:val="19"/>
                <w:szCs w:val="19"/>
                <w:color w:val="auto"/>
              </w:rPr>
            </w:pPr>
          </w:p>
        </w:tc>
        <w:tc>
          <w:tcPr>
            <w:tcW w:w="280" w:type="dxa"/>
            <w:vAlign w:val="bottom"/>
            <w:gridSpan w:val="4"/>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sz w:val="20"/>
                <w:szCs w:val="20"/>
                <w:color w:val="auto"/>
              </w:rPr>
            </w:pPr>
            <w:r>
              <w:rPr>
                <w:rFonts w:ascii="Arial" w:cs="Arial" w:eastAsia="Arial" w:hAnsi="Arial"/>
                <w:sz w:val="18"/>
                <w:szCs w:val="18"/>
                <w:color w:val="auto"/>
                <w:w w:val="89"/>
              </w:rPr>
              <w:t>pursuant to Section 302 of the Sarbanes-Oxley Act</w:t>
            </w: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8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sz w:val="20"/>
                <w:szCs w:val="20"/>
                <w:color w:val="auto"/>
              </w:rPr>
            </w:pPr>
            <w:r>
              <w:rPr>
                <w:rFonts w:ascii="Arial" w:cs="Arial" w:eastAsia="Arial" w:hAnsi="Arial"/>
                <w:sz w:val="18"/>
                <w:szCs w:val="18"/>
                <w:color w:val="auto"/>
              </w:rPr>
              <w:t>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31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4"/>
              </w:rPr>
              <w:t>Certification of the Chief Financial Officer</w:t>
            </w:r>
          </w:p>
        </w:tc>
        <w:tc>
          <w:tcPr>
            <w:tcW w:w="540" w:type="dxa"/>
            <w:vAlign w:val="bottom"/>
            <w:gridSpan w:val="7"/>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sz w:val="20"/>
                <w:szCs w:val="20"/>
                <w:color w:val="auto"/>
              </w:rPr>
            </w:pPr>
            <w:r>
              <w:rPr>
                <w:rFonts w:ascii="Arial" w:cs="Arial" w:eastAsia="Arial" w:hAnsi="Arial"/>
                <w:sz w:val="18"/>
                <w:szCs w:val="18"/>
                <w:color w:val="auto"/>
                <w:w w:val="89"/>
              </w:rPr>
              <w:t>pursuant to Section 302 of the Sarbanes-Oxley Act</w:t>
            </w:r>
          </w:p>
        </w:tc>
      </w:tr>
      <w:tr>
        <w:trPr>
          <w:trHeight w:val="20"/>
        </w:trPr>
        <w:tc>
          <w:tcPr>
            <w:tcW w:w="1120" w:type="dxa"/>
            <w:vAlign w:val="bottom"/>
          </w:tcPr>
          <w:p>
            <w:pPr>
              <w:spacing w:after="0" w:line="20" w:lineRule="exact"/>
              <w:rPr>
                <w:sz w:val="1"/>
                <w:szCs w:val="1"/>
                <w:color w:val="auto"/>
              </w:rPr>
            </w:pPr>
          </w:p>
        </w:tc>
        <w:tc>
          <w:tcPr>
            <w:tcW w:w="3660" w:type="dxa"/>
            <w:vAlign w:val="bottom"/>
            <w:gridSpan w:val="13"/>
            <w:shd w:val="clear" w:color="auto" w:fill="0000EE"/>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sz w:val="20"/>
                <w:szCs w:val="20"/>
                <w:color w:val="auto"/>
              </w:rPr>
            </w:pPr>
            <w:r>
              <w:rPr>
                <w:rFonts w:ascii="Arial" w:cs="Arial" w:eastAsia="Arial" w:hAnsi="Arial"/>
                <w:sz w:val="18"/>
                <w:szCs w:val="18"/>
                <w:color w:val="auto"/>
              </w:rPr>
              <w:t>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31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4"/>
              </w:rPr>
              <w:t>Certification of the Chief Executive Officer</w:t>
            </w:r>
          </w:p>
        </w:tc>
        <w:tc>
          <w:tcPr>
            <w:tcW w:w="500" w:type="dxa"/>
            <w:vAlign w:val="bottom"/>
            <w:gridSpan w:val="6"/>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sz w:val="20"/>
                <w:szCs w:val="20"/>
                <w:color w:val="auto"/>
              </w:rPr>
            </w:pPr>
            <w:r>
              <w:rPr>
                <w:rFonts w:ascii="Arial" w:cs="Arial" w:eastAsia="Arial" w:hAnsi="Arial"/>
                <w:sz w:val="18"/>
                <w:szCs w:val="18"/>
                <w:color w:val="auto"/>
                <w:w w:val="89"/>
              </w:rPr>
              <w:t>pursuant to Section 906 of the Sarbanes-Oxley Act</w:t>
            </w:r>
          </w:p>
        </w:tc>
      </w:tr>
      <w:tr>
        <w:trPr>
          <w:trHeight w:val="20"/>
        </w:trPr>
        <w:tc>
          <w:tcPr>
            <w:tcW w:w="1120" w:type="dxa"/>
            <w:vAlign w:val="bottom"/>
          </w:tcPr>
          <w:p>
            <w:pPr>
              <w:spacing w:after="0" w:line="20" w:lineRule="exact"/>
              <w:rPr>
                <w:sz w:val="1"/>
                <w:szCs w:val="1"/>
                <w:color w:val="auto"/>
              </w:rPr>
            </w:pPr>
          </w:p>
        </w:tc>
        <w:tc>
          <w:tcPr>
            <w:tcW w:w="3660" w:type="dxa"/>
            <w:vAlign w:val="bottom"/>
            <w:gridSpan w:val="13"/>
            <w:shd w:val="clear" w:color="auto" w:fill="0000EE"/>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sz w:val="20"/>
                <w:szCs w:val="20"/>
                <w:color w:val="auto"/>
              </w:rPr>
            </w:pPr>
            <w:r>
              <w:rPr>
                <w:rFonts w:ascii="Arial" w:cs="Arial" w:eastAsia="Arial" w:hAnsi="Arial"/>
                <w:sz w:val="18"/>
                <w:szCs w:val="18"/>
                <w:color w:val="auto"/>
              </w:rPr>
              <w:t>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31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4"/>
              </w:rPr>
              <w:t>Certification of the Chief Financial Officer</w:t>
            </w:r>
          </w:p>
        </w:tc>
        <w:tc>
          <w:tcPr>
            <w:tcW w:w="540" w:type="dxa"/>
            <w:vAlign w:val="bottom"/>
            <w:gridSpan w:val="7"/>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sz w:val="20"/>
                <w:szCs w:val="20"/>
                <w:color w:val="auto"/>
              </w:rPr>
            </w:pPr>
            <w:r>
              <w:rPr>
                <w:rFonts w:ascii="Arial" w:cs="Arial" w:eastAsia="Arial" w:hAnsi="Arial"/>
                <w:sz w:val="18"/>
                <w:szCs w:val="18"/>
                <w:color w:val="auto"/>
                <w:w w:val="89"/>
              </w:rPr>
              <w:t>pursuant to Section 906 of the Sarbanes-Oxley Act</w:t>
            </w:r>
          </w:p>
        </w:tc>
      </w:tr>
      <w:tr>
        <w:trPr>
          <w:trHeight w:val="20"/>
        </w:trPr>
        <w:tc>
          <w:tcPr>
            <w:tcW w:w="1120" w:type="dxa"/>
            <w:vAlign w:val="bottom"/>
          </w:tcPr>
          <w:p>
            <w:pPr>
              <w:spacing w:after="0" w:line="20" w:lineRule="exact"/>
              <w:rPr>
                <w:sz w:val="1"/>
                <w:szCs w:val="1"/>
                <w:color w:val="auto"/>
              </w:rPr>
            </w:pPr>
          </w:p>
        </w:tc>
        <w:tc>
          <w:tcPr>
            <w:tcW w:w="3660" w:type="dxa"/>
            <w:vAlign w:val="bottom"/>
            <w:gridSpan w:val="13"/>
            <w:shd w:val="clear" w:color="auto" w:fill="0000EE"/>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60" w:type="dxa"/>
            <w:vAlign w:val="bottom"/>
            <w:gridSpan w:val="13"/>
          </w:tcPr>
          <w:p>
            <w:pPr>
              <w:spacing w:after="0" w:line="195" w:lineRule="exact"/>
              <w:rPr>
                <w:sz w:val="20"/>
                <w:szCs w:val="20"/>
                <w:color w:val="auto"/>
              </w:rPr>
            </w:pPr>
            <w:r>
              <w:rPr>
                <w:rFonts w:ascii="Arial" w:cs="Arial" w:eastAsia="Arial" w:hAnsi="Arial"/>
                <w:sz w:val="18"/>
                <w:szCs w:val="18"/>
                <w:color w:val="auto"/>
              </w:rPr>
              <w:t>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r>
      <w:tr>
        <w:trPr>
          <w:trHeight w:val="370"/>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3660" w:type="dxa"/>
            <w:vAlign w:val="bottom"/>
            <w:gridSpan w:val="13"/>
          </w:tcPr>
          <w:p>
            <w:pPr>
              <w:spacing w:after="0"/>
              <w:rPr>
                <w:sz w:val="20"/>
                <w:szCs w:val="20"/>
                <w:color w:val="auto"/>
              </w:rPr>
            </w:pPr>
            <w:r>
              <w:rPr>
                <w:rFonts w:ascii="Arial" w:cs="Arial" w:eastAsia="Arial" w:hAnsi="Arial"/>
                <w:sz w:val="18"/>
                <w:szCs w:val="18"/>
                <w:color w:val="auto"/>
                <w:w w:val="98"/>
              </w:rPr>
              <w:t>Inline XBRL Instance Document - the instance</w:t>
            </w:r>
          </w:p>
        </w:tc>
      </w:tr>
      <w:tr>
        <w:trPr>
          <w:trHeight w:val="216"/>
        </w:trPr>
        <w:tc>
          <w:tcPr>
            <w:tcW w:w="1120" w:type="dxa"/>
            <w:vAlign w:val="bottom"/>
          </w:tcPr>
          <w:p>
            <w:pPr>
              <w:spacing w:after="0"/>
              <w:rPr>
                <w:sz w:val="18"/>
                <w:szCs w:val="18"/>
                <w:color w:val="auto"/>
              </w:rPr>
            </w:pPr>
          </w:p>
        </w:tc>
        <w:tc>
          <w:tcPr>
            <w:tcW w:w="3660" w:type="dxa"/>
            <w:vAlign w:val="bottom"/>
            <w:gridSpan w:val="13"/>
          </w:tcPr>
          <w:p>
            <w:pPr>
              <w:spacing w:after="0"/>
              <w:rPr>
                <w:sz w:val="20"/>
                <w:szCs w:val="20"/>
                <w:color w:val="auto"/>
              </w:rPr>
            </w:pPr>
            <w:r>
              <w:rPr>
                <w:rFonts w:ascii="Arial" w:cs="Arial" w:eastAsia="Arial" w:hAnsi="Arial"/>
                <w:sz w:val="18"/>
                <w:szCs w:val="18"/>
                <w:color w:val="auto"/>
                <w:w w:val="92"/>
              </w:rPr>
              <w:t>document does not appear in the Interactive Data</w:t>
            </w:r>
          </w:p>
        </w:tc>
      </w:tr>
      <w:tr>
        <w:trPr>
          <w:trHeight w:val="216"/>
        </w:trPr>
        <w:tc>
          <w:tcPr>
            <w:tcW w:w="1120" w:type="dxa"/>
            <w:vAlign w:val="bottom"/>
          </w:tcPr>
          <w:p>
            <w:pPr>
              <w:spacing w:after="0"/>
              <w:rPr>
                <w:sz w:val="18"/>
                <w:szCs w:val="18"/>
                <w:color w:val="auto"/>
              </w:rPr>
            </w:pPr>
          </w:p>
        </w:tc>
        <w:tc>
          <w:tcPr>
            <w:tcW w:w="3660" w:type="dxa"/>
            <w:vAlign w:val="bottom"/>
            <w:gridSpan w:val="13"/>
          </w:tcPr>
          <w:p>
            <w:pPr>
              <w:spacing w:after="0"/>
              <w:rPr>
                <w:sz w:val="20"/>
                <w:szCs w:val="20"/>
                <w:color w:val="auto"/>
              </w:rPr>
            </w:pPr>
            <w:r>
              <w:rPr>
                <w:rFonts w:ascii="Arial" w:cs="Arial" w:eastAsia="Arial" w:hAnsi="Arial"/>
                <w:sz w:val="18"/>
                <w:szCs w:val="18"/>
                <w:color w:val="auto"/>
                <w:w w:val="93"/>
              </w:rPr>
              <w:t>File because its XBRL tags are embedded within</w:t>
            </w:r>
          </w:p>
        </w:tc>
      </w:tr>
      <w:tr>
        <w:trPr>
          <w:trHeight w:val="230"/>
        </w:trPr>
        <w:tc>
          <w:tcPr>
            <w:tcW w:w="11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Arial" w:cs="Arial" w:eastAsia="Arial" w:hAnsi="Arial"/>
                <w:sz w:val="18"/>
                <w:szCs w:val="18"/>
                <w:color w:val="auto"/>
              </w:rPr>
              <w:t>the Inline XBRL document.</w:t>
            </w:r>
          </w:p>
        </w:tc>
      </w:tr>
      <w:tr>
        <w:trPr>
          <w:trHeight w:val="350"/>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36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11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50"/>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366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30"/>
        </w:trPr>
        <w:tc>
          <w:tcPr>
            <w:tcW w:w="11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Arial" w:cs="Arial" w:eastAsia="Arial" w:hAnsi="Arial"/>
                <w:sz w:val="18"/>
                <w:szCs w:val="18"/>
                <w:color w:val="auto"/>
              </w:rPr>
              <w:t>Linkbase Document.</w:t>
            </w:r>
          </w:p>
        </w:tc>
      </w:tr>
      <w:tr>
        <w:trPr>
          <w:trHeight w:val="350"/>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366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30"/>
        </w:trPr>
        <w:tc>
          <w:tcPr>
            <w:tcW w:w="11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Arial" w:cs="Arial" w:eastAsia="Arial" w:hAnsi="Arial"/>
                <w:sz w:val="18"/>
                <w:szCs w:val="18"/>
                <w:color w:val="auto"/>
              </w:rPr>
              <w:t>Linkbase Document.</w:t>
            </w:r>
          </w:p>
        </w:tc>
      </w:tr>
      <w:tr>
        <w:trPr>
          <w:trHeight w:val="350"/>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3660" w:type="dxa"/>
            <w:vAlign w:val="bottom"/>
            <w:gridSpan w:val="13"/>
          </w:tcPr>
          <w:p>
            <w:pPr>
              <w:spacing w:after="0"/>
              <w:rPr>
                <w:sz w:val="20"/>
                <w:szCs w:val="20"/>
                <w:color w:val="auto"/>
              </w:rPr>
            </w:pPr>
            <w:r>
              <w:rPr>
                <w:rFonts w:ascii="Arial" w:cs="Arial" w:eastAsia="Arial" w:hAnsi="Arial"/>
                <w:sz w:val="18"/>
                <w:szCs w:val="18"/>
                <w:color w:val="auto"/>
                <w:w w:val="92"/>
              </w:rPr>
              <w:t>Inline XBRL Taxonomy Extension Label Linkbase</w:t>
            </w:r>
          </w:p>
        </w:tc>
      </w:tr>
      <w:tr>
        <w:trPr>
          <w:trHeight w:val="230"/>
        </w:trPr>
        <w:tc>
          <w:tcPr>
            <w:tcW w:w="11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35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3660" w:type="dxa"/>
            <w:vAlign w:val="bottom"/>
            <w:gridSpan w:val="13"/>
          </w:tcPr>
          <w:p>
            <w:pPr>
              <w:spacing w:after="0"/>
              <w:rPr>
                <w:sz w:val="20"/>
                <w:szCs w:val="20"/>
                <w:color w:val="auto"/>
              </w:rPr>
            </w:pPr>
            <w:r>
              <w:rPr>
                <w:rFonts w:ascii="Arial" w:cs="Arial" w:eastAsia="Arial" w:hAnsi="Arial"/>
                <w:sz w:val="18"/>
                <w:szCs w:val="18"/>
                <w:color w:val="auto"/>
                <w:w w:val="97"/>
              </w:rPr>
              <w:t>Inline XBRL Taxonomy Extension Presentation</w:t>
            </w:r>
          </w:p>
        </w:tc>
      </w:tr>
      <w:tr>
        <w:trPr>
          <w:trHeight w:val="230"/>
        </w:trPr>
        <w:tc>
          <w:tcPr>
            <w:tcW w:w="11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Arial" w:cs="Arial" w:eastAsia="Arial" w:hAnsi="Arial"/>
                <w:sz w:val="18"/>
                <w:szCs w:val="18"/>
                <w:color w:val="auto"/>
              </w:rPr>
              <w:t>Linkbase Document.</w:t>
            </w:r>
          </w:p>
        </w:tc>
      </w:tr>
    </w:tbl>
    <w:p>
      <w:pPr>
        <w:spacing w:after="0" w:line="134" w:lineRule="exact"/>
        <w:rPr>
          <w:sz w:val="20"/>
          <w:szCs w:val="20"/>
          <w:color w:val="auto"/>
        </w:rPr>
      </w:pPr>
    </w:p>
    <w:p>
      <w:pPr>
        <w:ind w:left="1100" w:right="480" w:hanging="1099"/>
        <w:spacing w:after="0" w:line="341" w:lineRule="auto"/>
        <w:tabs>
          <w:tab w:leader="none" w:pos="11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9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001-35362</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940" w:type="dxa"/>
            <w:vAlign w:val="bottom"/>
          </w:tcPr>
          <w:p>
            <w:pPr>
              <w:jc w:val="center"/>
              <w:ind w:left="230"/>
              <w:spacing w:after="0"/>
              <w:rPr>
                <w:sz w:val="20"/>
                <w:szCs w:val="20"/>
                <w:color w:val="auto"/>
              </w:rPr>
            </w:pPr>
            <w:r>
              <w:rPr>
                <w:rFonts w:ascii="Arial" w:cs="Arial" w:eastAsia="Arial" w:hAnsi="Arial"/>
                <w:sz w:val="18"/>
                <w:szCs w:val="18"/>
                <w:color w:val="auto"/>
                <w:w w:val="91"/>
              </w:rPr>
              <w:t>5/4/22</w:t>
            </w:r>
          </w:p>
        </w:tc>
      </w:tr>
      <w:tr>
        <w:trPr>
          <w:trHeight w:val="458"/>
        </w:trPr>
        <w:tc>
          <w:tcPr>
            <w:tcW w:w="78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001-35362</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940" w:type="dxa"/>
            <w:vAlign w:val="bottom"/>
          </w:tcPr>
          <w:p>
            <w:pPr>
              <w:jc w:val="center"/>
              <w:ind w:left="230"/>
              <w:spacing w:after="0"/>
              <w:rPr>
                <w:sz w:val="20"/>
                <w:szCs w:val="20"/>
                <w:color w:val="auto"/>
              </w:rPr>
            </w:pPr>
            <w:r>
              <w:rPr>
                <w:rFonts w:ascii="Arial" w:cs="Arial" w:eastAsia="Arial" w:hAnsi="Arial"/>
                <w:sz w:val="18"/>
                <w:szCs w:val="18"/>
                <w:color w:val="auto"/>
                <w:w w:val="91"/>
              </w:rPr>
              <w:t>5/4/22</w:t>
            </w:r>
          </w:p>
        </w:tc>
      </w:tr>
      <w:tr>
        <w:trPr>
          <w:trHeight w:val="458"/>
        </w:trPr>
        <w:tc>
          <w:tcPr>
            <w:tcW w:w="78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001-35362</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940" w:type="dxa"/>
            <w:vAlign w:val="bottom"/>
          </w:tcPr>
          <w:p>
            <w:pPr>
              <w:jc w:val="center"/>
              <w:ind w:left="230"/>
              <w:spacing w:after="0"/>
              <w:rPr>
                <w:sz w:val="20"/>
                <w:szCs w:val="20"/>
                <w:color w:val="auto"/>
              </w:rPr>
            </w:pPr>
            <w:r>
              <w:rPr>
                <w:rFonts w:ascii="Arial" w:cs="Arial" w:eastAsia="Arial" w:hAnsi="Arial"/>
                <w:sz w:val="18"/>
                <w:szCs w:val="18"/>
                <w:color w:val="auto"/>
                <w:w w:val="88"/>
              </w:rPr>
              <w:t>10/11/22</w:t>
            </w:r>
          </w:p>
        </w:tc>
      </w:tr>
      <w:tr>
        <w:trPr>
          <w:trHeight w:val="674"/>
        </w:trPr>
        <w:tc>
          <w:tcPr>
            <w:tcW w:w="780" w:type="dxa"/>
            <w:vAlign w:val="bottom"/>
          </w:tcPr>
          <w:p>
            <w:pPr>
              <w:spacing w:after="0"/>
              <w:rPr>
                <w:sz w:val="20"/>
                <w:szCs w:val="20"/>
                <w:color w:val="auto"/>
              </w:rPr>
            </w:pPr>
            <w:r>
              <w:rPr>
                <w:rFonts w:ascii="Arial" w:cs="Arial" w:eastAsia="Arial" w:hAnsi="Arial"/>
                <w:sz w:val="18"/>
                <w:szCs w:val="18"/>
                <w:color w:val="auto"/>
              </w:rPr>
              <w:t>8-K</w:t>
            </w: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001-35362</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10.2</w:t>
            </w:r>
          </w:p>
        </w:tc>
        <w:tc>
          <w:tcPr>
            <w:tcW w:w="940" w:type="dxa"/>
            <w:vAlign w:val="bottom"/>
          </w:tcPr>
          <w:p>
            <w:pPr>
              <w:jc w:val="center"/>
              <w:ind w:left="230"/>
              <w:spacing w:after="0"/>
              <w:rPr>
                <w:sz w:val="20"/>
                <w:szCs w:val="20"/>
                <w:color w:val="auto"/>
              </w:rPr>
            </w:pPr>
            <w:r>
              <w:rPr>
                <w:rFonts w:ascii="Arial" w:cs="Arial" w:eastAsia="Arial" w:hAnsi="Arial"/>
                <w:sz w:val="18"/>
                <w:szCs w:val="18"/>
                <w:color w:val="auto"/>
                <w:w w:val="88"/>
              </w:rPr>
              <w:t>10/11/22</w:t>
            </w: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48" w:lineRule="exact"/>
        <w:rPr>
          <w:sz w:val="20"/>
          <w:szCs w:val="20"/>
          <w:color w:val="auto"/>
        </w:rPr>
      </w:pPr>
    </w:p>
    <w:p>
      <w:pPr>
        <w:jc w:val="right"/>
        <w:ind w:right="52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70485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80" w:space="600"/>
            <w:col w:w="5580"/>
          </w:cols>
          <w:pgMar w:left="340" w:top="364" w:right="59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i w:val="1"/>
          <w:iCs w:val="1"/>
          <w:color w:val="auto"/>
        </w:rPr>
        <w:t>+ Indicates a management contract or a compensatory plan, contract or arrangement.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TRIPADVISOR, INC.</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7680" w:type="dxa"/>
            <w:vAlign w:val="bottom"/>
          </w:tcPr>
          <w:p>
            <w:pPr>
              <w:ind w:left="7200"/>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GOLDBERG</w:t>
            </w:r>
          </w:p>
        </w:tc>
      </w:tr>
      <w:tr>
        <w:trPr>
          <w:trHeight w:val="195"/>
        </w:trPr>
        <w:tc>
          <w:tcPr>
            <w:tcW w:w="7680" w:type="dxa"/>
            <w:vAlign w:val="bottom"/>
          </w:tcPr>
          <w:p>
            <w:pPr>
              <w:spacing w:after="0" w:line="195" w:lineRule="exact"/>
              <w:rPr>
                <w:sz w:val="20"/>
                <w:szCs w:val="20"/>
                <w:color w:val="auto"/>
              </w:rPr>
            </w:pPr>
            <w:r>
              <w:rPr>
                <w:rFonts w:ascii="Arial" w:cs="Arial" w:eastAsia="Arial" w:hAnsi="Arial"/>
                <w:sz w:val="18"/>
                <w:szCs w:val="18"/>
                <w:color w:val="auto"/>
              </w:rPr>
              <w:t>February 17, 2023</w:t>
            </w:r>
          </w:p>
        </w:tc>
        <w:tc>
          <w:tcPr>
            <w:tcW w:w="3540" w:type="dxa"/>
            <w:vAlign w:val="bottom"/>
          </w:tcPr>
          <w:p>
            <w:pPr>
              <w:spacing w:after="0" w:line="195" w:lineRule="exact"/>
              <w:rPr>
                <w:sz w:val="20"/>
                <w:szCs w:val="20"/>
                <w:color w:val="auto"/>
              </w:rPr>
            </w:pPr>
            <w:r>
              <w:rPr>
                <w:rFonts w:ascii="Arial" w:cs="Arial" w:eastAsia="Arial" w:hAnsi="Arial"/>
                <w:sz w:val="18"/>
                <w:szCs w:val="18"/>
                <w:color w:val="auto"/>
              </w:rPr>
              <w:t>Matt Goldberg</w:t>
            </w:r>
          </w:p>
        </w:tc>
      </w:tr>
      <w:tr>
        <w:trPr>
          <w:trHeight w:val="230"/>
        </w:trPr>
        <w:tc>
          <w:tcPr>
            <w:tcW w:w="76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We, the undersigned officers and directors of Tripadvisor, Inc., hereby severally constitute and appoint Matt Goldberg and Michael Noonan,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and all requirements of the Securities and Exchange Commission.</w:t>
      </w:r>
    </w:p>
    <w:p>
      <w:pPr>
        <w:spacing w:after="0" w:line="156" w:lineRule="exact"/>
        <w:rPr>
          <w:sz w:val="20"/>
          <w:szCs w:val="20"/>
          <w:color w:val="auto"/>
        </w:rPr>
      </w:pPr>
    </w:p>
    <w:p>
      <w:pPr>
        <w:ind w:right="300" w:firstLine="509"/>
        <w:spacing w:after="0" w:line="25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17,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Signature</w:t>
            </w:r>
          </w:p>
        </w:tc>
        <w:tc>
          <w:tcPr>
            <w:tcW w:w="1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16"/>
        </w:trPr>
        <w:tc>
          <w:tcPr>
            <w:tcW w:w="4280" w:type="dxa"/>
            <w:vAlign w:val="bottom"/>
          </w:tcPr>
          <w:p>
            <w:pPr>
              <w:ind w:left="20"/>
              <w:spacing w:after="0"/>
              <w:rPr>
                <w:sz w:val="20"/>
                <w:szCs w:val="20"/>
                <w:color w:val="auto"/>
              </w:rPr>
            </w:pPr>
            <w:r>
              <w:rPr>
                <w:rFonts w:ascii="Arial" w:cs="Arial" w:eastAsia="Arial" w:hAnsi="Arial"/>
                <w:sz w:val="18"/>
                <w:szCs w:val="18"/>
                <w:color w:val="auto"/>
              </w:rPr>
              <w:t>/s/ MATT GOLDBERG</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Chief Executive Officer, President and Director</w:t>
            </w:r>
          </w:p>
        </w:tc>
        <w:tc>
          <w:tcPr>
            <w:tcW w:w="0" w:type="dxa"/>
            <w:vAlign w:val="bottom"/>
          </w:tcPr>
          <w:p>
            <w:pPr>
              <w:spacing w:after="0"/>
              <w:rPr>
                <w:sz w:val="1"/>
                <w:szCs w:val="1"/>
                <w:color w:val="auto"/>
              </w:rPr>
            </w:pPr>
          </w:p>
        </w:tc>
      </w:tr>
      <w:tr>
        <w:trPr>
          <w:trHeight w:val="28"/>
        </w:trPr>
        <w:tc>
          <w:tcPr>
            <w:tcW w:w="4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Matt Goldberg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4280" w:type="dxa"/>
            <w:vAlign w:val="bottom"/>
          </w:tcPr>
          <w:p>
            <w:pPr>
              <w:ind w:left="20"/>
              <w:spacing w:after="0"/>
              <w:rPr>
                <w:sz w:val="20"/>
                <w:szCs w:val="20"/>
                <w:color w:val="auto"/>
              </w:rPr>
            </w:pPr>
            <w:r>
              <w:rPr>
                <w:rFonts w:ascii="Arial" w:cs="Arial" w:eastAsia="Arial" w:hAnsi="Arial"/>
                <w:sz w:val="18"/>
                <w:szCs w:val="18"/>
                <w:color w:val="auto"/>
              </w:rPr>
              <w:t>/s/ MICHAEL NOONAN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0" w:type="dxa"/>
            <w:vAlign w:val="bottom"/>
          </w:tcPr>
          <w:p>
            <w:pPr>
              <w:spacing w:after="0"/>
              <w:rPr>
                <w:sz w:val="1"/>
                <w:szCs w:val="1"/>
                <w:color w:val="auto"/>
              </w:rPr>
            </w:pPr>
          </w:p>
        </w:tc>
      </w:tr>
      <w:tr>
        <w:trPr>
          <w:trHeight w:val="28"/>
        </w:trPr>
        <w:tc>
          <w:tcPr>
            <w:tcW w:w="4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Michael Noonan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4280" w:type="dxa"/>
            <w:vAlign w:val="bottom"/>
          </w:tcPr>
          <w:p>
            <w:pPr>
              <w:ind w:left="20"/>
              <w:spacing w:after="0"/>
              <w:rPr>
                <w:sz w:val="20"/>
                <w:szCs w:val="20"/>
                <w:color w:val="auto"/>
              </w:rPr>
            </w:pPr>
            <w:r>
              <w:rPr>
                <w:rFonts w:ascii="Arial" w:cs="Arial" w:eastAsia="Arial" w:hAnsi="Arial"/>
                <w:sz w:val="18"/>
                <w:szCs w:val="18"/>
                <w:color w:val="auto"/>
              </w:rPr>
              <w:t>/s/ GEOFFREY GOUVALARIS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Chief Accounting Officer</w:t>
            </w:r>
          </w:p>
        </w:tc>
        <w:tc>
          <w:tcPr>
            <w:tcW w:w="0" w:type="dxa"/>
            <w:vAlign w:val="bottom"/>
          </w:tcPr>
          <w:p>
            <w:pPr>
              <w:spacing w:after="0"/>
              <w:rPr>
                <w:sz w:val="1"/>
                <w:szCs w:val="1"/>
                <w:color w:val="auto"/>
              </w:rPr>
            </w:pPr>
          </w:p>
        </w:tc>
      </w:tr>
      <w:tr>
        <w:trPr>
          <w:trHeight w:val="28"/>
        </w:trPr>
        <w:tc>
          <w:tcPr>
            <w:tcW w:w="4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Geoffrey Gouvalaris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B. MAFFEI</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0" w:type="dxa"/>
            <w:vAlign w:val="bottom"/>
          </w:tcPr>
          <w:p>
            <w:pPr>
              <w:spacing w:after="0"/>
              <w:rPr>
                <w:sz w:val="1"/>
                <w:szCs w:val="1"/>
                <w:color w:val="auto"/>
              </w:rPr>
            </w:pPr>
          </w:p>
        </w:tc>
      </w:tr>
      <w:tr>
        <w:trPr>
          <w:trHeight w:val="263"/>
        </w:trPr>
        <w:tc>
          <w:tcPr>
            <w:tcW w:w="4280" w:type="dxa"/>
            <w:vAlign w:val="bottom"/>
          </w:tcPr>
          <w:p>
            <w:pPr>
              <w:ind w:left="20"/>
              <w:spacing w:after="0"/>
              <w:rPr>
                <w:sz w:val="20"/>
                <w:szCs w:val="20"/>
                <w:color w:val="auto"/>
              </w:rPr>
            </w:pPr>
            <w:r>
              <w:rPr>
                <w:rFonts w:ascii="Arial" w:cs="Arial" w:eastAsia="Arial" w:hAnsi="Arial"/>
                <w:sz w:val="18"/>
                <w:szCs w:val="18"/>
                <w:color w:val="auto"/>
              </w:rPr>
              <w:t>Gregory B. Maffei</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TRYNKA SHINEMAN BLAKE</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Trynka Shineman Blake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C. HOAG</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Jay C. Hoag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BETSY MORGAN</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Betsy Morgan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 O’HARA</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Greg O’Hara</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JEREMY PHILIPS</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Jeremy Philips</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E. ROSENTHALER</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Albert E. Rosenthaler</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4280" w:type="dxa"/>
            <w:vAlign w:val="bottom"/>
          </w:tcPr>
          <w:p>
            <w:pPr>
              <w:spacing w:after="0"/>
              <w:rPr>
                <w:sz w:val="24"/>
                <w:szCs w:val="24"/>
                <w:color w:val="auto"/>
              </w:rPr>
            </w:pPr>
          </w:p>
        </w:tc>
        <w:tc>
          <w:tcPr>
            <w:tcW w:w="6960" w:type="dxa"/>
            <w:vAlign w:val="bottom"/>
            <w:gridSpan w:val="3"/>
          </w:tcPr>
          <w:p>
            <w:pPr>
              <w:jc w:val="right"/>
              <w:ind w:right="539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71"/>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JANE JIE SUN</w:t>
            </w:r>
          </w:p>
        </w:tc>
        <w:tc>
          <w:tcPr>
            <w:tcW w:w="1620" w:type="dxa"/>
            <w:vAlign w:val="bottom"/>
            <w:tcBorders>
              <w:bottom w:val="single" w:sz="8" w:color="auto"/>
            </w:tcBorders>
          </w:tcPr>
          <w:p>
            <w:pPr>
              <w:spacing w:after="0"/>
              <w:rPr>
                <w:sz w:val="23"/>
                <w:szCs w:val="23"/>
                <w:color w:val="auto"/>
              </w:rPr>
            </w:pPr>
          </w:p>
        </w:tc>
        <w:tc>
          <w:tcPr>
            <w:tcW w:w="5720" w:type="dxa"/>
            <w:vAlign w:val="bottom"/>
          </w:tcPr>
          <w:p>
            <w:pPr>
              <w:ind w:left="2680"/>
              <w:spacing w:after="0"/>
              <w:rPr>
                <w:sz w:val="20"/>
                <w:szCs w:val="20"/>
                <w:color w:val="auto"/>
              </w:rPr>
            </w:pPr>
            <w:r>
              <w:rPr>
                <w:rFonts w:ascii="Arial" w:cs="Arial" w:eastAsia="Arial" w:hAnsi="Arial"/>
                <w:sz w:val="18"/>
                <w:szCs w:val="18"/>
                <w:color w:val="auto"/>
              </w:rPr>
              <w:t>Director</w:t>
            </w:r>
          </w:p>
        </w:tc>
      </w:tr>
      <w:tr>
        <w:trPr>
          <w:trHeight w:val="224"/>
        </w:trPr>
        <w:tc>
          <w:tcPr>
            <w:tcW w:w="3900" w:type="dxa"/>
            <w:vAlign w:val="bottom"/>
          </w:tcPr>
          <w:p>
            <w:pPr>
              <w:ind w:left="20"/>
              <w:spacing w:after="0"/>
              <w:rPr>
                <w:sz w:val="20"/>
                <w:szCs w:val="20"/>
                <w:color w:val="auto"/>
              </w:rPr>
            </w:pPr>
            <w:r>
              <w:rPr>
                <w:rFonts w:ascii="Arial" w:cs="Arial" w:eastAsia="Arial" w:hAnsi="Arial"/>
                <w:sz w:val="18"/>
                <w:szCs w:val="18"/>
                <w:color w:val="auto"/>
              </w:rPr>
              <w:t>Jane Jie Sun</w:t>
            </w:r>
          </w:p>
        </w:tc>
        <w:tc>
          <w:tcPr>
            <w:tcW w:w="16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4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S. WIESENTHAL</w:t>
            </w:r>
          </w:p>
        </w:tc>
        <w:tc>
          <w:tcPr>
            <w:tcW w:w="1620" w:type="dxa"/>
            <w:vAlign w:val="bottom"/>
            <w:tcBorders>
              <w:bottom w:val="single" w:sz="8" w:color="auto"/>
            </w:tcBorders>
          </w:tcPr>
          <w:p>
            <w:pPr>
              <w:spacing w:after="0"/>
              <w:rPr>
                <w:sz w:val="21"/>
                <w:szCs w:val="21"/>
                <w:color w:val="auto"/>
              </w:rPr>
            </w:pPr>
          </w:p>
        </w:tc>
        <w:tc>
          <w:tcPr>
            <w:tcW w:w="5720" w:type="dxa"/>
            <w:vAlign w:val="bottom"/>
          </w:tcPr>
          <w:p>
            <w:pPr>
              <w:ind w:left="2680"/>
              <w:spacing w:after="0"/>
              <w:rPr>
                <w:sz w:val="20"/>
                <w:szCs w:val="20"/>
                <w:color w:val="auto"/>
              </w:rPr>
            </w:pPr>
            <w:r>
              <w:rPr>
                <w:rFonts w:ascii="Arial" w:cs="Arial" w:eastAsia="Arial" w:hAnsi="Arial"/>
                <w:sz w:val="18"/>
                <w:szCs w:val="18"/>
                <w:color w:val="auto"/>
              </w:rPr>
              <w:t>Director</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Robert S. Wiesenthal</w:t>
            </w:r>
          </w:p>
        </w:tc>
        <w:tc>
          <w:tcPr>
            <w:tcW w:w="16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458"/>
        </w:trPr>
        <w:tc>
          <w:tcPr>
            <w:tcW w:w="3900" w:type="dxa"/>
            <w:vAlign w:val="bottom"/>
          </w:tcPr>
          <w:p>
            <w:pPr>
              <w:spacing w:after="0"/>
              <w:rPr>
                <w:sz w:val="24"/>
                <w:szCs w:val="24"/>
                <w:color w:val="auto"/>
              </w:rPr>
            </w:pPr>
          </w:p>
        </w:tc>
        <w:tc>
          <w:tcPr>
            <w:tcW w:w="7340" w:type="dxa"/>
            <w:vAlign w:val="bottom"/>
            <w:gridSpan w:val="2"/>
          </w:tcPr>
          <w:p>
            <w:pPr>
              <w:jc w:val="right"/>
              <w:ind w:right="5390"/>
              <w:spacing w:after="0"/>
              <w:rPr>
                <w:sz w:val="20"/>
                <w:szCs w:val="20"/>
                <w:color w:val="auto"/>
              </w:rPr>
            </w:pPr>
            <w:r>
              <w:rPr>
                <w:rFonts w:ascii="Arial" w:cs="Arial" w:eastAsia="Arial" w:hAnsi="Arial"/>
                <w:sz w:val="18"/>
                <w:szCs w:val="18"/>
                <w:color w:val="auto"/>
              </w:rPr>
              <w:t>115</w:t>
            </w:r>
          </w:p>
        </w:tc>
      </w:tr>
      <w:tr>
        <w:trPr>
          <w:trHeight w:val="115"/>
        </w:trPr>
        <w:tc>
          <w:tcPr>
            <w:tcW w:w="39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5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700"/>
              <w:spacing w:after="0"/>
              <w:rPr>
                <w:sz w:val="20"/>
                <w:szCs w:val="20"/>
                <w:color w:val="auto"/>
              </w:rPr>
            </w:pPr>
            <w:r>
              <w:rPr>
                <w:rFonts w:ascii="Arial" w:cs="Arial" w:eastAsia="Arial" w:hAnsi="Arial"/>
                <w:sz w:val="18"/>
                <w:szCs w:val="18"/>
                <w:b w:val="1"/>
                <w:bCs w:val="1"/>
                <w:color w:val="auto"/>
                <w:w w:val="95"/>
              </w:rPr>
              <w:t>Exhibit 21.1</w:t>
            </w:r>
          </w:p>
        </w:tc>
      </w:tr>
      <w:tr>
        <w:trPr>
          <w:trHeight w:val="431"/>
        </w:trPr>
        <w:tc>
          <w:tcPr>
            <w:tcW w:w="3800" w:type="dxa"/>
            <w:vAlign w:val="bottom"/>
          </w:tcPr>
          <w:p>
            <w:pPr>
              <w:spacing w:after="0"/>
              <w:rPr>
                <w:sz w:val="24"/>
                <w:szCs w:val="24"/>
                <w:color w:val="auto"/>
              </w:rPr>
            </w:pPr>
          </w:p>
        </w:tc>
        <w:tc>
          <w:tcPr>
            <w:tcW w:w="7440" w:type="dxa"/>
            <w:vAlign w:val="bottom"/>
            <w:gridSpan w:val="3"/>
          </w:tcPr>
          <w:p>
            <w:pPr>
              <w:ind w:left="660"/>
              <w:spacing w:after="0"/>
              <w:rPr>
                <w:sz w:val="20"/>
                <w:szCs w:val="20"/>
                <w:color w:val="auto"/>
              </w:rPr>
            </w:pPr>
            <w:r>
              <w:rPr>
                <w:rFonts w:ascii="Arial" w:cs="Arial" w:eastAsia="Arial" w:hAnsi="Arial"/>
                <w:sz w:val="18"/>
                <w:szCs w:val="18"/>
                <w:b w:val="1"/>
                <w:bCs w:val="1"/>
                <w:color w:val="auto"/>
              </w:rPr>
              <w:t>Subsidiaries of the Registrant</w:t>
            </w:r>
          </w:p>
        </w:tc>
      </w:tr>
      <w:tr>
        <w:trPr>
          <w:trHeight w:val="431"/>
        </w:trPr>
        <w:tc>
          <w:tcPr>
            <w:tcW w:w="3800" w:type="dxa"/>
            <w:vAlign w:val="bottom"/>
          </w:tcPr>
          <w:p>
            <w:pPr>
              <w:spacing w:after="0"/>
              <w:rPr>
                <w:sz w:val="20"/>
                <w:szCs w:val="20"/>
                <w:color w:val="auto"/>
              </w:rPr>
            </w:pPr>
            <w:r>
              <w:rPr>
                <w:rFonts w:ascii="Arial" w:cs="Arial" w:eastAsia="Arial" w:hAnsi="Arial"/>
                <w:sz w:val="18"/>
                <w:szCs w:val="18"/>
                <w:b w:val="1"/>
                <w:bCs w:val="1"/>
                <w:color w:val="auto"/>
              </w:rPr>
              <w:t>DOMESTIC</w:t>
            </w: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27"/>
        </w:trPr>
        <w:tc>
          <w:tcPr>
            <w:tcW w:w="38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41"/>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5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Formation</w:t>
            </w: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TripAdvisor Holdings, LLC</w:t>
            </w: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MA</w:t>
            </w:r>
          </w:p>
        </w:tc>
      </w:tr>
      <w:tr>
        <w:trPr>
          <w:trHeight w:val="242"/>
        </w:trPr>
        <w:tc>
          <w:tcPr>
            <w:tcW w:w="3800" w:type="dxa"/>
            <w:vAlign w:val="bottom"/>
          </w:tcPr>
          <w:p>
            <w:pPr>
              <w:ind w:left="240"/>
              <w:spacing w:after="0"/>
              <w:rPr>
                <w:sz w:val="20"/>
                <w:szCs w:val="20"/>
                <w:color w:val="auto"/>
              </w:rPr>
            </w:pPr>
            <w:r>
              <w:rPr>
                <w:rFonts w:ascii="Arial" w:cs="Arial" w:eastAsia="Arial" w:hAnsi="Arial"/>
                <w:sz w:val="18"/>
                <w:szCs w:val="18"/>
                <w:color w:val="auto"/>
              </w:rPr>
              <w:t>TripAdvisor LLC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FlipKey, LLC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TAMG Ventures Co.</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Viator, Inc.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The Independent Traveler, Inc.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NJ</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TripAdvisor APAC Holdings Corp.</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680"/>
              <w:spacing w:after="0"/>
              <w:rPr>
                <w:sz w:val="20"/>
                <w:szCs w:val="20"/>
                <w:color w:val="auto"/>
              </w:rPr>
            </w:pPr>
            <w:r>
              <w:rPr>
                <w:rFonts w:ascii="Arial" w:cs="Arial" w:eastAsia="Arial" w:hAnsi="Arial"/>
                <w:sz w:val="18"/>
                <w:szCs w:val="18"/>
                <w:color w:val="auto"/>
              </w:rPr>
              <w:t>TripAdvisor GP1 LLC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680"/>
              <w:spacing w:after="0"/>
              <w:rPr>
                <w:sz w:val="20"/>
                <w:szCs w:val="20"/>
                <w:color w:val="auto"/>
              </w:rPr>
            </w:pPr>
            <w:r>
              <w:rPr>
                <w:rFonts w:ascii="Arial" w:cs="Arial" w:eastAsia="Arial" w:hAnsi="Arial"/>
                <w:sz w:val="18"/>
                <w:szCs w:val="18"/>
                <w:color w:val="auto"/>
              </w:rPr>
              <w:t>TripAdvisor GP2 LLC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680"/>
              <w:spacing w:after="0"/>
              <w:rPr>
                <w:sz w:val="20"/>
                <w:szCs w:val="20"/>
                <w:color w:val="auto"/>
              </w:rPr>
            </w:pPr>
            <w:r>
              <w:rPr>
                <w:rFonts w:ascii="Arial" w:cs="Arial" w:eastAsia="Arial" w:hAnsi="Arial"/>
                <w:sz w:val="18"/>
                <w:szCs w:val="18"/>
                <w:color w:val="auto"/>
              </w:rPr>
              <w:t>TripAdvisor Finance LLC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680"/>
              <w:spacing w:after="0"/>
              <w:rPr>
                <w:sz w:val="20"/>
                <w:szCs w:val="20"/>
                <w:color w:val="auto"/>
              </w:rPr>
            </w:pPr>
            <w:r>
              <w:rPr>
                <w:rFonts w:ascii="Arial" w:cs="Arial" w:eastAsia="Arial" w:hAnsi="Arial"/>
                <w:sz w:val="18"/>
                <w:szCs w:val="18"/>
                <w:color w:val="auto"/>
              </w:rPr>
              <w:t>TripAdvisor LP2 LLC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680"/>
              <w:spacing w:after="0"/>
              <w:rPr>
                <w:sz w:val="20"/>
                <w:szCs w:val="20"/>
                <w:color w:val="auto"/>
              </w:rPr>
            </w:pPr>
            <w:r>
              <w:rPr>
                <w:rFonts w:ascii="Arial" w:cs="Arial" w:eastAsia="Arial" w:hAnsi="Arial"/>
                <w:sz w:val="18"/>
                <w:szCs w:val="18"/>
                <w:color w:val="auto"/>
              </w:rPr>
              <w:t>Restorando, Inc.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TripAdvisor Securities Corporation</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MA</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SinglePlatform, LLC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Owl Analytics, Inc.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NV</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Bokun LLC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553"/>
        </w:trPr>
        <w:tc>
          <w:tcPr>
            <w:tcW w:w="380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27"/>
        </w:trPr>
        <w:tc>
          <w:tcPr>
            <w:tcW w:w="38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41"/>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5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Formation</w:t>
            </w: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TripAdvisor UK1 LP</w:t>
            </w:r>
          </w:p>
        </w:tc>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2"/>
        </w:trPr>
        <w:tc>
          <w:tcPr>
            <w:tcW w:w="3800" w:type="dxa"/>
            <w:vAlign w:val="bottom"/>
          </w:tcPr>
          <w:p>
            <w:pPr>
              <w:ind w:left="20"/>
              <w:spacing w:after="0"/>
              <w:rPr>
                <w:sz w:val="20"/>
                <w:szCs w:val="20"/>
                <w:color w:val="auto"/>
              </w:rPr>
            </w:pPr>
            <w:r>
              <w:rPr>
                <w:rFonts w:ascii="Arial" w:cs="Arial" w:eastAsia="Arial" w:hAnsi="Arial"/>
                <w:sz w:val="18"/>
                <w:szCs w:val="18"/>
                <w:color w:val="auto"/>
              </w:rPr>
              <w:t>TripAdvisor UK2 LP</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Bokun ehf</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Iceland</w:t>
            </w:r>
          </w:p>
        </w:tc>
      </w:tr>
      <w:tr>
        <w:trPr>
          <w:trHeight w:val="458"/>
        </w:trPr>
        <w:tc>
          <w:tcPr>
            <w:tcW w:w="3800" w:type="dxa"/>
            <w:vAlign w:val="bottom"/>
          </w:tcPr>
          <w:p>
            <w:pPr>
              <w:ind w:left="20"/>
              <w:spacing w:after="0"/>
              <w:rPr>
                <w:sz w:val="20"/>
                <w:szCs w:val="20"/>
                <w:color w:val="auto"/>
              </w:rPr>
            </w:pPr>
            <w:r>
              <w:rPr>
                <w:rFonts w:ascii="Arial" w:cs="Arial" w:eastAsia="Arial" w:hAnsi="Arial"/>
                <w:sz w:val="18"/>
                <w:szCs w:val="18"/>
                <w:color w:val="auto"/>
              </w:rPr>
              <w:t>Viator Systems Pty Limited</w:t>
            </w: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Viator Limited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TripAdvisor Canada Corp.</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TripAdvisor Travel India Private Limited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TripAdvisor (Barbados) Srl</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Barbados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TripAdvisor Cayman Holdings II Limited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Cayman</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TripAdvisor UK Holdco Limited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00" w:type="dxa"/>
            <w:vAlign w:val="bottom"/>
          </w:tcPr>
          <w:p>
            <w:pPr>
              <w:ind w:left="300"/>
              <w:spacing w:after="0"/>
              <w:rPr>
                <w:sz w:val="20"/>
                <w:szCs w:val="20"/>
                <w:color w:val="auto"/>
              </w:rPr>
            </w:pPr>
            <w:r>
              <w:rPr>
                <w:rFonts w:ascii="Arial" w:cs="Arial" w:eastAsia="Arial" w:hAnsi="Arial"/>
                <w:sz w:val="18"/>
                <w:szCs w:val="18"/>
                <w:color w:val="auto"/>
              </w:rPr>
              <w:t>LF Holdings (France) SAS</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43"/>
        </w:trPr>
        <w:tc>
          <w:tcPr>
            <w:tcW w:w="3800" w:type="dxa"/>
            <w:vAlign w:val="bottom"/>
          </w:tcPr>
          <w:p>
            <w:pPr>
              <w:ind w:left="300"/>
              <w:spacing w:after="0"/>
              <w:rPr>
                <w:sz w:val="20"/>
                <w:szCs w:val="20"/>
                <w:color w:val="auto"/>
              </w:rPr>
            </w:pPr>
            <w:r>
              <w:rPr>
                <w:rFonts w:ascii="Arial" w:cs="Arial" w:eastAsia="Arial" w:hAnsi="Arial"/>
                <w:sz w:val="18"/>
                <w:szCs w:val="18"/>
                <w:color w:val="auto"/>
              </w:rPr>
              <w:t>Owl Payments Limited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TripAdvisor Limited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Holiday Lettings (Holdings) Ltd.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00" w:type="dxa"/>
            <w:vAlign w:val="bottom"/>
          </w:tcPr>
          <w:p>
            <w:pPr>
              <w:ind w:left="680"/>
              <w:spacing w:after="0"/>
              <w:rPr>
                <w:sz w:val="20"/>
                <w:szCs w:val="20"/>
                <w:color w:val="auto"/>
              </w:rPr>
            </w:pPr>
            <w:r>
              <w:rPr>
                <w:rFonts w:ascii="Arial" w:cs="Arial" w:eastAsia="Arial" w:hAnsi="Arial"/>
                <w:sz w:val="18"/>
                <w:szCs w:val="18"/>
                <w:color w:val="auto"/>
              </w:rPr>
              <w:t>Holiday Lettings Ltd.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43"/>
        </w:trPr>
        <w:tc>
          <w:tcPr>
            <w:tcW w:w="3800" w:type="dxa"/>
            <w:vAlign w:val="bottom"/>
          </w:tcPr>
          <w:p>
            <w:pPr>
              <w:ind w:left="820"/>
              <w:spacing w:after="0"/>
              <w:rPr>
                <w:sz w:val="20"/>
                <w:szCs w:val="20"/>
                <w:color w:val="auto"/>
              </w:rPr>
            </w:pPr>
            <w:r>
              <w:rPr>
                <w:rFonts w:ascii="Arial" w:cs="Arial" w:eastAsia="Arial" w:hAnsi="Arial"/>
                <w:sz w:val="18"/>
                <w:szCs w:val="18"/>
                <w:color w:val="auto"/>
              </w:rPr>
              <w:t>HouseTrip SA</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TripAdvisor Australia Pty. Ltd.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TripAdvisor GmbH</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TripAdvisor France SAS</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TripAdvisor Italy Srl</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43"/>
        </w:trPr>
        <w:tc>
          <w:tcPr>
            <w:tcW w:w="3800" w:type="dxa"/>
            <w:vAlign w:val="bottom"/>
          </w:tcPr>
          <w:p>
            <w:pPr>
              <w:ind w:left="460"/>
              <w:spacing w:after="0"/>
              <w:rPr>
                <w:sz w:val="20"/>
                <w:szCs w:val="20"/>
                <w:color w:val="auto"/>
              </w:rPr>
            </w:pPr>
            <w:r>
              <w:rPr>
                <w:rFonts w:ascii="Arial" w:cs="Arial" w:eastAsia="Arial" w:hAnsi="Arial"/>
                <w:sz w:val="18"/>
                <w:szCs w:val="18"/>
                <w:color w:val="auto"/>
              </w:rPr>
              <w:t>TripAdvisor Spain S.L.</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Guia de Apartamentos Niumba, S.L.</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TA Innovation Services Romania S.R.L.</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Romania</w:t>
            </w: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TripAdvisor Portugal, Unipessoal Lda</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Portugal</w:t>
            </w: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TripAdvisor Ireland Ltd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Owl Payments Europe Limited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TripAdvisor FZ-LLC</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Dubai</w:t>
            </w: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TA Innovations Croatia d.o.o.</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Croatia</w:t>
            </w:r>
          </w:p>
        </w:tc>
      </w:tr>
      <w:tr>
        <w:trPr>
          <w:trHeight w:val="243"/>
        </w:trPr>
        <w:tc>
          <w:tcPr>
            <w:tcW w:w="3800" w:type="dxa"/>
            <w:vAlign w:val="bottom"/>
          </w:tcPr>
          <w:p>
            <w:pPr>
              <w:ind w:left="240"/>
              <w:spacing w:after="0"/>
              <w:rPr>
                <w:sz w:val="20"/>
                <w:szCs w:val="20"/>
                <w:color w:val="auto"/>
              </w:rPr>
            </w:pPr>
            <w:r>
              <w:rPr>
                <w:rFonts w:ascii="Arial" w:cs="Arial" w:eastAsia="Arial" w:hAnsi="Arial"/>
                <w:sz w:val="18"/>
                <w:szCs w:val="18"/>
                <w:color w:val="auto"/>
              </w:rPr>
              <w:t>TA LF Australia Pty Limited</w:t>
            </w:r>
          </w:p>
        </w:tc>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344"/>
        </w:trPr>
        <w:tc>
          <w:tcPr>
            <w:tcW w:w="380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8000" w:type="dxa"/>
            <w:vAlign w:val="bottom"/>
          </w:tcPr>
          <w:p>
            <w:pPr>
              <w:ind w:left="460"/>
              <w:spacing w:after="0"/>
              <w:rPr>
                <w:sz w:val="20"/>
                <w:szCs w:val="20"/>
                <w:color w:val="auto"/>
              </w:rPr>
            </w:pPr>
            <w:r>
              <w:rPr>
                <w:rFonts w:ascii="Arial" w:cs="Arial" w:eastAsia="Arial" w:hAnsi="Arial"/>
                <w:sz w:val="18"/>
                <w:szCs w:val="18"/>
                <w:color w:val="auto"/>
              </w:rPr>
              <w:t>Dimmi Pty Ltd</w:t>
            </w:r>
          </w:p>
        </w:tc>
        <w:tc>
          <w:tcPr>
            <w:tcW w:w="3240" w:type="dxa"/>
            <w:vAlign w:val="bottom"/>
          </w:tcPr>
          <w:p>
            <w:pPr>
              <w:ind w:left="1580"/>
              <w:spacing w:after="0"/>
              <w:rPr>
                <w:sz w:val="20"/>
                <w:szCs w:val="20"/>
                <w:color w:val="auto"/>
              </w:rPr>
            </w:pPr>
            <w:r>
              <w:rPr>
                <w:rFonts w:ascii="Arial" w:cs="Arial" w:eastAsia="Arial" w:hAnsi="Arial"/>
                <w:sz w:val="18"/>
                <w:szCs w:val="18"/>
                <w:color w:val="auto"/>
              </w:rPr>
              <w:t>Australia</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BestTables Brasil Internet Servicos de Informacao e Technologia Ltda.</w:t>
            </w:r>
          </w:p>
        </w:tc>
        <w:tc>
          <w:tcPr>
            <w:tcW w:w="3240" w:type="dxa"/>
            <w:vAlign w:val="bottom"/>
          </w:tcPr>
          <w:p>
            <w:pPr>
              <w:ind w:left="1580"/>
              <w:spacing w:after="0"/>
              <w:rPr>
                <w:sz w:val="20"/>
                <w:szCs w:val="20"/>
                <w:color w:val="auto"/>
              </w:rPr>
            </w:pPr>
            <w:r>
              <w:rPr>
                <w:rFonts w:ascii="Arial" w:cs="Arial" w:eastAsia="Arial" w:hAnsi="Arial"/>
                <w:sz w:val="18"/>
                <w:szCs w:val="18"/>
                <w:color w:val="auto"/>
              </w:rPr>
              <w:t>Brazil</w:t>
            </w:r>
          </w:p>
        </w:tc>
      </w:tr>
      <w:tr>
        <w:trPr>
          <w:trHeight w:val="243"/>
        </w:trPr>
        <w:tc>
          <w:tcPr>
            <w:tcW w:w="8000" w:type="dxa"/>
            <w:vAlign w:val="bottom"/>
          </w:tcPr>
          <w:p>
            <w:pPr>
              <w:ind w:left="460"/>
              <w:spacing w:after="0"/>
              <w:rPr>
                <w:sz w:val="20"/>
                <w:szCs w:val="20"/>
                <w:color w:val="auto"/>
              </w:rPr>
            </w:pPr>
            <w:r>
              <w:rPr>
                <w:rFonts w:ascii="Arial" w:cs="Arial" w:eastAsia="Arial" w:hAnsi="Arial"/>
                <w:sz w:val="18"/>
                <w:szCs w:val="18"/>
                <w:color w:val="auto"/>
              </w:rPr>
              <w:t>BestTables II Portugal, Unipessoal Lda.</w:t>
            </w:r>
          </w:p>
        </w:tc>
        <w:tc>
          <w:tcPr>
            <w:tcW w:w="3240" w:type="dxa"/>
            <w:vAlign w:val="bottom"/>
          </w:tcPr>
          <w:p>
            <w:pPr>
              <w:ind w:left="1580"/>
              <w:spacing w:after="0"/>
              <w:rPr>
                <w:sz w:val="20"/>
                <w:szCs w:val="20"/>
                <w:color w:val="auto"/>
              </w:rPr>
            </w:pPr>
            <w:r>
              <w:rPr>
                <w:rFonts w:ascii="Arial" w:cs="Arial" w:eastAsia="Arial" w:hAnsi="Arial"/>
                <w:sz w:val="18"/>
                <w:szCs w:val="18"/>
                <w:color w:val="auto"/>
              </w:rPr>
              <w:t>Portugal</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La Fourchette SAS</w:t>
            </w:r>
          </w:p>
        </w:tc>
        <w:tc>
          <w:tcPr>
            <w:tcW w:w="3240" w:type="dxa"/>
            <w:vAlign w:val="bottom"/>
          </w:tcPr>
          <w:p>
            <w:pPr>
              <w:ind w:left="1580"/>
              <w:spacing w:after="0"/>
              <w:rPr>
                <w:sz w:val="20"/>
                <w:szCs w:val="20"/>
                <w:color w:val="auto"/>
              </w:rPr>
            </w:pPr>
            <w:r>
              <w:rPr>
                <w:rFonts w:ascii="Arial" w:cs="Arial" w:eastAsia="Arial" w:hAnsi="Arial"/>
                <w:sz w:val="18"/>
                <w:szCs w:val="18"/>
                <w:color w:val="auto"/>
              </w:rPr>
              <w:t>France</w:t>
            </w:r>
          </w:p>
        </w:tc>
      </w:tr>
      <w:tr>
        <w:trPr>
          <w:trHeight w:val="243"/>
        </w:trPr>
        <w:tc>
          <w:tcPr>
            <w:tcW w:w="8000" w:type="dxa"/>
            <w:vAlign w:val="bottom"/>
          </w:tcPr>
          <w:p>
            <w:pPr>
              <w:ind w:left="460"/>
              <w:spacing w:after="0"/>
              <w:rPr>
                <w:sz w:val="20"/>
                <w:szCs w:val="20"/>
                <w:color w:val="auto"/>
              </w:rPr>
            </w:pPr>
            <w:r>
              <w:rPr>
                <w:rFonts w:ascii="Arial" w:cs="Arial" w:eastAsia="Arial" w:hAnsi="Arial"/>
                <w:sz w:val="18"/>
                <w:szCs w:val="18"/>
                <w:color w:val="auto"/>
              </w:rPr>
              <w:t>La Fourchette Espana S.L.</w:t>
            </w:r>
          </w:p>
        </w:tc>
        <w:tc>
          <w:tcPr>
            <w:tcW w:w="3240" w:type="dxa"/>
            <w:vAlign w:val="bottom"/>
          </w:tcPr>
          <w:p>
            <w:pPr>
              <w:ind w:left="1580"/>
              <w:spacing w:after="0"/>
              <w:rPr>
                <w:sz w:val="20"/>
                <w:szCs w:val="20"/>
                <w:color w:val="auto"/>
              </w:rPr>
            </w:pPr>
            <w:r>
              <w:rPr>
                <w:rFonts w:ascii="Arial" w:cs="Arial" w:eastAsia="Arial" w:hAnsi="Arial"/>
                <w:sz w:val="18"/>
                <w:szCs w:val="18"/>
                <w:color w:val="auto"/>
              </w:rPr>
              <w:t>Spain</w:t>
            </w:r>
          </w:p>
        </w:tc>
      </w:tr>
      <w:tr>
        <w:trPr>
          <w:trHeight w:val="243"/>
        </w:trPr>
        <w:tc>
          <w:tcPr>
            <w:tcW w:w="8000" w:type="dxa"/>
            <w:vAlign w:val="bottom"/>
          </w:tcPr>
          <w:p>
            <w:pPr>
              <w:ind w:left="460"/>
              <w:spacing w:after="0"/>
              <w:rPr>
                <w:sz w:val="20"/>
                <w:szCs w:val="20"/>
                <w:color w:val="auto"/>
              </w:rPr>
            </w:pPr>
            <w:r>
              <w:rPr>
                <w:rFonts w:ascii="Arial" w:cs="Arial" w:eastAsia="Arial" w:hAnsi="Arial"/>
                <w:sz w:val="18"/>
                <w:szCs w:val="18"/>
                <w:color w:val="auto"/>
              </w:rPr>
              <w:t>LaFourchette Swiss SA</w:t>
            </w:r>
          </w:p>
        </w:tc>
        <w:tc>
          <w:tcPr>
            <w:tcW w:w="3240" w:type="dxa"/>
            <w:vAlign w:val="bottom"/>
          </w:tcPr>
          <w:p>
            <w:pPr>
              <w:ind w:left="1580"/>
              <w:spacing w:after="0"/>
              <w:rPr>
                <w:sz w:val="20"/>
                <w:szCs w:val="20"/>
                <w:color w:val="auto"/>
              </w:rPr>
            </w:pPr>
            <w:r>
              <w:rPr>
                <w:rFonts w:ascii="Arial" w:cs="Arial" w:eastAsia="Arial" w:hAnsi="Arial"/>
                <w:sz w:val="18"/>
                <w:szCs w:val="18"/>
                <w:color w:val="auto"/>
              </w:rPr>
              <w:t>Switzerland</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La Fourchette (Belgium) SA</w:t>
            </w:r>
          </w:p>
        </w:tc>
        <w:tc>
          <w:tcPr>
            <w:tcW w:w="3240" w:type="dxa"/>
            <w:vAlign w:val="bottom"/>
          </w:tcPr>
          <w:p>
            <w:pPr>
              <w:ind w:left="1580"/>
              <w:spacing w:after="0"/>
              <w:rPr>
                <w:sz w:val="20"/>
                <w:szCs w:val="20"/>
                <w:color w:val="auto"/>
              </w:rPr>
            </w:pPr>
            <w:r>
              <w:rPr>
                <w:rFonts w:ascii="Arial" w:cs="Arial" w:eastAsia="Arial" w:hAnsi="Arial"/>
                <w:sz w:val="18"/>
                <w:szCs w:val="18"/>
                <w:color w:val="auto"/>
              </w:rPr>
              <w:t>Belgium</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La Fourchette Netherlands B.V.</w:t>
            </w:r>
          </w:p>
        </w:tc>
        <w:tc>
          <w:tcPr>
            <w:tcW w:w="3240" w:type="dxa"/>
            <w:vAlign w:val="bottom"/>
          </w:tcPr>
          <w:p>
            <w:pPr>
              <w:ind w:left="1580"/>
              <w:spacing w:after="0"/>
              <w:rPr>
                <w:sz w:val="20"/>
                <w:szCs w:val="20"/>
                <w:color w:val="auto"/>
              </w:rPr>
            </w:pPr>
            <w:r>
              <w:rPr>
                <w:rFonts w:ascii="Arial" w:cs="Arial" w:eastAsia="Arial" w:hAnsi="Arial"/>
                <w:sz w:val="18"/>
                <w:szCs w:val="18"/>
                <w:color w:val="auto"/>
              </w:rPr>
              <w:t>The Netherlands</w:t>
            </w:r>
          </w:p>
        </w:tc>
      </w:tr>
      <w:tr>
        <w:trPr>
          <w:trHeight w:val="243"/>
        </w:trPr>
        <w:tc>
          <w:tcPr>
            <w:tcW w:w="8000" w:type="dxa"/>
            <w:vAlign w:val="bottom"/>
          </w:tcPr>
          <w:p>
            <w:pPr>
              <w:ind w:left="480"/>
              <w:spacing w:after="0"/>
              <w:rPr>
                <w:sz w:val="20"/>
                <w:szCs w:val="20"/>
                <w:color w:val="auto"/>
              </w:rPr>
            </w:pPr>
            <w:r>
              <w:rPr>
                <w:rFonts w:ascii="Arial" w:cs="Arial" w:eastAsia="Arial" w:hAnsi="Arial"/>
                <w:sz w:val="18"/>
                <w:szCs w:val="18"/>
                <w:color w:val="auto"/>
              </w:rPr>
              <w:t>IENS Independent Index B.V.</w:t>
            </w:r>
          </w:p>
        </w:tc>
        <w:tc>
          <w:tcPr>
            <w:tcW w:w="3240" w:type="dxa"/>
            <w:vAlign w:val="bottom"/>
          </w:tcPr>
          <w:p>
            <w:pPr>
              <w:ind w:left="1580"/>
              <w:spacing w:after="0"/>
              <w:rPr>
                <w:sz w:val="20"/>
                <w:szCs w:val="20"/>
                <w:color w:val="auto"/>
              </w:rPr>
            </w:pPr>
            <w:r>
              <w:rPr>
                <w:rFonts w:ascii="Arial" w:cs="Arial" w:eastAsia="Arial" w:hAnsi="Arial"/>
                <w:sz w:val="18"/>
                <w:szCs w:val="18"/>
                <w:color w:val="auto"/>
              </w:rPr>
              <w:t>The Netherlands</w:t>
            </w:r>
          </w:p>
        </w:tc>
      </w:tr>
      <w:tr>
        <w:trPr>
          <w:trHeight w:val="243"/>
        </w:trPr>
        <w:tc>
          <w:tcPr>
            <w:tcW w:w="8000" w:type="dxa"/>
            <w:vAlign w:val="bottom"/>
          </w:tcPr>
          <w:p>
            <w:pPr>
              <w:ind w:left="480"/>
              <w:spacing w:after="0"/>
              <w:rPr>
                <w:sz w:val="20"/>
                <w:szCs w:val="20"/>
                <w:color w:val="auto"/>
              </w:rPr>
            </w:pPr>
            <w:r>
              <w:rPr>
                <w:rFonts w:ascii="Arial" w:cs="Arial" w:eastAsia="Arial" w:hAnsi="Arial"/>
                <w:sz w:val="18"/>
                <w:szCs w:val="18"/>
                <w:color w:val="auto"/>
              </w:rPr>
              <w:t>LaFourchette (Italy) SRL</w:t>
            </w:r>
          </w:p>
        </w:tc>
        <w:tc>
          <w:tcPr>
            <w:tcW w:w="3240" w:type="dxa"/>
            <w:vAlign w:val="bottom"/>
          </w:tcPr>
          <w:p>
            <w:pPr>
              <w:ind w:left="1580"/>
              <w:spacing w:after="0"/>
              <w:rPr>
                <w:sz w:val="20"/>
                <w:szCs w:val="20"/>
                <w:color w:val="auto"/>
              </w:rPr>
            </w:pPr>
            <w:r>
              <w:rPr>
                <w:rFonts w:ascii="Arial" w:cs="Arial" w:eastAsia="Arial" w:hAnsi="Arial"/>
                <w:sz w:val="18"/>
                <w:szCs w:val="18"/>
                <w:color w:val="auto"/>
              </w:rPr>
              <w:t>Italy</w:t>
            </w:r>
          </w:p>
        </w:tc>
      </w:tr>
      <w:tr>
        <w:trPr>
          <w:trHeight w:val="243"/>
        </w:trPr>
        <w:tc>
          <w:tcPr>
            <w:tcW w:w="8000" w:type="dxa"/>
            <w:vAlign w:val="bottom"/>
          </w:tcPr>
          <w:p>
            <w:pPr>
              <w:ind w:left="480"/>
              <w:spacing w:after="0"/>
              <w:rPr>
                <w:sz w:val="20"/>
                <w:szCs w:val="20"/>
                <w:color w:val="auto"/>
              </w:rPr>
            </w:pPr>
            <w:r>
              <w:rPr>
                <w:rFonts w:ascii="Arial" w:cs="Arial" w:eastAsia="Arial" w:hAnsi="Arial"/>
                <w:sz w:val="18"/>
                <w:szCs w:val="18"/>
                <w:color w:val="auto"/>
              </w:rPr>
              <w:t>Livebookings Holdings Limited</w:t>
            </w:r>
          </w:p>
        </w:tc>
        <w:tc>
          <w:tcPr>
            <w:tcW w:w="324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43"/>
        </w:trPr>
        <w:tc>
          <w:tcPr>
            <w:tcW w:w="8000" w:type="dxa"/>
            <w:vAlign w:val="bottom"/>
          </w:tcPr>
          <w:p>
            <w:pPr>
              <w:ind w:left="780"/>
              <w:spacing w:after="0"/>
              <w:rPr>
                <w:sz w:val="20"/>
                <w:szCs w:val="20"/>
                <w:color w:val="auto"/>
              </w:rPr>
            </w:pPr>
            <w:r>
              <w:rPr>
                <w:rFonts w:ascii="Arial" w:cs="Arial" w:eastAsia="Arial" w:hAnsi="Arial"/>
                <w:sz w:val="18"/>
                <w:szCs w:val="18"/>
                <w:color w:val="auto"/>
              </w:rPr>
              <w:t>Bookatable AB</w:t>
            </w:r>
          </w:p>
        </w:tc>
        <w:tc>
          <w:tcPr>
            <w:tcW w:w="32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43"/>
        </w:trPr>
        <w:tc>
          <w:tcPr>
            <w:tcW w:w="8000" w:type="dxa"/>
            <w:vAlign w:val="bottom"/>
          </w:tcPr>
          <w:p>
            <w:pPr>
              <w:ind w:left="780"/>
              <w:spacing w:after="0"/>
              <w:rPr>
                <w:sz w:val="20"/>
                <w:szCs w:val="20"/>
                <w:color w:val="auto"/>
              </w:rPr>
            </w:pPr>
            <w:r>
              <w:rPr>
                <w:rFonts w:ascii="Arial" w:cs="Arial" w:eastAsia="Arial" w:hAnsi="Arial"/>
                <w:sz w:val="18"/>
                <w:szCs w:val="18"/>
                <w:color w:val="auto"/>
              </w:rPr>
              <w:t>2Book AB</w:t>
            </w:r>
          </w:p>
        </w:tc>
        <w:tc>
          <w:tcPr>
            <w:tcW w:w="32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43"/>
        </w:trPr>
        <w:tc>
          <w:tcPr>
            <w:tcW w:w="8000" w:type="dxa"/>
            <w:vAlign w:val="bottom"/>
          </w:tcPr>
          <w:p>
            <w:pPr>
              <w:ind w:left="780"/>
              <w:spacing w:after="0"/>
              <w:rPr>
                <w:sz w:val="20"/>
                <w:szCs w:val="20"/>
                <w:color w:val="auto"/>
              </w:rPr>
            </w:pPr>
            <w:r>
              <w:rPr>
                <w:rFonts w:ascii="Arial" w:cs="Arial" w:eastAsia="Arial" w:hAnsi="Arial"/>
                <w:sz w:val="18"/>
                <w:szCs w:val="18"/>
                <w:color w:val="auto"/>
              </w:rPr>
              <w:t>Livebookings AG</w:t>
            </w:r>
          </w:p>
        </w:tc>
        <w:tc>
          <w:tcPr>
            <w:tcW w:w="3240" w:type="dxa"/>
            <w:vAlign w:val="bottom"/>
          </w:tcPr>
          <w:p>
            <w:pPr>
              <w:ind w:left="1580"/>
              <w:spacing w:after="0"/>
              <w:rPr>
                <w:sz w:val="20"/>
                <w:szCs w:val="20"/>
                <w:color w:val="auto"/>
              </w:rPr>
            </w:pPr>
            <w:r>
              <w:rPr>
                <w:rFonts w:ascii="Arial" w:cs="Arial" w:eastAsia="Arial" w:hAnsi="Arial"/>
                <w:sz w:val="18"/>
                <w:szCs w:val="18"/>
                <w:color w:val="auto"/>
              </w:rPr>
              <w:t>Switzerland</w:t>
            </w:r>
          </w:p>
        </w:tc>
      </w:tr>
      <w:tr>
        <w:trPr>
          <w:trHeight w:val="243"/>
        </w:trPr>
        <w:tc>
          <w:tcPr>
            <w:tcW w:w="8000" w:type="dxa"/>
            <w:vAlign w:val="bottom"/>
          </w:tcPr>
          <w:p>
            <w:pPr>
              <w:ind w:left="780"/>
              <w:spacing w:after="0"/>
              <w:rPr>
                <w:sz w:val="20"/>
                <w:szCs w:val="20"/>
                <w:color w:val="auto"/>
              </w:rPr>
            </w:pPr>
            <w:r>
              <w:rPr>
                <w:rFonts w:ascii="Arial" w:cs="Arial" w:eastAsia="Arial" w:hAnsi="Arial"/>
                <w:sz w:val="18"/>
                <w:szCs w:val="18"/>
                <w:color w:val="auto"/>
              </w:rPr>
              <w:t>Bookatable GmbH &amp; Co KG</w:t>
            </w:r>
          </w:p>
        </w:tc>
        <w:tc>
          <w:tcPr>
            <w:tcW w:w="3240" w:type="dxa"/>
            <w:vAlign w:val="bottom"/>
          </w:tcPr>
          <w:p>
            <w:pPr>
              <w:ind w:left="1580"/>
              <w:spacing w:after="0"/>
              <w:rPr>
                <w:sz w:val="20"/>
                <w:szCs w:val="20"/>
                <w:color w:val="auto"/>
              </w:rPr>
            </w:pPr>
            <w:r>
              <w:rPr>
                <w:rFonts w:ascii="Arial" w:cs="Arial" w:eastAsia="Arial" w:hAnsi="Arial"/>
                <w:sz w:val="18"/>
                <w:szCs w:val="18"/>
                <w:color w:val="auto"/>
              </w:rPr>
              <w:t>Germany</w:t>
            </w:r>
          </w:p>
        </w:tc>
      </w:tr>
      <w:tr>
        <w:trPr>
          <w:trHeight w:val="243"/>
        </w:trPr>
        <w:tc>
          <w:tcPr>
            <w:tcW w:w="8000" w:type="dxa"/>
            <w:vAlign w:val="bottom"/>
          </w:tcPr>
          <w:p>
            <w:pPr>
              <w:ind w:left="780"/>
              <w:spacing w:after="0"/>
              <w:rPr>
                <w:sz w:val="20"/>
                <w:szCs w:val="20"/>
                <w:color w:val="auto"/>
              </w:rPr>
            </w:pPr>
            <w:r>
              <w:rPr>
                <w:rFonts w:ascii="Arial" w:cs="Arial" w:eastAsia="Arial" w:hAnsi="Arial"/>
                <w:sz w:val="18"/>
                <w:szCs w:val="18"/>
                <w:color w:val="auto"/>
              </w:rPr>
              <w:t>Bookatable Verwaltungs GmbH</w:t>
            </w:r>
          </w:p>
        </w:tc>
        <w:tc>
          <w:tcPr>
            <w:tcW w:w="3240" w:type="dxa"/>
            <w:vAlign w:val="bottom"/>
          </w:tcPr>
          <w:p>
            <w:pPr>
              <w:ind w:left="1580"/>
              <w:spacing w:after="0"/>
              <w:rPr>
                <w:sz w:val="20"/>
                <w:szCs w:val="20"/>
                <w:color w:val="auto"/>
              </w:rPr>
            </w:pPr>
            <w:r>
              <w:rPr>
                <w:rFonts w:ascii="Arial" w:cs="Arial" w:eastAsia="Arial" w:hAnsi="Arial"/>
                <w:sz w:val="18"/>
                <w:szCs w:val="18"/>
                <w:color w:val="auto"/>
              </w:rPr>
              <w:t>Germany</w:t>
            </w:r>
          </w:p>
        </w:tc>
      </w:tr>
      <w:tr>
        <w:trPr>
          <w:trHeight w:val="243"/>
        </w:trPr>
        <w:tc>
          <w:tcPr>
            <w:tcW w:w="8000" w:type="dxa"/>
            <w:vAlign w:val="bottom"/>
          </w:tcPr>
          <w:p>
            <w:pPr>
              <w:ind w:left="780"/>
              <w:spacing w:after="0"/>
              <w:rPr>
                <w:sz w:val="20"/>
                <w:szCs w:val="20"/>
                <w:color w:val="auto"/>
              </w:rPr>
            </w:pPr>
            <w:r>
              <w:rPr>
                <w:rFonts w:ascii="Arial" w:cs="Arial" w:eastAsia="Arial" w:hAnsi="Arial"/>
                <w:sz w:val="18"/>
                <w:szCs w:val="18"/>
                <w:color w:val="auto"/>
              </w:rPr>
              <w:t>Bookatable Limited</w:t>
            </w:r>
          </w:p>
        </w:tc>
        <w:tc>
          <w:tcPr>
            <w:tcW w:w="324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43"/>
        </w:trPr>
        <w:tc>
          <w:tcPr>
            <w:tcW w:w="8000" w:type="dxa"/>
            <w:vAlign w:val="bottom"/>
          </w:tcPr>
          <w:p>
            <w:pPr>
              <w:ind w:left="780"/>
              <w:spacing w:after="0"/>
              <w:rPr>
                <w:sz w:val="20"/>
                <w:szCs w:val="20"/>
                <w:color w:val="auto"/>
              </w:rPr>
            </w:pPr>
            <w:r>
              <w:rPr>
                <w:rFonts w:ascii="Arial" w:cs="Arial" w:eastAsia="Arial" w:hAnsi="Arial"/>
                <w:sz w:val="18"/>
                <w:szCs w:val="18"/>
                <w:color w:val="auto"/>
              </w:rPr>
              <w:t>Bookatable ApS</w:t>
            </w:r>
          </w:p>
        </w:tc>
        <w:tc>
          <w:tcPr>
            <w:tcW w:w="3240" w:type="dxa"/>
            <w:vAlign w:val="bottom"/>
          </w:tcPr>
          <w:p>
            <w:pPr>
              <w:ind w:left="1580"/>
              <w:spacing w:after="0"/>
              <w:rPr>
                <w:sz w:val="20"/>
                <w:szCs w:val="20"/>
                <w:color w:val="auto"/>
              </w:rPr>
            </w:pPr>
            <w:r>
              <w:rPr>
                <w:rFonts w:ascii="Arial" w:cs="Arial" w:eastAsia="Arial" w:hAnsi="Arial"/>
                <w:sz w:val="18"/>
                <w:szCs w:val="18"/>
                <w:color w:val="auto"/>
              </w:rPr>
              <w:t>Denmark</w:t>
            </w:r>
          </w:p>
        </w:tc>
      </w:tr>
      <w:tr>
        <w:trPr>
          <w:trHeight w:val="243"/>
        </w:trPr>
        <w:tc>
          <w:tcPr>
            <w:tcW w:w="8000" w:type="dxa"/>
            <w:vAlign w:val="bottom"/>
          </w:tcPr>
          <w:p>
            <w:pPr>
              <w:ind w:left="780"/>
              <w:spacing w:after="0"/>
              <w:rPr>
                <w:sz w:val="20"/>
                <w:szCs w:val="20"/>
                <w:color w:val="auto"/>
              </w:rPr>
            </w:pPr>
            <w:r>
              <w:rPr>
                <w:rFonts w:ascii="Arial" w:cs="Arial" w:eastAsia="Arial" w:hAnsi="Arial"/>
                <w:sz w:val="18"/>
                <w:szCs w:val="18"/>
                <w:color w:val="auto"/>
              </w:rPr>
              <w:t>Loghos Limited</w:t>
            </w:r>
          </w:p>
        </w:tc>
        <w:tc>
          <w:tcPr>
            <w:tcW w:w="324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43"/>
        </w:trPr>
        <w:tc>
          <w:tcPr>
            <w:tcW w:w="8000" w:type="dxa"/>
            <w:vAlign w:val="bottom"/>
          </w:tcPr>
          <w:p>
            <w:pPr>
              <w:ind w:left="780"/>
              <w:spacing w:after="0"/>
              <w:rPr>
                <w:sz w:val="20"/>
                <w:szCs w:val="20"/>
                <w:color w:val="auto"/>
              </w:rPr>
            </w:pPr>
            <w:r>
              <w:rPr>
                <w:rFonts w:ascii="Arial" w:cs="Arial" w:eastAsia="Arial" w:hAnsi="Arial"/>
                <w:sz w:val="18"/>
                <w:szCs w:val="18"/>
                <w:color w:val="auto"/>
              </w:rPr>
              <w:t>Easy Pre-Orders Limited</w:t>
            </w:r>
          </w:p>
        </w:tc>
        <w:tc>
          <w:tcPr>
            <w:tcW w:w="324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LaFourchette Sweden AB</w:t>
            </w:r>
          </w:p>
        </w:tc>
        <w:tc>
          <w:tcPr>
            <w:tcW w:w="3240" w:type="dxa"/>
            <w:vAlign w:val="bottom"/>
          </w:tcPr>
          <w:p>
            <w:pPr>
              <w:ind w:left="1580"/>
              <w:spacing w:after="0"/>
              <w:rPr>
                <w:sz w:val="20"/>
                <w:szCs w:val="20"/>
                <w:color w:val="auto"/>
              </w:rPr>
            </w:pPr>
            <w:r>
              <w:rPr>
                <w:rFonts w:ascii="Arial" w:cs="Arial" w:eastAsia="Arial" w:hAnsi="Arial"/>
                <w:sz w:val="18"/>
                <w:szCs w:val="18"/>
                <w:color w:val="auto"/>
              </w:rPr>
              <w:t>Sweden</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Lerumar SA</w:t>
            </w:r>
          </w:p>
        </w:tc>
        <w:tc>
          <w:tcPr>
            <w:tcW w:w="3240" w:type="dxa"/>
            <w:vAlign w:val="bottom"/>
          </w:tcPr>
          <w:p>
            <w:pPr>
              <w:ind w:left="1580"/>
              <w:spacing w:after="0"/>
              <w:rPr>
                <w:sz w:val="20"/>
                <w:szCs w:val="20"/>
                <w:color w:val="auto"/>
              </w:rPr>
            </w:pPr>
            <w:r>
              <w:rPr>
                <w:rFonts w:ascii="Arial" w:cs="Arial" w:eastAsia="Arial" w:hAnsi="Arial"/>
                <w:sz w:val="18"/>
                <w:szCs w:val="18"/>
                <w:color w:val="auto"/>
              </w:rPr>
              <w:t>Uruguay</w:t>
            </w:r>
          </w:p>
        </w:tc>
      </w:tr>
      <w:tr>
        <w:trPr>
          <w:trHeight w:val="243"/>
        </w:trPr>
        <w:tc>
          <w:tcPr>
            <w:tcW w:w="8000" w:type="dxa"/>
            <w:vAlign w:val="bottom"/>
          </w:tcPr>
          <w:p>
            <w:pPr>
              <w:ind w:left="520"/>
              <w:spacing w:after="0"/>
              <w:rPr>
                <w:sz w:val="20"/>
                <w:szCs w:val="20"/>
                <w:color w:val="auto"/>
              </w:rPr>
            </w:pPr>
            <w:r>
              <w:rPr>
                <w:rFonts w:ascii="Arial" w:cs="Arial" w:eastAsia="Arial" w:hAnsi="Arial"/>
                <w:sz w:val="18"/>
                <w:szCs w:val="18"/>
                <w:color w:val="auto"/>
              </w:rPr>
              <w:t>Restorando SA</w:t>
            </w:r>
          </w:p>
        </w:tc>
        <w:tc>
          <w:tcPr>
            <w:tcW w:w="3240" w:type="dxa"/>
            <w:vAlign w:val="bottom"/>
          </w:tcPr>
          <w:p>
            <w:pPr>
              <w:ind w:left="1580"/>
              <w:spacing w:after="0"/>
              <w:rPr>
                <w:sz w:val="20"/>
                <w:szCs w:val="20"/>
                <w:color w:val="auto"/>
              </w:rPr>
            </w:pPr>
            <w:r>
              <w:rPr>
                <w:rFonts w:ascii="Arial" w:cs="Arial" w:eastAsia="Arial" w:hAnsi="Arial"/>
                <w:sz w:val="18"/>
                <w:szCs w:val="18"/>
                <w:color w:val="auto"/>
              </w:rPr>
              <w:t>Argentina</w:t>
            </w:r>
          </w:p>
        </w:tc>
      </w:tr>
      <w:tr>
        <w:trPr>
          <w:trHeight w:val="243"/>
        </w:trPr>
        <w:tc>
          <w:tcPr>
            <w:tcW w:w="8000" w:type="dxa"/>
            <w:vAlign w:val="bottom"/>
          </w:tcPr>
          <w:p>
            <w:pPr>
              <w:ind w:left="520"/>
              <w:spacing w:after="0"/>
              <w:rPr>
                <w:sz w:val="20"/>
                <w:szCs w:val="20"/>
                <w:color w:val="auto"/>
              </w:rPr>
            </w:pPr>
            <w:r>
              <w:rPr>
                <w:rFonts w:ascii="Arial" w:cs="Arial" w:eastAsia="Arial" w:hAnsi="Arial"/>
                <w:sz w:val="18"/>
                <w:szCs w:val="18"/>
                <w:color w:val="auto"/>
              </w:rPr>
              <w:t>Restorando SPA</w:t>
            </w:r>
          </w:p>
        </w:tc>
        <w:tc>
          <w:tcPr>
            <w:tcW w:w="3240" w:type="dxa"/>
            <w:vAlign w:val="bottom"/>
          </w:tcPr>
          <w:p>
            <w:pPr>
              <w:ind w:left="1580"/>
              <w:spacing w:after="0"/>
              <w:rPr>
                <w:sz w:val="20"/>
                <w:szCs w:val="20"/>
                <w:color w:val="auto"/>
              </w:rPr>
            </w:pPr>
            <w:r>
              <w:rPr>
                <w:rFonts w:ascii="Arial" w:cs="Arial" w:eastAsia="Arial" w:hAnsi="Arial"/>
                <w:sz w:val="18"/>
                <w:szCs w:val="18"/>
                <w:color w:val="auto"/>
              </w:rPr>
              <w:t>Chile</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Restorando Peru SAC</w:t>
            </w:r>
          </w:p>
        </w:tc>
        <w:tc>
          <w:tcPr>
            <w:tcW w:w="3240" w:type="dxa"/>
            <w:vAlign w:val="bottom"/>
          </w:tcPr>
          <w:p>
            <w:pPr>
              <w:ind w:left="1580"/>
              <w:spacing w:after="0"/>
              <w:rPr>
                <w:sz w:val="20"/>
                <w:szCs w:val="20"/>
                <w:color w:val="auto"/>
              </w:rPr>
            </w:pPr>
            <w:r>
              <w:rPr>
                <w:rFonts w:ascii="Arial" w:cs="Arial" w:eastAsia="Arial" w:hAnsi="Arial"/>
                <w:sz w:val="18"/>
                <w:szCs w:val="18"/>
                <w:color w:val="auto"/>
              </w:rPr>
              <w:t>Peru</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Restorando Reservas SACV</w:t>
            </w:r>
          </w:p>
        </w:tc>
        <w:tc>
          <w:tcPr>
            <w:tcW w:w="3240" w:type="dxa"/>
            <w:vAlign w:val="bottom"/>
          </w:tcPr>
          <w:p>
            <w:pPr>
              <w:ind w:left="1580"/>
              <w:spacing w:after="0"/>
              <w:rPr>
                <w:sz w:val="20"/>
                <w:szCs w:val="20"/>
                <w:color w:val="auto"/>
              </w:rPr>
            </w:pPr>
            <w:r>
              <w:rPr>
                <w:rFonts w:ascii="Arial" w:cs="Arial" w:eastAsia="Arial" w:hAnsi="Arial"/>
                <w:sz w:val="18"/>
                <w:szCs w:val="18"/>
                <w:color w:val="auto"/>
              </w:rPr>
              <w:t>Mexico</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Singaba SA</w:t>
            </w:r>
          </w:p>
        </w:tc>
        <w:tc>
          <w:tcPr>
            <w:tcW w:w="3240" w:type="dxa"/>
            <w:vAlign w:val="bottom"/>
          </w:tcPr>
          <w:p>
            <w:pPr>
              <w:ind w:left="1580"/>
              <w:spacing w:after="0"/>
              <w:rPr>
                <w:sz w:val="20"/>
                <w:szCs w:val="20"/>
                <w:color w:val="auto"/>
              </w:rPr>
            </w:pPr>
            <w:r>
              <w:rPr>
                <w:rFonts w:ascii="Arial" w:cs="Arial" w:eastAsia="Arial" w:hAnsi="Arial"/>
                <w:sz w:val="18"/>
                <w:szCs w:val="18"/>
                <w:color w:val="auto"/>
              </w:rPr>
              <w:t>Uruguay</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La Fourchette (UK) Ltd.</w:t>
            </w:r>
          </w:p>
        </w:tc>
        <w:tc>
          <w:tcPr>
            <w:tcW w:w="3240" w:type="dxa"/>
            <w:vAlign w:val="bottom"/>
          </w:tcPr>
          <w:p>
            <w:pPr>
              <w:ind w:left="1580"/>
              <w:spacing w:after="0"/>
              <w:rPr>
                <w:sz w:val="20"/>
                <w:szCs w:val="20"/>
                <w:color w:val="auto"/>
              </w:rPr>
            </w:pPr>
            <w:r>
              <w:rPr>
                <w:rFonts w:ascii="Arial" w:cs="Arial" w:eastAsia="Arial" w:hAnsi="Arial"/>
                <w:sz w:val="18"/>
                <w:szCs w:val="18"/>
                <w:color w:val="auto"/>
              </w:rPr>
              <w:t>United Kingdom</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TripAdvisor K.K.</w:t>
            </w:r>
          </w:p>
        </w:tc>
        <w:tc>
          <w:tcPr>
            <w:tcW w:w="3240" w:type="dxa"/>
            <w:vAlign w:val="bottom"/>
          </w:tcPr>
          <w:p>
            <w:pPr>
              <w:ind w:left="1580"/>
              <w:spacing w:after="0"/>
              <w:rPr>
                <w:sz w:val="20"/>
                <w:szCs w:val="20"/>
                <w:color w:val="auto"/>
              </w:rPr>
            </w:pPr>
            <w:r>
              <w:rPr>
                <w:rFonts w:ascii="Arial" w:cs="Arial" w:eastAsia="Arial" w:hAnsi="Arial"/>
                <w:sz w:val="18"/>
                <w:szCs w:val="18"/>
                <w:color w:val="auto"/>
              </w:rPr>
              <w:t>Japan</w:t>
            </w:r>
          </w:p>
        </w:tc>
      </w:tr>
      <w:tr>
        <w:trPr>
          <w:trHeight w:val="243"/>
        </w:trPr>
        <w:tc>
          <w:tcPr>
            <w:tcW w:w="8000" w:type="dxa"/>
            <w:vAlign w:val="bottom"/>
          </w:tcPr>
          <w:p>
            <w:pPr>
              <w:ind w:left="240"/>
              <w:spacing w:after="0"/>
              <w:rPr>
                <w:sz w:val="20"/>
                <w:szCs w:val="20"/>
                <w:color w:val="auto"/>
              </w:rPr>
            </w:pPr>
            <w:r>
              <w:rPr>
                <w:rFonts w:ascii="Arial" w:cs="Arial" w:eastAsia="Arial" w:hAnsi="Arial"/>
                <w:sz w:val="18"/>
                <w:szCs w:val="18"/>
                <w:color w:val="auto"/>
              </w:rPr>
              <w:t>TripAdvisor Singapore Private Limited</w:t>
            </w:r>
          </w:p>
        </w:tc>
        <w:tc>
          <w:tcPr>
            <w:tcW w:w="3240" w:type="dxa"/>
            <w:vAlign w:val="bottom"/>
          </w:tcPr>
          <w:p>
            <w:pPr>
              <w:ind w:left="1580"/>
              <w:spacing w:after="0"/>
              <w:rPr>
                <w:sz w:val="20"/>
                <w:szCs w:val="20"/>
                <w:color w:val="auto"/>
              </w:rPr>
            </w:pPr>
            <w:r>
              <w:rPr>
                <w:rFonts w:ascii="Arial" w:cs="Arial" w:eastAsia="Arial" w:hAnsi="Arial"/>
                <w:sz w:val="18"/>
                <w:szCs w:val="18"/>
                <w:color w:val="auto"/>
              </w:rPr>
              <w:t>Singapore</w:t>
            </w:r>
          </w:p>
        </w:tc>
      </w:tr>
      <w:tr>
        <w:trPr>
          <w:trHeight w:val="243"/>
        </w:trPr>
        <w:tc>
          <w:tcPr>
            <w:tcW w:w="8000" w:type="dxa"/>
            <w:vAlign w:val="bottom"/>
          </w:tcPr>
          <w:p>
            <w:pPr>
              <w:ind w:left="460"/>
              <w:spacing w:after="0"/>
              <w:rPr>
                <w:sz w:val="20"/>
                <w:szCs w:val="20"/>
                <w:color w:val="auto"/>
              </w:rPr>
            </w:pPr>
            <w:r>
              <w:rPr>
                <w:rFonts w:ascii="Arial" w:cs="Arial" w:eastAsia="Arial" w:hAnsi="Arial"/>
                <w:sz w:val="18"/>
                <w:szCs w:val="18"/>
                <w:color w:val="auto"/>
              </w:rPr>
              <w:t>TripAdvisor Korea Co., Ltd.</w:t>
            </w:r>
          </w:p>
        </w:tc>
        <w:tc>
          <w:tcPr>
            <w:tcW w:w="3240" w:type="dxa"/>
            <w:vAlign w:val="bottom"/>
          </w:tcPr>
          <w:p>
            <w:pPr>
              <w:ind w:left="1580"/>
              <w:spacing w:after="0"/>
              <w:rPr>
                <w:sz w:val="20"/>
                <w:szCs w:val="20"/>
                <w:color w:val="auto"/>
              </w:rPr>
            </w:pPr>
            <w:r>
              <w:rPr>
                <w:rFonts w:ascii="Arial" w:cs="Arial" w:eastAsia="Arial" w:hAnsi="Arial"/>
                <w:sz w:val="18"/>
                <w:szCs w:val="18"/>
                <w:color w:val="auto"/>
              </w:rPr>
              <w:t>Korea</w:t>
            </w:r>
          </w:p>
        </w:tc>
      </w:tr>
      <w:tr>
        <w:trPr>
          <w:trHeight w:val="243"/>
        </w:trPr>
        <w:tc>
          <w:tcPr>
            <w:tcW w:w="8000" w:type="dxa"/>
            <w:vAlign w:val="bottom"/>
          </w:tcPr>
          <w:p>
            <w:pPr>
              <w:ind w:left="460"/>
              <w:spacing w:after="0"/>
              <w:rPr>
                <w:sz w:val="20"/>
                <w:szCs w:val="20"/>
                <w:color w:val="auto"/>
              </w:rPr>
            </w:pPr>
            <w:r>
              <w:rPr>
                <w:rFonts w:ascii="Arial" w:cs="Arial" w:eastAsia="Arial" w:hAnsi="Arial"/>
                <w:sz w:val="18"/>
                <w:szCs w:val="18"/>
                <w:color w:val="auto"/>
              </w:rPr>
              <w:t>TripAdvisor Hong Kong Limited</w:t>
            </w:r>
          </w:p>
        </w:tc>
        <w:tc>
          <w:tcPr>
            <w:tcW w:w="3240" w:type="dxa"/>
            <w:vAlign w:val="bottom"/>
          </w:tcPr>
          <w:p>
            <w:pPr>
              <w:ind w:left="1580"/>
              <w:spacing w:after="0"/>
              <w:rPr>
                <w:sz w:val="20"/>
                <w:szCs w:val="20"/>
                <w:color w:val="auto"/>
              </w:rPr>
            </w:pPr>
            <w:r>
              <w:rPr>
                <w:rFonts w:ascii="Arial" w:cs="Arial" w:eastAsia="Arial" w:hAnsi="Arial"/>
                <w:sz w:val="18"/>
                <w:szCs w:val="18"/>
                <w:color w:val="auto"/>
              </w:rPr>
              <w:t>Hong Kong</w:t>
            </w:r>
          </w:p>
        </w:tc>
      </w:tr>
      <w:tr>
        <w:trPr>
          <w:trHeight w:val="243"/>
        </w:trPr>
        <w:tc>
          <w:tcPr>
            <w:tcW w:w="8000" w:type="dxa"/>
            <w:vAlign w:val="bottom"/>
          </w:tcPr>
          <w:p>
            <w:pPr>
              <w:ind w:left="460"/>
              <w:spacing w:after="0"/>
              <w:rPr>
                <w:sz w:val="20"/>
                <w:szCs w:val="20"/>
                <w:color w:val="auto"/>
              </w:rPr>
            </w:pPr>
            <w:r>
              <w:rPr>
                <w:rFonts w:ascii="Arial" w:cs="Arial" w:eastAsia="Arial" w:hAnsi="Arial"/>
                <w:sz w:val="18"/>
                <w:szCs w:val="18"/>
                <w:color w:val="auto"/>
              </w:rPr>
              <w:t>TripAdvisor China Cayman Holdings Limited</w:t>
            </w:r>
          </w:p>
        </w:tc>
        <w:tc>
          <w:tcPr>
            <w:tcW w:w="3240" w:type="dxa"/>
            <w:vAlign w:val="bottom"/>
          </w:tcPr>
          <w:p>
            <w:pPr>
              <w:ind w:left="1580"/>
              <w:spacing w:after="0"/>
              <w:rPr>
                <w:sz w:val="20"/>
                <w:szCs w:val="20"/>
                <w:color w:val="auto"/>
              </w:rPr>
            </w:pPr>
            <w:r>
              <w:rPr>
                <w:rFonts w:ascii="Arial" w:cs="Arial" w:eastAsia="Arial" w:hAnsi="Arial"/>
                <w:sz w:val="18"/>
                <w:szCs w:val="18"/>
                <w:color w:val="auto"/>
              </w:rPr>
              <w:t>Cayman</w:t>
            </w:r>
          </w:p>
        </w:tc>
      </w:tr>
      <w:tr>
        <w:trPr>
          <w:trHeight w:val="243"/>
        </w:trPr>
        <w:tc>
          <w:tcPr>
            <w:tcW w:w="8000" w:type="dxa"/>
            <w:vAlign w:val="bottom"/>
          </w:tcPr>
          <w:p>
            <w:pPr>
              <w:ind w:left="680"/>
              <w:spacing w:after="0"/>
              <w:rPr>
                <w:sz w:val="20"/>
                <w:szCs w:val="20"/>
                <w:color w:val="auto"/>
              </w:rPr>
            </w:pPr>
            <w:r>
              <w:rPr>
                <w:rFonts w:ascii="Arial" w:cs="Arial" w:eastAsia="Arial" w:hAnsi="Arial"/>
                <w:sz w:val="18"/>
                <w:szCs w:val="18"/>
                <w:color w:val="auto"/>
              </w:rPr>
              <w:t>TripAdvisor Consulting Service (Beijing) Co. Ltd</w:t>
            </w:r>
          </w:p>
        </w:tc>
        <w:tc>
          <w:tcPr>
            <w:tcW w:w="3240" w:type="dxa"/>
            <w:vAlign w:val="bottom"/>
          </w:tcPr>
          <w:p>
            <w:pPr>
              <w:ind w:left="1580"/>
              <w:spacing w:after="0"/>
              <w:rPr>
                <w:sz w:val="20"/>
                <w:szCs w:val="20"/>
                <w:color w:val="auto"/>
              </w:rPr>
            </w:pPr>
            <w:r>
              <w:rPr>
                <w:rFonts w:ascii="Arial" w:cs="Arial" w:eastAsia="Arial" w:hAnsi="Arial"/>
                <w:sz w:val="18"/>
                <w:szCs w:val="18"/>
                <w:color w:val="auto"/>
              </w:rPr>
              <w:t>China</w:t>
            </w:r>
          </w:p>
        </w:tc>
      </w:tr>
      <w:tr>
        <w:trPr>
          <w:trHeight w:val="243"/>
        </w:trPr>
        <w:tc>
          <w:tcPr>
            <w:tcW w:w="8000" w:type="dxa"/>
            <w:vAlign w:val="bottom"/>
          </w:tcPr>
          <w:p>
            <w:pPr>
              <w:ind w:left="900"/>
              <w:spacing w:after="0"/>
              <w:rPr>
                <w:sz w:val="20"/>
                <w:szCs w:val="20"/>
                <w:color w:val="auto"/>
              </w:rPr>
            </w:pPr>
            <w:r>
              <w:rPr>
                <w:rFonts w:ascii="Arial" w:cs="Arial" w:eastAsia="Arial" w:hAnsi="Arial"/>
                <w:sz w:val="18"/>
                <w:szCs w:val="18"/>
                <w:color w:val="auto"/>
              </w:rPr>
              <w:t>Tuqu Net Information Technology (Beijing) Co., Ltd. (beneficial ownership)</w:t>
            </w:r>
          </w:p>
        </w:tc>
        <w:tc>
          <w:tcPr>
            <w:tcW w:w="3240" w:type="dxa"/>
            <w:vAlign w:val="bottom"/>
          </w:tcPr>
          <w:p>
            <w:pPr>
              <w:ind w:left="1580"/>
              <w:spacing w:after="0"/>
              <w:rPr>
                <w:sz w:val="20"/>
                <w:szCs w:val="20"/>
                <w:color w:val="auto"/>
              </w:rPr>
            </w:pPr>
            <w:r>
              <w:rPr>
                <w:rFonts w:ascii="Arial" w:cs="Arial" w:eastAsia="Arial" w:hAnsi="Arial"/>
                <w:sz w:val="18"/>
                <w:szCs w:val="18"/>
                <w:color w:val="auto"/>
              </w:rPr>
              <w:t>China</w:t>
            </w:r>
          </w:p>
        </w:tc>
      </w:tr>
      <w:tr>
        <w:trPr>
          <w:trHeight w:val="243"/>
        </w:trPr>
        <w:tc>
          <w:tcPr>
            <w:tcW w:w="8000" w:type="dxa"/>
            <w:vAlign w:val="bottom"/>
          </w:tcPr>
          <w:p>
            <w:pPr>
              <w:ind w:left="900"/>
              <w:spacing w:after="0"/>
              <w:rPr>
                <w:sz w:val="20"/>
                <w:szCs w:val="20"/>
                <w:color w:val="auto"/>
              </w:rPr>
            </w:pPr>
            <w:r>
              <w:rPr>
                <w:rFonts w:ascii="Arial" w:cs="Arial" w:eastAsia="Arial" w:hAnsi="Arial"/>
                <w:sz w:val="18"/>
                <w:szCs w:val="18"/>
                <w:color w:val="auto"/>
              </w:rPr>
              <w:t>Beijing Tuqu Business Consulting Co., Ltd. (beneficial ownership)</w:t>
            </w:r>
          </w:p>
        </w:tc>
        <w:tc>
          <w:tcPr>
            <w:tcW w:w="3240" w:type="dxa"/>
            <w:vAlign w:val="bottom"/>
          </w:tcPr>
          <w:p>
            <w:pPr>
              <w:ind w:left="1580"/>
              <w:spacing w:after="0"/>
              <w:rPr>
                <w:sz w:val="20"/>
                <w:szCs w:val="20"/>
                <w:color w:val="auto"/>
              </w:rPr>
            </w:pPr>
            <w:r>
              <w:rPr>
                <w:rFonts w:ascii="Arial" w:cs="Arial" w:eastAsia="Arial" w:hAnsi="Arial"/>
                <w:sz w:val="18"/>
                <w:szCs w:val="18"/>
                <w:color w:val="auto"/>
              </w:rPr>
              <w:t>China</w:t>
            </w:r>
          </w:p>
        </w:tc>
      </w:tr>
      <w:tr>
        <w:trPr>
          <w:trHeight w:val="1342"/>
        </w:trPr>
        <w:tc>
          <w:tcPr>
            <w:tcW w:w="8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10"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We consent to the incorporation by reference in the registration statements (No. 333-260877, 333</w:t>
      </w:r>
      <w:r>
        <w:rPr>
          <w:rFonts w:ascii="MS PGothic" w:cs="MS PGothic" w:eastAsia="MS PGothic" w:hAnsi="MS PGothic"/>
          <w:sz w:val="18"/>
          <w:szCs w:val="18"/>
          <w:color w:val="auto"/>
        </w:rPr>
        <w:t>‑</w:t>
      </w:r>
      <w:r>
        <w:rPr>
          <w:rFonts w:ascii="Arial" w:cs="Arial" w:eastAsia="Arial" w:hAnsi="Arial"/>
          <w:sz w:val="18"/>
          <w:szCs w:val="18"/>
          <w:color w:val="auto"/>
        </w:rPr>
        <w:t>178637, 333-190384, 333-198726, 333-226749) on Form S-8 of Tripadvisor, Inc. of our reports dated February 17, 2023, with respect to the consolidated financial statements of Tripadvisor, Inc. and the effectiveness of internal control over financial reporting.</w:t>
      </w:r>
    </w:p>
    <w:p>
      <w:pPr>
        <w:spacing w:after="0" w:line="20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20" w:name="page121"/>
    <w:bookmarkEnd w:id="120"/>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Matt Goldberg, Chief Executive Officer and President of Tripadvisor, Inc., certify that:</w:t>
      </w:r>
    </w:p>
    <w:p>
      <w:pPr>
        <w:spacing w:after="0" w:line="225"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24" w:lineRule="exact"/>
        <w:rPr>
          <w:rFonts w:ascii="Arial" w:cs="Arial" w:eastAsia="Arial" w:hAnsi="Arial"/>
          <w:sz w:val="18"/>
          <w:szCs w:val="18"/>
          <w:color w:val="auto"/>
        </w:rPr>
      </w:pPr>
    </w:p>
    <w:p>
      <w:pPr>
        <w:ind w:left="520" w:right="300" w:hanging="512"/>
        <w:spacing w:after="0" w:line="263" w:lineRule="auto"/>
        <w:tabs>
          <w:tab w:leader="none" w:pos="3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380" w:hanging="512"/>
        <w:spacing w:after="0" w:line="307" w:lineRule="auto"/>
        <w:tabs>
          <w:tab w:leader="none" w:pos="37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3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100" w:hanging="479"/>
        <w:spacing w:after="0" w:line="263" w:lineRule="auto"/>
        <w:tabs>
          <w:tab w:leader="none" w:pos="8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479"/>
        <w:spacing w:after="0" w:line="263" w:lineRule="auto"/>
        <w:tabs>
          <w:tab w:leader="none" w:pos="8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500" w:hanging="479"/>
        <w:spacing w:after="0" w:line="341" w:lineRule="auto"/>
        <w:tabs>
          <w:tab w:leader="none" w:pos="894"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40" w:hanging="479"/>
        <w:spacing w:after="0" w:line="263" w:lineRule="auto"/>
        <w:tabs>
          <w:tab w:leader="none" w:pos="8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20" w:hanging="512"/>
        <w:spacing w:after="0" w:line="307" w:lineRule="auto"/>
        <w:tabs>
          <w:tab w:leader="none" w:pos="37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07" w:lineRule="auto"/>
        <w:tabs>
          <w:tab w:leader="none" w:pos="894"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77" w:lineRule="auto"/>
        <w:tabs>
          <w:tab w:leader="none" w:pos="8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60" w:type="dxa"/>
            <w:vAlign w:val="bottom"/>
          </w:tcPr>
          <w:p>
            <w:pPr>
              <w:ind w:left="20"/>
              <w:spacing w:after="0"/>
              <w:rPr>
                <w:sz w:val="20"/>
                <w:szCs w:val="20"/>
                <w:color w:val="auto"/>
              </w:rPr>
            </w:pPr>
            <w:r>
              <w:rPr>
                <w:rFonts w:ascii="Arial" w:cs="Arial" w:eastAsia="Arial" w:hAnsi="Arial"/>
                <w:sz w:val="18"/>
                <w:szCs w:val="18"/>
                <w:color w:val="auto"/>
              </w:rPr>
              <w:t>Date: February 17, 2023</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 GOLDBERG</w:t>
            </w:r>
          </w:p>
        </w:tc>
      </w:tr>
      <w:tr>
        <w:trPr>
          <w:trHeight w:val="208"/>
        </w:trPr>
        <w:tc>
          <w:tcPr>
            <w:tcW w:w="556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Matt Goldberg</w:t>
            </w:r>
          </w:p>
        </w:tc>
      </w:tr>
      <w:tr>
        <w:trPr>
          <w:trHeight w:val="230"/>
        </w:trPr>
        <w:tc>
          <w:tcPr>
            <w:tcW w:w="5560" w:type="dxa"/>
            <w:vAlign w:val="bottom"/>
          </w:tcPr>
          <w:p>
            <w:pPr>
              <w:spacing w:after="0"/>
              <w:rPr>
                <w:sz w:val="20"/>
                <w:szCs w:val="20"/>
                <w:color w:val="auto"/>
              </w:rPr>
            </w:pPr>
          </w:p>
        </w:tc>
        <w:tc>
          <w:tcPr>
            <w:tcW w:w="5680" w:type="dxa"/>
            <w:vAlign w:val="bottom"/>
          </w:tcPr>
          <w:p>
            <w:pPr>
              <w:ind w:left="360"/>
              <w:spacing w:after="0"/>
              <w:rPr>
                <w:sz w:val="20"/>
                <w:szCs w:val="20"/>
                <w:color w:val="auto"/>
              </w:rPr>
            </w:pPr>
            <w:r>
              <w:rPr>
                <w:rFonts w:ascii="Arial" w:cs="Arial" w:eastAsia="Arial" w:hAnsi="Arial"/>
                <w:sz w:val="18"/>
                <w:szCs w:val="18"/>
                <w:i w:val="1"/>
                <w:iCs w:val="1"/>
                <w:color w:val="auto"/>
              </w:rPr>
              <w:t>Chief Executive Officer</w:t>
            </w:r>
          </w:p>
        </w:tc>
      </w:tr>
      <w:tr>
        <w:trPr>
          <w:trHeight w:val="560"/>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Noonan, Chief Financial Officer of Tripadvisor, Inc. certify that:</w:t>
      </w:r>
    </w:p>
    <w:p>
      <w:pPr>
        <w:spacing w:after="0" w:line="225"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24" w:lineRule="exact"/>
        <w:rPr>
          <w:rFonts w:ascii="Arial" w:cs="Arial" w:eastAsia="Arial" w:hAnsi="Arial"/>
          <w:sz w:val="18"/>
          <w:szCs w:val="18"/>
          <w:color w:val="auto"/>
        </w:rPr>
      </w:pPr>
    </w:p>
    <w:p>
      <w:pPr>
        <w:ind w:left="520" w:right="300" w:hanging="512"/>
        <w:spacing w:after="0" w:line="263" w:lineRule="auto"/>
        <w:tabs>
          <w:tab w:leader="none" w:pos="3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380" w:hanging="512"/>
        <w:spacing w:after="0" w:line="307" w:lineRule="auto"/>
        <w:tabs>
          <w:tab w:leader="none" w:pos="37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3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100" w:hanging="479"/>
        <w:spacing w:after="0" w:line="263" w:lineRule="auto"/>
        <w:tabs>
          <w:tab w:leader="none" w:pos="89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479"/>
        <w:spacing w:after="0" w:line="263" w:lineRule="auto"/>
        <w:tabs>
          <w:tab w:leader="none" w:pos="89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500" w:hanging="479"/>
        <w:spacing w:after="0" w:line="341" w:lineRule="auto"/>
        <w:tabs>
          <w:tab w:leader="none" w:pos="894"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40" w:hanging="479"/>
        <w:spacing w:after="0" w:line="263" w:lineRule="auto"/>
        <w:tabs>
          <w:tab w:leader="none" w:pos="89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20" w:hanging="512"/>
        <w:spacing w:after="0" w:line="307" w:lineRule="auto"/>
        <w:tabs>
          <w:tab w:leader="none" w:pos="37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40" w:hanging="479"/>
        <w:spacing w:after="0" w:line="307" w:lineRule="auto"/>
        <w:tabs>
          <w:tab w:leader="none" w:pos="894"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hanging="479"/>
        <w:spacing w:after="0" w:line="277" w:lineRule="auto"/>
        <w:tabs>
          <w:tab w:leader="none" w:pos="89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60" w:type="dxa"/>
            <w:vAlign w:val="bottom"/>
          </w:tcPr>
          <w:p>
            <w:pPr>
              <w:ind w:left="20"/>
              <w:spacing w:after="0"/>
              <w:rPr>
                <w:sz w:val="20"/>
                <w:szCs w:val="20"/>
                <w:color w:val="auto"/>
              </w:rPr>
            </w:pPr>
            <w:r>
              <w:rPr>
                <w:rFonts w:ascii="Arial" w:cs="Arial" w:eastAsia="Arial" w:hAnsi="Arial"/>
                <w:sz w:val="18"/>
                <w:szCs w:val="18"/>
                <w:color w:val="auto"/>
              </w:rPr>
              <w:t>Date: February 17, 2023</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NOONAN</w:t>
            </w:r>
          </w:p>
        </w:tc>
      </w:tr>
      <w:tr>
        <w:trPr>
          <w:trHeight w:val="208"/>
        </w:trPr>
        <w:tc>
          <w:tcPr>
            <w:tcW w:w="556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Michael Noonan</w:t>
            </w:r>
          </w:p>
        </w:tc>
      </w:tr>
      <w:tr>
        <w:trPr>
          <w:trHeight w:val="230"/>
        </w:trPr>
        <w:tc>
          <w:tcPr>
            <w:tcW w:w="5560" w:type="dxa"/>
            <w:vAlign w:val="bottom"/>
          </w:tcPr>
          <w:p>
            <w:pPr>
              <w:spacing w:after="0"/>
              <w:rPr>
                <w:sz w:val="20"/>
                <w:szCs w:val="20"/>
                <w:color w:val="auto"/>
              </w:rPr>
            </w:pPr>
          </w:p>
        </w:tc>
        <w:tc>
          <w:tcPr>
            <w:tcW w:w="5680" w:type="dxa"/>
            <w:vAlign w:val="bottom"/>
          </w:tcPr>
          <w:p>
            <w:pPr>
              <w:ind w:left="360"/>
              <w:spacing w:after="0"/>
              <w:rPr>
                <w:sz w:val="20"/>
                <w:szCs w:val="20"/>
                <w:color w:val="auto"/>
              </w:rPr>
            </w:pPr>
            <w:r>
              <w:rPr>
                <w:rFonts w:ascii="Arial" w:cs="Arial" w:eastAsia="Arial" w:hAnsi="Arial"/>
                <w:sz w:val="18"/>
                <w:szCs w:val="18"/>
                <w:i w:val="1"/>
                <w:iCs w:val="1"/>
                <w:color w:val="auto"/>
              </w:rPr>
              <w:t>Chief Financial Officer</w:t>
            </w:r>
          </w:p>
        </w:tc>
      </w:tr>
      <w:tr>
        <w:trPr>
          <w:trHeight w:val="560"/>
        </w:trPr>
        <w:tc>
          <w:tcPr>
            <w:tcW w:w="55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2022, as filed with the Securities and Exchange Commission on the date hereof (the “Report”), I, Matt Goldberg, Chief Executive Officer and President of the Company, certify, pursuant to Section 906 of the Sarbanes-Oxley Act of 2002, 18 U.S.C. Section 1350, that:</w:t>
      </w:r>
    </w:p>
    <w:p>
      <w:pPr>
        <w:spacing w:after="0" w:line="183" w:lineRule="exact"/>
        <w:rPr>
          <w:sz w:val="20"/>
          <w:szCs w:val="20"/>
          <w:color w:val="auto"/>
        </w:rPr>
      </w:pPr>
    </w:p>
    <w:p>
      <w:pPr>
        <w:ind w:left="520" w:right="180" w:hanging="512"/>
        <w:spacing w:after="0" w:line="277" w:lineRule="auto"/>
        <w:tabs>
          <w:tab w:leader="none" w:pos="3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69" w:lineRule="exact"/>
        <w:rPr>
          <w:rFonts w:ascii="Arial" w:cs="Arial" w:eastAsia="Arial" w:hAnsi="Arial"/>
          <w:sz w:val="18"/>
          <w:szCs w:val="18"/>
          <w:color w:val="auto"/>
        </w:rPr>
      </w:pPr>
    </w:p>
    <w:p>
      <w:pPr>
        <w:ind w:left="360" w:hanging="352"/>
        <w:spacing w:after="0"/>
        <w:tabs>
          <w:tab w:leader="none" w:pos="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40" w:type="dxa"/>
            <w:vAlign w:val="bottom"/>
          </w:tcPr>
          <w:p>
            <w:pPr>
              <w:ind w:left="20"/>
              <w:spacing w:after="0"/>
              <w:rPr>
                <w:sz w:val="20"/>
                <w:szCs w:val="20"/>
                <w:color w:val="auto"/>
              </w:rPr>
            </w:pPr>
            <w:r>
              <w:rPr>
                <w:rFonts w:ascii="Arial" w:cs="Arial" w:eastAsia="Arial" w:hAnsi="Arial"/>
                <w:sz w:val="18"/>
                <w:szCs w:val="18"/>
                <w:color w:val="auto"/>
              </w:rPr>
              <w:t>Date: February 17, 2023</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 GOLDBERG</w:t>
            </w:r>
          </w:p>
        </w:tc>
      </w:tr>
      <w:tr>
        <w:trPr>
          <w:trHeight w:val="208"/>
        </w:trPr>
        <w:tc>
          <w:tcPr>
            <w:tcW w:w="574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Matt Goldberg</w:t>
            </w:r>
          </w:p>
        </w:tc>
      </w:tr>
      <w:tr>
        <w:trPr>
          <w:trHeight w:val="230"/>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77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2022, as filed with the Securities and Exchange Commission on the date hereof (the “Report”), I, Michael Noonan, Chief Financial Officer of the Company, certify, pursuant to Section 906 of the Sarbanes-Oxley Act of 2002, 18 U.S.C. Section 1350, that:</w:t>
      </w:r>
    </w:p>
    <w:p>
      <w:pPr>
        <w:spacing w:after="0" w:line="183" w:lineRule="exact"/>
        <w:rPr>
          <w:sz w:val="20"/>
          <w:szCs w:val="20"/>
          <w:color w:val="auto"/>
        </w:rPr>
      </w:pPr>
    </w:p>
    <w:p>
      <w:pPr>
        <w:ind w:left="520" w:right="180" w:hanging="512"/>
        <w:spacing w:after="0" w:line="277" w:lineRule="auto"/>
        <w:tabs>
          <w:tab w:leader="none" w:pos="3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69" w:lineRule="exact"/>
        <w:rPr>
          <w:rFonts w:ascii="Arial" w:cs="Arial" w:eastAsia="Arial" w:hAnsi="Arial"/>
          <w:sz w:val="18"/>
          <w:szCs w:val="18"/>
          <w:color w:val="auto"/>
        </w:rPr>
      </w:pPr>
    </w:p>
    <w:p>
      <w:pPr>
        <w:ind w:left="360" w:hanging="352"/>
        <w:spacing w:after="0"/>
        <w:tabs>
          <w:tab w:leader="none" w:pos="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Date: February 17, 2023</w:t>
            </w: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NOONAN</w:t>
            </w:r>
          </w:p>
        </w:tc>
      </w:tr>
      <w:tr>
        <w:trPr>
          <w:trHeight w:val="215"/>
        </w:trPr>
        <w:tc>
          <w:tcPr>
            <w:tcW w:w="574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Michael Noonan</w:t>
            </w:r>
          </w:p>
        </w:tc>
      </w:tr>
      <w:tr>
        <w:trPr>
          <w:trHeight w:val="230"/>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560"/>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2"/>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4"/>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2"/>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104"/>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420" Type="http://schemas.openxmlformats.org/officeDocument/2006/relationships/image" Target="media/image385.png"/><Relationship Id="rId421" Type="http://schemas.openxmlformats.org/officeDocument/2006/relationships/image" Target="media/image386.png"/><Relationship Id="rId422" Type="http://schemas.openxmlformats.org/officeDocument/2006/relationships/image" Target="media/image387.png"/><Relationship Id="rId423" Type="http://schemas.openxmlformats.org/officeDocument/2006/relationships/image" Target="media/image388.png"/><Relationship Id="rId424" Type="http://schemas.openxmlformats.org/officeDocument/2006/relationships/image" Target="media/image389.png"/><Relationship Id="rId441"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pn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63" Type="http://schemas.openxmlformats.org/officeDocument/2006/relationships/image" Target="media/image408.png"/><Relationship Id="rId464" Type="http://schemas.openxmlformats.org/officeDocument/2006/relationships/image" Target="media/image409.png"/><Relationship Id="rId376" Type="http://schemas.openxmlformats.org/officeDocument/2006/relationships/hyperlink" Target="https://www.sec.gov/Archives/edgar/data/1526520/000119312511352247/d270719dex31.htm" TargetMode="External"/><Relationship Id="rId377" Type="http://schemas.openxmlformats.org/officeDocument/2006/relationships/hyperlink" Target="https://www.sec.gov/Archives/edgar/data/1526520/000119312511352247/d270719dex32.htm" TargetMode="External"/><Relationship Id="rId378" Type="http://schemas.openxmlformats.org/officeDocument/2006/relationships/hyperlink" Target="https://www.sec.gov/Archives/edgar/data/1526520/000119312513051925/d482592dex31.htm" TargetMode="External"/><Relationship Id="rId379" Type="http://schemas.openxmlformats.org/officeDocument/2006/relationships/hyperlink" Target="https://www.sec.gov/Archives/edgar/data/1324424/000119312511277905/d211678dex46.htm" TargetMode="External"/><Relationship Id="rId380" Type="http://schemas.openxmlformats.org/officeDocument/2006/relationships/hyperlink" Target="https://www.sec.gov/Archives/edgar/data/1526520/000156459020005269/trip-ex42_283.htm" TargetMode="External"/><Relationship Id="rId381" Type="http://schemas.openxmlformats.org/officeDocument/2006/relationships/hyperlink" Target="https://www.sec.gov/Archives/edgar/data/1526520/000156459020032136/trip-ex41_15.htm" TargetMode="External"/><Relationship Id="rId382" Type="http://schemas.openxmlformats.org/officeDocument/2006/relationships/hyperlink" Target="https://www.sec.gov/Archives/edgar/data/1526520/000156459021015566/trip-ex41_32.htm" TargetMode="External"/><Relationship Id="rId383" Type="http://schemas.openxmlformats.org/officeDocument/2006/relationships/hyperlink" Target="https://www.sec.gov/Archives/edgar/data/1526520/000119312511352247/d270719dex101.htm" TargetMode="External"/><Relationship Id="rId384" Type="http://schemas.openxmlformats.org/officeDocument/2006/relationships/hyperlink" Target="https://www.sec.gov/Archives/edgar/data/1526520/000119312511352247/d270719dex102.htm" TargetMode="External"/><Relationship Id="rId385" Type="http://schemas.openxmlformats.org/officeDocument/2006/relationships/hyperlink" Target="https://www.sec.gov/Archives/edgar/data/1526520/000156459016028323/trip-ex101_769.htm" TargetMode="External"/><Relationship Id="rId386" Type="http://schemas.openxmlformats.org/officeDocument/2006/relationships/hyperlink" Target="https://www.sec.gov/Archives/edgar/data/1526520/000156459018018438/trip-ex101_278.htm" TargetMode="External"/><Relationship Id="rId389" Type="http://schemas.openxmlformats.org/officeDocument/2006/relationships/hyperlink" Target="https://www.sec.gov/Archives/edgar/data/1526520/000119312511347224/d271461dex46.htm" TargetMode="External"/><Relationship Id="rId390" Type="http://schemas.openxmlformats.org/officeDocument/2006/relationships/hyperlink" Target="https://www.sec.gov/Archives/edgar/data/1526520/000119312513300521/d548543dex101.htm" TargetMode="External"/><Relationship Id="rId391" Type="http://schemas.openxmlformats.org/officeDocument/2006/relationships/hyperlink" Target="https://www.sec.gov/Archives/edgar/data/1526520/000119312513300521/d548543dex102.htm" TargetMode="External"/><Relationship Id="rId392" Type="http://schemas.openxmlformats.org/officeDocument/2006/relationships/hyperlink" Target="https://www.sec.gov/Archives/edgar/data/1526520/000119312516599160/d199565dex101.htm" TargetMode="External"/><Relationship Id="rId393" Type="http://schemas.openxmlformats.org/officeDocument/2006/relationships/hyperlink" Target="https://www.sec.gov/Archives/edgar/data/1526520/000156459018002664/trip-ex108_286.htm" TargetMode="External"/><Relationship Id="rId394" Type="http://schemas.openxmlformats.org/officeDocument/2006/relationships/hyperlink" Target="https://www.sec.gov/Archives/edgar/data/1526520/000156459014001822/trip-ex10_20140331242.htm" TargetMode="External"/><Relationship Id="rId395" Type="http://schemas.openxmlformats.org/officeDocument/2006/relationships/hyperlink" Target="https://www.sec.gov/Archives/edgar/data/1526520/000156459018002664/trip-ex1010_284.htm" TargetMode="External"/><Relationship Id="rId396" Type="http://schemas.openxmlformats.org/officeDocument/2006/relationships/hyperlink" Target="https://www.sec.gov/Archives/edgar/data/1526520/000119312517198515/d411542dex101.htm" TargetMode="External"/><Relationship Id="rId397" Type="http://schemas.openxmlformats.org/officeDocument/2006/relationships/hyperlink" Target="https://www.sec.gov/Archives/edgar/data/1526520/000156459018002664/trip-ex1012_285.htm" TargetMode="External"/><Relationship Id="rId398" Type="http://schemas.openxmlformats.org/officeDocument/2006/relationships/hyperlink" Target="https://www.sec.gov/Archives/edgar/data/1526520/000156459018002664/trip-ex1013_289.htm" TargetMode="External"/><Relationship Id="rId399" Type="http://schemas.openxmlformats.org/officeDocument/2006/relationships/hyperlink" Target="https://www.sec.gov/Archives/edgar/data/1526520/000156459018002664/trip-ex1014_290.htm" TargetMode="External"/><Relationship Id="rId400" Type="http://schemas.openxmlformats.org/officeDocument/2006/relationships/hyperlink" Target="https://www.sec.gov/Archives/edgar/data/1526520/000156459018002664/trip-ex1015_291.htm" TargetMode="External"/><Relationship Id="rId401" Type="http://schemas.openxmlformats.org/officeDocument/2006/relationships/hyperlink" Target="https://www.sec.gov/Archives/edgar/data/1526520/000119312514340478/d756838dex991.htm" TargetMode="External"/><Relationship Id="rId402" Type="http://schemas.openxmlformats.org/officeDocument/2006/relationships/hyperlink" Target="https://www.sec.gov/Archives/edgar/data/1526520/000119312515241292/d947932dex101.htm" TargetMode="External"/><Relationship Id="rId410" Type="http://schemas.openxmlformats.org/officeDocument/2006/relationships/hyperlink" Target="https://www.sec.gov/Archives/edgar/data/1526520/000119312517170835/d393402dex101.htm" TargetMode="External"/><Relationship Id="rId411" Type="http://schemas.openxmlformats.org/officeDocument/2006/relationships/hyperlink" Target="https://www.sec.gov/Archives/edgar/data/1526520/000156459020022868/trip-ex101_159.htm" TargetMode="External"/><Relationship Id="rId412" Type="http://schemas.openxmlformats.org/officeDocument/2006/relationships/hyperlink" Target="https://www.sec.gov/Archives/edgar/data/1526520/000156459020058044/trip-ex101_30.htm" TargetMode="External"/><Relationship Id="rId425" Type="http://schemas.openxmlformats.org/officeDocument/2006/relationships/hyperlink" Target="https://www.sec.gov/Archives/edgar/data/1526520/000119312515340346/d10829dex101.htm" TargetMode="External"/><Relationship Id="rId426" Type="http://schemas.openxmlformats.org/officeDocument/2006/relationships/hyperlink" Target="https://www.sec.gov/Archives/edgar/data/1526520/000156459018002664/trip-ex1021_288.htm" TargetMode="External"/><Relationship Id="rId427" Type="http://schemas.openxmlformats.org/officeDocument/2006/relationships/hyperlink" Target="https://www.sec.gov/Archives/edgar/data/1526520/000156459020023544/trip-ex109_212.htm" TargetMode="External"/><Relationship Id="rId428" Type="http://schemas.openxmlformats.org/officeDocument/2006/relationships/hyperlink" Target="https://www.sec.gov/Archives/edgar/data/1526520/000156459017016506/trip-ex104_676.htm" TargetMode="External"/><Relationship Id="rId429" Type="http://schemas.openxmlformats.org/officeDocument/2006/relationships/hyperlink" Target="https://www.sec.gov/Archives/edgar/data/1526520/000156459018002664/trip-ex1023_287.htm" TargetMode="External"/><Relationship Id="rId430" Type="http://schemas.openxmlformats.org/officeDocument/2006/relationships/hyperlink" Target="https://www.sec.gov/Archives/edgar/data/1526520/000156459021024945/trip-ex102_94.htm" TargetMode="External"/><Relationship Id="rId431" Type="http://schemas.openxmlformats.org/officeDocument/2006/relationships/hyperlink" Target="https://www.sec.gov/Archives/edgar/data/1526520/000156459021024945/trip-ex103_95.htm" TargetMode="External"/><Relationship Id="rId432" Type="http://schemas.openxmlformats.org/officeDocument/2006/relationships/hyperlink" Target="https://www.sec.gov/Archives/edgar/data/1526520/000156459021024945/trip-ex104_92.htm" TargetMode="External"/><Relationship Id="rId433" Type="http://schemas.openxmlformats.org/officeDocument/2006/relationships/hyperlink" Target="https://www.sec.gov/Archives/edgar/data/1526520/000156459021024945/trip-ex105_93.htm" TargetMode="External"/><Relationship Id="rId434" Type="http://schemas.openxmlformats.org/officeDocument/2006/relationships/hyperlink" Target="https://www.sec.gov/Archives/edgar/data/1526520/000156459021024945/trip-ex106_90.htm" TargetMode="External"/><Relationship Id="rId435" Type="http://schemas.openxmlformats.org/officeDocument/2006/relationships/hyperlink" Target="https://www.sec.gov/Archives/edgar/data/1526520/000156459018018438/trip-ex102_182.htm" TargetMode="External"/><Relationship Id="rId436" Type="http://schemas.openxmlformats.org/officeDocument/2006/relationships/hyperlink" Target="https://www.sec.gov/Archives/edgar/data/1526520/000156459019040994/trip-ex101_96.htm" TargetMode="External"/><Relationship Id="rId437" Type="http://schemas.openxmlformats.org/officeDocument/2006/relationships/hyperlink" Target="https://www.sec.gov/Archives/edgar/data/1526520/000156459021041583/trip-ex101_88.htm" TargetMode="External"/><Relationship Id="rId438" Type="http://schemas.openxmlformats.org/officeDocument/2006/relationships/hyperlink" Target="https://www.sec.gov/Archives/edgar/data/1526520/000156459021015566/trip-ex101_18.htm" TargetMode="External"/><Relationship Id="rId439" Type="http://schemas.openxmlformats.org/officeDocument/2006/relationships/hyperlink" Target="https://www.sec.gov/Archives/edgar/data/1526520/000095017022007387/trip-ex10_1.htm" TargetMode="External"/><Relationship Id="rId440" Type="http://schemas.openxmlformats.org/officeDocument/2006/relationships/hyperlink" Target="https://www.sec.gov/Archives/edgar/data/1526520/000095017022007387/trip-ex10_2.htm" TargetMode="External"/><Relationship Id="rId442" Type="http://schemas.openxmlformats.org/officeDocument/2006/relationships/hyperlink" Target="https://www.sec.gov/Archives/edgar/data/1526520/000095017022007372/trip-ex10_1.htm" TargetMode="External"/><Relationship Id="rId443" Type="http://schemas.openxmlformats.org/officeDocument/2006/relationships/hyperlink" Target="https://www.sec.gov/Archives/edgar/data/1526520/000095017022007372/trip-ex10_2.htm" TargetMode="External"/><Relationship Id="rId444" Type="http://schemas.openxmlformats.org/officeDocument/2006/relationships/hyperlink" Target="https://www.sec.gov/Archives/edgar/data/1526520/000119312522260671/d412345dex101.htm" TargetMode="External"/><Relationship Id="rId445" Type="http://schemas.openxmlformats.org/officeDocument/2006/relationships/hyperlink" Target="https://www.sec.gov/Archives/edgar/data/1526520/000119312522260671/d41234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2023-02-17T15:19:04Z</dcterms:created>
  <dcterms:modified xsi:type="dcterms:W3CDTF">2023-02-17T15:19:04Z</dcterms:modified>
</cp:coreProperties>
</file>