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001-35362</w:t>
      </w:r>
    </w:p>
    <w:p>
      <w:pPr>
        <w:spacing w:after="0" w:line="225"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80-0743202</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360" w:space="720"/>
            <w:col w:w="2580"/>
          </w:cols>
          <w:pgMar w:left="320" w:top="715"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1st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Needham, MA 02494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 (Zip Code)</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715" w:right="339" w:bottom="1440" w:gutter="0" w:footer="0" w:header="0"/>
          <w:type w:val="continuous"/>
        </w:sectPr>
      </w:pP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0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040" w:type="dxa"/>
            <w:vAlign w:val="bottom"/>
          </w:tcPr>
          <w:p>
            <w:pPr>
              <w:spacing w:after="0"/>
              <w:rPr>
                <w:sz w:val="24"/>
                <w:szCs w:val="24"/>
                <w:color w:val="auto"/>
              </w:rPr>
            </w:pPr>
          </w:p>
        </w:tc>
      </w:t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TRIP</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r>
        <w:rPr>
          <w:rFonts w:ascii="Arial" w:cs="Arial" w:eastAsia="Arial" w:hAnsi="Arial"/>
          <w:sz w:val="16"/>
          <w:szCs w:val="16"/>
          <w:b w:val="1"/>
          <w:bCs w:val="1"/>
          <w:color w:val="212529"/>
        </w:rPr>
        <w:t>.</w:t>
      </w:r>
    </w:p>
    <w:p>
      <w:pPr>
        <w:spacing w:after="0" w:line="29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annual meeting of stockholders of Tripadvisor, Inc., a Delaware corporation (the “Company”), was held on June 9, 2020 (the “Annual Meeting”). According to the inspector of elections, the stockholders present by proxy represented 97,718,111 shares of common stock (generally entitled to one vote per share) and 12,799,999 shares of Class B common stock (generally entitled to ten votes per share). The number of votes cast for, against or withheld, as well as the number of abstentions and broker non-votes with respect to each proposal voted upon at the Annual Meeting are set forth below.</w:t>
      </w:r>
    </w:p>
    <w:p>
      <w:pPr>
        <w:spacing w:after="0" w:line="103"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b w:val="1"/>
          <w:bCs w:val="1"/>
          <w:i w:val="1"/>
          <w:iCs w:val="1"/>
          <w:color w:val="auto"/>
        </w:rPr>
        <w:t>Proposal 1</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Election of Directors. </w:t>
      </w:r>
      <w:r>
        <w:rPr>
          <w:rFonts w:ascii="Arial" w:cs="Arial" w:eastAsia="Arial" w:hAnsi="Arial"/>
          <w:sz w:val="17"/>
          <w:szCs w:val="17"/>
          <w:color w:val="auto"/>
        </w:rPr>
        <w:t>The stockholders voted on the election of nine directors of the Company, six of whom were elected by 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common stock and Class B common stock voting together as a single class (“Combined Stock Nominees”), and three of whom were elected by holders of common stock only (“Common Stock Nominees”), each to serve for a one-year term from the date of his or her election and until such director’s successor is elected or until such director’s earlier resignation or removal. Stockholders voted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4"/>
          </w:tcPr>
          <w:p>
            <w:pPr>
              <w:spacing w:after="0"/>
              <w:rPr>
                <w:sz w:val="20"/>
                <w:szCs w:val="20"/>
                <w:color w:val="auto"/>
              </w:rPr>
            </w:pPr>
            <w:r>
              <w:rPr>
                <w:rFonts w:ascii="Arial" w:cs="Arial" w:eastAsia="Arial" w:hAnsi="Arial"/>
                <w:sz w:val="18"/>
                <w:szCs w:val="18"/>
                <w:b w:val="1"/>
                <w:bCs w:val="1"/>
                <w:color w:val="auto"/>
              </w:rPr>
              <w:t>Nominee</w:t>
            </w:r>
          </w:p>
        </w:tc>
        <w:tc>
          <w:tcPr>
            <w:tcW w:w="2880" w:type="dxa"/>
            <w:vAlign w:val="bottom"/>
            <w:gridSpan w:val="3"/>
          </w:tcPr>
          <w:p>
            <w:pPr>
              <w:ind w:left="1340"/>
              <w:spacing w:after="0"/>
              <w:rPr>
                <w:sz w:val="20"/>
                <w:szCs w:val="20"/>
                <w:color w:val="auto"/>
              </w:rPr>
            </w:pPr>
            <w:r>
              <w:rPr>
                <w:rFonts w:ascii="Arial" w:cs="Arial" w:eastAsia="Arial" w:hAnsi="Arial"/>
                <w:sz w:val="18"/>
                <w:szCs w:val="18"/>
                <w:b w:val="1"/>
                <w:bCs w:val="1"/>
                <w:color w:val="auto"/>
              </w:rPr>
              <w:t>FOR</w:t>
            </w:r>
          </w:p>
        </w:tc>
        <w:tc>
          <w:tcPr>
            <w:tcW w:w="2980" w:type="dxa"/>
            <w:vAlign w:val="bottom"/>
            <w:gridSpan w:val="3"/>
          </w:tcPr>
          <w:p>
            <w:pPr>
              <w:ind w:left="900"/>
              <w:spacing w:after="0"/>
              <w:rPr>
                <w:sz w:val="20"/>
                <w:szCs w:val="20"/>
                <w:color w:val="auto"/>
              </w:rPr>
            </w:pPr>
            <w:r>
              <w:rPr>
                <w:rFonts w:ascii="Arial" w:cs="Arial" w:eastAsia="Arial" w:hAnsi="Arial"/>
                <w:sz w:val="18"/>
                <w:szCs w:val="18"/>
                <w:b w:val="1"/>
                <w:bCs w:val="1"/>
                <w:color w:val="auto"/>
              </w:rPr>
              <w:t>WITHHELD</w:t>
            </w:r>
          </w:p>
        </w:tc>
        <w:tc>
          <w:tcPr>
            <w:tcW w:w="2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3100" w:type="dxa"/>
            <w:vAlign w:val="bottom"/>
            <w:gridSpan w:val="4"/>
          </w:tcPr>
          <w:p>
            <w:pPr>
              <w:spacing w:after="0"/>
              <w:rPr>
                <w:sz w:val="20"/>
                <w:szCs w:val="20"/>
                <w:color w:val="auto"/>
              </w:rPr>
            </w:pPr>
            <w:r>
              <w:rPr>
                <w:rFonts w:ascii="Arial" w:cs="Arial" w:eastAsia="Arial" w:hAnsi="Arial"/>
                <w:sz w:val="18"/>
                <w:szCs w:val="18"/>
                <w:color w:val="auto"/>
              </w:rPr>
              <w:t>Combined Stock Nominees</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
        </w:trPr>
        <w:tc>
          <w:tcPr>
            <w:tcW w:w="6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514"/>
        </w:trPr>
        <w:tc>
          <w:tcPr>
            <w:tcW w:w="3100" w:type="dxa"/>
            <w:vAlign w:val="bottom"/>
            <w:gridSpan w:val="4"/>
          </w:tcPr>
          <w:p>
            <w:pPr>
              <w:spacing w:after="0"/>
              <w:rPr>
                <w:sz w:val="20"/>
                <w:szCs w:val="20"/>
                <w:color w:val="auto"/>
              </w:rPr>
            </w:pPr>
            <w:r>
              <w:rPr>
                <w:rFonts w:ascii="Arial" w:cs="Arial" w:eastAsia="Arial" w:hAnsi="Arial"/>
                <w:sz w:val="18"/>
                <w:szCs w:val="18"/>
                <w:color w:val="auto"/>
              </w:rPr>
              <w:t>Gregory B. Maffei</w:t>
            </w:r>
          </w:p>
        </w:tc>
        <w:tc>
          <w:tcPr>
            <w:tcW w:w="28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175,797,633</w:t>
            </w:r>
          </w:p>
        </w:tc>
        <w:tc>
          <w:tcPr>
            <w:tcW w:w="192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w w:val="90"/>
              </w:rPr>
              <w:t>42,290,334</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r>
        <w:trPr>
          <w:trHeight w:val="520"/>
        </w:trPr>
        <w:tc>
          <w:tcPr>
            <w:tcW w:w="3100" w:type="dxa"/>
            <w:vAlign w:val="bottom"/>
            <w:gridSpan w:val="4"/>
          </w:tcPr>
          <w:p>
            <w:pPr>
              <w:spacing w:after="0"/>
              <w:rPr>
                <w:sz w:val="20"/>
                <w:szCs w:val="20"/>
                <w:color w:val="auto"/>
              </w:rPr>
            </w:pPr>
            <w:r>
              <w:rPr>
                <w:rFonts w:ascii="Arial" w:cs="Arial" w:eastAsia="Arial" w:hAnsi="Arial"/>
                <w:sz w:val="18"/>
                <w:szCs w:val="18"/>
                <w:color w:val="auto"/>
              </w:rPr>
              <w:t>Stephen Kaufer</w:t>
            </w:r>
          </w:p>
        </w:tc>
        <w:tc>
          <w:tcPr>
            <w:tcW w:w="28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198,225,844</w:t>
            </w:r>
          </w:p>
        </w:tc>
        <w:tc>
          <w:tcPr>
            <w:tcW w:w="192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w w:val="90"/>
              </w:rPr>
              <w:t>19,862,123</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r>
        <w:trPr>
          <w:trHeight w:val="520"/>
        </w:trPr>
        <w:tc>
          <w:tcPr>
            <w:tcW w:w="3100" w:type="dxa"/>
            <w:vAlign w:val="bottom"/>
            <w:gridSpan w:val="4"/>
          </w:tcPr>
          <w:p>
            <w:pPr>
              <w:spacing w:after="0"/>
              <w:rPr>
                <w:sz w:val="20"/>
                <w:szCs w:val="20"/>
                <w:color w:val="auto"/>
              </w:rPr>
            </w:pPr>
            <w:r>
              <w:rPr>
                <w:rFonts w:ascii="Arial" w:cs="Arial" w:eastAsia="Arial" w:hAnsi="Arial"/>
                <w:sz w:val="18"/>
                <w:szCs w:val="18"/>
                <w:color w:val="auto"/>
              </w:rPr>
              <w:t>Jay C. Hoag</w:t>
            </w:r>
          </w:p>
        </w:tc>
        <w:tc>
          <w:tcPr>
            <w:tcW w:w="28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174,079,814</w:t>
            </w:r>
          </w:p>
        </w:tc>
        <w:tc>
          <w:tcPr>
            <w:tcW w:w="192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w w:val="90"/>
              </w:rPr>
              <w:t>44,008,153</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r>
        <w:trPr>
          <w:trHeight w:val="520"/>
        </w:trPr>
        <w:tc>
          <w:tcPr>
            <w:tcW w:w="3100" w:type="dxa"/>
            <w:vAlign w:val="bottom"/>
            <w:gridSpan w:val="4"/>
          </w:tcPr>
          <w:p>
            <w:pPr>
              <w:spacing w:after="0"/>
              <w:rPr>
                <w:sz w:val="20"/>
                <w:szCs w:val="20"/>
                <w:color w:val="auto"/>
              </w:rPr>
            </w:pPr>
            <w:r>
              <w:rPr>
                <w:rFonts w:ascii="Arial" w:cs="Arial" w:eastAsia="Arial" w:hAnsi="Arial"/>
                <w:sz w:val="18"/>
                <w:szCs w:val="18"/>
                <w:color w:val="auto"/>
              </w:rPr>
              <w:t>Betsy L. Morgan</w:t>
            </w:r>
          </w:p>
        </w:tc>
        <w:tc>
          <w:tcPr>
            <w:tcW w:w="28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194,803,946</w:t>
            </w:r>
          </w:p>
        </w:tc>
        <w:tc>
          <w:tcPr>
            <w:tcW w:w="192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w w:val="90"/>
              </w:rPr>
              <w:t>23,284,021</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r>
        <w:trPr>
          <w:trHeight w:val="520"/>
        </w:trPr>
        <w:tc>
          <w:tcPr>
            <w:tcW w:w="3100" w:type="dxa"/>
            <w:vAlign w:val="bottom"/>
            <w:gridSpan w:val="4"/>
          </w:tcPr>
          <w:p>
            <w:pPr>
              <w:spacing w:after="0"/>
              <w:rPr>
                <w:sz w:val="20"/>
                <w:szCs w:val="20"/>
                <w:color w:val="auto"/>
              </w:rPr>
            </w:pPr>
            <w:r>
              <w:rPr>
                <w:rFonts w:ascii="Arial" w:cs="Arial" w:eastAsia="Arial" w:hAnsi="Arial"/>
                <w:sz w:val="18"/>
                <w:szCs w:val="18"/>
                <w:color w:val="auto"/>
              </w:rPr>
              <w:t>M. Greg O’Hara</w:t>
            </w:r>
          </w:p>
        </w:tc>
        <w:tc>
          <w:tcPr>
            <w:tcW w:w="28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193,804,336</w:t>
            </w:r>
          </w:p>
        </w:tc>
        <w:tc>
          <w:tcPr>
            <w:tcW w:w="192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w w:val="90"/>
              </w:rPr>
              <w:t>24,283,631</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r>
        <w:trPr>
          <w:trHeight w:val="534"/>
        </w:trPr>
        <w:tc>
          <w:tcPr>
            <w:tcW w:w="3100" w:type="dxa"/>
            <w:vAlign w:val="bottom"/>
            <w:gridSpan w:val="4"/>
          </w:tcPr>
          <w:p>
            <w:pPr>
              <w:spacing w:after="0"/>
              <w:rPr>
                <w:sz w:val="20"/>
                <w:szCs w:val="20"/>
                <w:color w:val="auto"/>
              </w:rPr>
            </w:pPr>
            <w:r>
              <w:rPr>
                <w:rFonts w:ascii="Arial" w:cs="Arial" w:eastAsia="Arial" w:hAnsi="Arial"/>
                <w:sz w:val="18"/>
                <w:szCs w:val="18"/>
                <w:color w:val="auto"/>
              </w:rPr>
              <w:t>Albert Rosenthaler</w:t>
            </w:r>
          </w:p>
        </w:tc>
        <w:tc>
          <w:tcPr>
            <w:tcW w:w="28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191,646,682</w:t>
            </w:r>
          </w:p>
        </w:tc>
        <w:tc>
          <w:tcPr>
            <w:tcW w:w="192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w w:val="90"/>
              </w:rPr>
              <w:t>26,441,285</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r>
        <w:trPr>
          <w:trHeight w:val="513"/>
        </w:trPr>
        <w:tc>
          <w:tcPr>
            <w:tcW w:w="3100" w:type="dxa"/>
            <w:vAlign w:val="bottom"/>
            <w:gridSpan w:val="4"/>
          </w:tcPr>
          <w:p>
            <w:pPr>
              <w:spacing w:after="0"/>
              <w:rPr>
                <w:sz w:val="20"/>
                <w:szCs w:val="20"/>
                <w:color w:val="auto"/>
              </w:rPr>
            </w:pPr>
            <w:r>
              <w:rPr>
                <w:rFonts w:ascii="Arial" w:cs="Arial" w:eastAsia="Arial" w:hAnsi="Arial"/>
                <w:sz w:val="18"/>
                <w:szCs w:val="18"/>
                <w:color w:val="auto"/>
              </w:rPr>
              <w:t>Common Stock Nominees</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
        </w:trPr>
        <w:tc>
          <w:tcPr>
            <w:tcW w:w="6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540"/>
        </w:trPr>
        <w:tc>
          <w:tcPr>
            <w:tcW w:w="3100" w:type="dxa"/>
            <w:vAlign w:val="bottom"/>
            <w:gridSpan w:val="4"/>
          </w:tcPr>
          <w:p>
            <w:pPr>
              <w:spacing w:after="0"/>
              <w:rPr>
                <w:sz w:val="20"/>
                <w:szCs w:val="20"/>
                <w:color w:val="auto"/>
              </w:rPr>
            </w:pPr>
            <w:r>
              <w:rPr>
                <w:rFonts w:ascii="Arial" w:cs="Arial" w:eastAsia="Arial" w:hAnsi="Arial"/>
                <w:sz w:val="18"/>
                <w:szCs w:val="18"/>
                <w:color w:val="auto"/>
              </w:rPr>
              <w:t>Trynka Shineman Blake</w:t>
            </w:r>
          </w:p>
        </w:tc>
        <w:tc>
          <w:tcPr>
            <w:tcW w:w="288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8"/>
              </w:rPr>
              <w:t>88,498,026</w:t>
            </w:r>
          </w:p>
        </w:tc>
        <w:tc>
          <w:tcPr>
            <w:tcW w:w="1920" w:type="dxa"/>
            <w:vAlign w:val="bottom"/>
            <w:tcBorders>
              <w:bottom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89"/>
              </w:rPr>
              <w:t>1,589,951</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r>
        <w:trPr>
          <w:trHeight w:val="547"/>
        </w:trPr>
        <w:tc>
          <w:tcPr>
            <w:tcW w:w="3100" w:type="dxa"/>
            <w:vAlign w:val="bottom"/>
            <w:gridSpan w:val="4"/>
          </w:tcPr>
          <w:p>
            <w:pPr>
              <w:spacing w:after="0"/>
              <w:rPr>
                <w:sz w:val="20"/>
                <w:szCs w:val="20"/>
                <w:color w:val="auto"/>
              </w:rPr>
            </w:pPr>
            <w:r>
              <w:rPr>
                <w:rFonts w:ascii="Arial" w:cs="Arial" w:eastAsia="Arial" w:hAnsi="Arial"/>
                <w:sz w:val="18"/>
                <w:szCs w:val="18"/>
                <w:color w:val="auto"/>
              </w:rPr>
              <w:t>Jeremy Philips</w:t>
            </w:r>
          </w:p>
        </w:tc>
        <w:tc>
          <w:tcPr>
            <w:tcW w:w="288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8"/>
              </w:rPr>
              <w:t>88,424,390</w:t>
            </w:r>
          </w:p>
        </w:tc>
        <w:tc>
          <w:tcPr>
            <w:tcW w:w="1920" w:type="dxa"/>
            <w:vAlign w:val="bottom"/>
            <w:tcBorders>
              <w:bottom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89"/>
              </w:rPr>
              <w:t>1,663,587</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r>
        <w:trPr>
          <w:trHeight w:val="574"/>
        </w:trPr>
        <w:tc>
          <w:tcPr>
            <w:tcW w:w="3100" w:type="dxa"/>
            <w:vAlign w:val="bottom"/>
            <w:gridSpan w:val="4"/>
          </w:tcPr>
          <w:p>
            <w:pPr>
              <w:spacing w:after="0"/>
              <w:rPr>
                <w:sz w:val="20"/>
                <w:szCs w:val="20"/>
                <w:color w:val="auto"/>
              </w:rPr>
            </w:pPr>
            <w:r>
              <w:rPr>
                <w:rFonts w:ascii="Arial" w:cs="Arial" w:eastAsia="Arial" w:hAnsi="Arial"/>
                <w:sz w:val="18"/>
                <w:szCs w:val="18"/>
                <w:color w:val="auto"/>
              </w:rPr>
              <w:t>Robert S. Wiesenthal</w:t>
            </w:r>
          </w:p>
        </w:tc>
        <w:tc>
          <w:tcPr>
            <w:tcW w:w="288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8"/>
              </w:rPr>
              <w:t>88,420,762</w:t>
            </w:r>
          </w:p>
        </w:tc>
        <w:tc>
          <w:tcPr>
            <w:tcW w:w="1920" w:type="dxa"/>
            <w:vAlign w:val="bottom"/>
            <w:tcBorders>
              <w:bottom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89"/>
              </w:rPr>
              <w:t>1,667,215</w:t>
            </w: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7,630,134</w:t>
            </w:r>
          </w:p>
        </w:tc>
        <w:tc>
          <w:tcPr>
            <w:tcW w:w="34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Accordingly, the foregoing nominees were elected to the Company’s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 w:name="page3"/>
    <w:bookmarkEnd w:id="2"/>
    <w:p>
      <w:pPr>
        <w:jc w:val="both"/>
        <w:ind w:right="20" w:firstLine="510"/>
        <w:spacing w:after="0" w:line="277" w:lineRule="auto"/>
        <w:rPr>
          <w:sz w:val="20"/>
          <w:szCs w:val="20"/>
          <w:color w:val="auto"/>
        </w:rPr>
      </w:pPr>
      <w:r>
        <w:rPr>
          <w:rFonts w:ascii="Arial" w:cs="Arial" w:eastAsia="Arial" w:hAnsi="Arial"/>
          <w:sz w:val="18"/>
          <w:szCs w:val="18"/>
          <w:color w:val="auto"/>
        </w:rPr>
        <w:t>The Company’s Board of Directors previously determined that, upon each director’s election to the Board of Directors at the Annual Meeting, the composition of each of the committees of the Board of Directors would be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rPr>
              <w:t>Audit</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Compensation</w:t>
            </w: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Section 16</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98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Committee</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Committee</w:t>
            </w: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Committee</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Committee</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3980" w:type="dxa"/>
            <w:vAlign w:val="bottom"/>
          </w:tcPr>
          <w:p>
            <w:pPr>
              <w:spacing w:after="0" w:line="189" w:lineRule="exact"/>
              <w:rPr>
                <w:sz w:val="20"/>
                <w:szCs w:val="20"/>
                <w:color w:val="auto"/>
              </w:rPr>
            </w:pPr>
            <w:r>
              <w:rPr>
                <w:rFonts w:ascii="Arial" w:cs="Arial" w:eastAsia="Arial" w:hAnsi="Arial"/>
                <w:sz w:val="18"/>
                <w:szCs w:val="18"/>
                <w:color w:val="auto"/>
              </w:rPr>
              <w:t>Gregory B. Maffei</w:t>
            </w:r>
          </w:p>
        </w:tc>
        <w:tc>
          <w:tcPr>
            <w:tcW w:w="4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X</w:t>
            </w:r>
          </w:p>
        </w:tc>
        <w:tc>
          <w:tcPr>
            <w:tcW w:w="4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Trynka Shineman Blake*</w:t>
            </w:r>
          </w:p>
        </w:tc>
        <w:tc>
          <w:tcPr>
            <w:tcW w:w="4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rPr>
              <w:t>X</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Jay C. Hoag*</w:t>
            </w:r>
          </w:p>
        </w:tc>
        <w:tc>
          <w:tcPr>
            <w:tcW w:w="4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Chair</w:t>
            </w: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Chair</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Stephen Kaufer</w:t>
            </w:r>
          </w:p>
        </w:tc>
        <w:tc>
          <w:tcPr>
            <w:tcW w:w="4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Betsy L. Morgan*</w:t>
            </w:r>
          </w:p>
        </w:tc>
        <w:tc>
          <w:tcPr>
            <w:tcW w:w="4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X</w:t>
            </w: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X</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Jeremy Philips*</w:t>
            </w:r>
          </w:p>
        </w:tc>
        <w:tc>
          <w:tcPr>
            <w:tcW w:w="4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rPr>
              <w:t>X</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 Greg O’Hara</w:t>
            </w:r>
          </w:p>
        </w:tc>
        <w:tc>
          <w:tcPr>
            <w:tcW w:w="4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Albert Rosenthaler</w:t>
            </w:r>
          </w:p>
        </w:tc>
        <w:tc>
          <w:tcPr>
            <w:tcW w:w="4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Robert S. Wiesenthal*</w:t>
            </w:r>
          </w:p>
        </w:tc>
        <w:tc>
          <w:tcPr>
            <w:tcW w:w="4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Chair</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  Independent director</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Ratification of Appointment of Independent Registered Public Accounting Firm. </w:t>
      </w:r>
      <w:r>
        <w:rPr>
          <w:rFonts w:ascii="Arial" w:cs="Arial" w:eastAsia="Arial" w:hAnsi="Arial"/>
          <w:sz w:val="18"/>
          <w:szCs w:val="18"/>
          <w:color w:val="auto"/>
        </w:rPr>
        <w:t>The stockholders voted on the ratification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appointment of KPMG LLP as the Company’s independent registered public accounting firm for the year ending December 31, 2020. The stockholders voted as follows:</w:t>
      </w:r>
    </w:p>
    <w:p>
      <w:pPr>
        <w:spacing w:after="0" w:line="200" w:lineRule="exact"/>
        <w:rPr>
          <w:sz w:val="20"/>
          <w:szCs w:val="20"/>
          <w:color w:val="auto"/>
        </w:rPr>
      </w:pPr>
    </w:p>
    <w:p>
      <w:pPr>
        <w:spacing w:after="0" w:line="26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238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For</w:t>
            </w:r>
          </w:p>
        </w:tc>
        <w:tc>
          <w:tcPr>
            <w:tcW w:w="2260" w:type="dxa"/>
            <w:vAlign w:val="bottom"/>
            <w:gridSpan w:val="2"/>
          </w:tcPr>
          <w:p>
            <w:pPr>
              <w:ind w:left="680"/>
              <w:spacing w:after="0"/>
              <w:rPr>
                <w:sz w:val="20"/>
                <w:szCs w:val="20"/>
                <w:color w:val="auto"/>
              </w:rPr>
            </w:pPr>
            <w:r>
              <w:rPr>
                <w:rFonts w:ascii="Arial" w:cs="Arial" w:eastAsia="Arial" w:hAnsi="Arial"/>
                <w:sz w:val="18"/>
                <w:szCs w:val="18"/>
                <w:b w:val="1"/>
                <w:bCs w:val="1"/>
                <w:color w:val="auto"/>
              </w:rPr>
              <w:t>Against</w:t>
            </w:r>
          </w:p>
        </w:tc>
        <w:tc>
          <w:tcPr>
            <w:tcW w:w="2320" w:type="dxa"/>
            <w:vAlign w:val="bottom"/>
            <w:gridSpan w:val="2"/>
          </w:tcPr>
          <w:p>
            <w:pPr>
              <w:ind w:left="700"/>
              <w:spacing w:after="0"/>
              <w:rPr>
                <w:sz w:val="20"/>
                <w:szCs w:val="20"/>
                <w:color w:val="auto"/>
              </w:rPr>
            </w:pPr>
            <w:r>
              <w:rPr>
                <w:rFonts w:ascii="Arial" w:cs="Arial" w:eastAsia="Arial" w:hAnsi="Arial"/>
                <w:sz w:val="18"/>
                <w:szCs w:val="18"/>
                <w:b w:val="1"/>
                <w:bCs w:val="1"/>
                <w:color w:val="auto"/>
              </w:rPr>
              <w:t>Abstain</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6"/>
              </w:rPr>
              <w:t>Non-Votes</w:t>
            </w:r>
          </w:p>
        </w:tc>
      </w:tr>
      <w:tr>
        <w:trPr>
          <w:trHeight w:val="224"/>
        </w:trPr>
        <w:tc>
          <w:tcPr>
            <w:tcW w:w="22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225,170,525</w:t>
            </w:r>
          </w:p>
        </w:tc>
        <w:tc>
          <w:tcPr>
            <w:tcW w:w="100" w:type="dxa"/>
            <w:vAlign w:val="bottom"/>
          </w:tcPr>
          <w:p>
            <w:pPr>
              <w:spacing w:after="0"/>
              <w:rPr>
                <w:sz w:val="19"/>
                <w:szCs w:val="19"/>
                <w:color w:val="auto"/>
              </w:rPr>
            </w:pPr>
          </w:p>
        </w:tc>
        <w:tc>
          <w:tcPr>
            <w:tcW w:w="19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325,735</w:t>
            </w:r>
          </w:p>
        </w:tc>
        <w:tc>
          <w:tcPr>
            <w:tcW w:w="300" w:type="dxa"/>
            <w:vAlign w:val="bottom"/>
          </w:tcPr>
          <w:p>
            <w:pPr>
              <w:spacing w:after="0"/>
              <w:rPr>
                <w:sz w:val="19"/>
                <w:szCs w:val="19"/>
                <w:color w:val="auto"/>
              </w:rPr>
            </w:pPr>
          </w:p>
        </w:tc>
        <w:tc>
          <w:tcPr>
            <w:tcW w:w="20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221,841</w:t>
            </w:r>
          </w:p>
        </w:tc>
        <w:tc>
          <w:tcPr>
            <w:tcW w:w="3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bl>
    <w:p>
      <w:pPr>
        <w:spacing w:after="0" w:line="3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Accordingly, the appointment of independent registered public accounting firm was ratified.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TRIPADVISOR, INC.</w:t>
      </w:r>
    </w:p>
    <w:p>
      <w:pPr>
        <w:spacing w:after="0" w:line="256" w:lineRule="exact"/>
        <w:rPr>
          <w:sz w:val="20"/>
          <w:szCs w:val="20"/>
          <w:color w:val="auto"/>
        </w:rPr>
      </w:pPr>
    </w:p>
    <w:p>
      <w:pPr>
        <w:spacing w:after="0"/>
        <w:tabs>
          <w:tab w:leader="none" w:pos="5720" w:val="left"/>
          <w:tab w:leader="none" w:pos="7760" w:val="left"/>
        </w:tabs>
        <w:rPr>
          <w:sz w:val="20"/>
          <w:szCs w:val="20"/>
          <w:color w:val="auto"/>
        </w:rPr>
      </w:pPr>
      <w:r>
        <w:rPr>
          <w:rFonts w:ascii="Arial" w:cs="Arial" w:eastAsia="Arial" w:hAnsi="Arial"/>
          <w:sz w:val="18"/>
          <w:szCs w:val="18"/>
          <w:color w:val="auto"/>
        </w:rPr>
        <w:t>Date: June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Seth J. Kalvert</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sectPr>
      <w:pgSz w:w="11900" w:h="16838" w:orient="portrait"/>
      <w:cols w:equalWidth="0" w:num="1">
        <w:col w:w="10800"/>
      </w:cols>
      <w:pgMar w:left="320" w:top="33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2020-06-15T16:12:20Z</dcterms:created>
  <dcterms:modified xsi:type="dcterms:W3CDTF">2020-06-15T16:12:20Z</dcterms:modified>
</cp:coreProperties>
</file>