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120" w:type="dxa"/>
        <w:tblCellMar>
          <w:top w:w="0" w:type="dxa"/>
          <w:left w:w="0" w:type="dxa"/>
          <w:bottom w:w="0" w:type="dxa"/>
          <w:right w:w="0" w:type="dxa"/>
        </w:tblCellMar>
      </w:tblPr>
      <w:tr>
        <w:trPr>
          <w:trHeight w:val="222"/>
        </w:trPr>
        <w:tc>
          <w:tcPr>
            <w:tcW w:w="2060" w:type="dxa"/>
            <w:vAlign w:val="bottom"/>
          </w:tcPr>
          <w:p>
            <w:pPr>
              <w:jc w:val="center"/>
              <w:ind w:right="405"/>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gridSpan w:val="2"/>
          </w:tcPr>
          <w:p>
            <w:pPr>
              <w:jc w:val="center"/>
              <w:ind w:left="1339"/>
              <w:spacing w:after="0"/>
              <w:rPr>
                <w:sz w:val="20"/>
                <w:szCs w:val="20"/>
                <w:color w:val="auto"/>
              </w:rPr>
            </w:pPr>
            <w:r>
              <w:rPr>
                <w:rFonts w:ascii="Arial" w:cs="Arial" w:eastAsia="Arial" w:hAnsi="Arial"/>
                <w:sz w:val="18"/>
                <w:szCs w:val="18"/>
                <w:b w:val="1"/>
                <w:bCs w:val="1"/>
                <w:color w:val="auto"/>
                <w:w w:val="90"/>
              </w:rPr>
              <w:t>001-35362</w:t>
            </w:r>
          </w:p>
        </w:tc>
        <w:tc>
          <w:tcPr>
            <w:tcW w:w="1520" w:type="dxa"/>
            <w:vAlign w:val="bottom"/>
          </w:tcPr>
          <w:p>
            <w:pPr>
              <w:spacing w:after="0"/>
              <w:rPr>
                <w:sz w:val="19"/>
                <w:szCs w:val="19"/>
                <w:color w:val="auto"/>
              </w:rPr>
            </w:pPr>
          </w:p>
        </w:tc>
        <w:tc>
          <w:tcPr>
            <w:tcW w:w="1680" w:type="dxa"/>
            <w:vAlign w:val="bottom"/>
          </w:tcPr>
          <w:p>
            <w:pPr>
              <w:jc w:val="center"/>
              <w:ind w:left="525"/>
              <w:spacing w:after="0"/>
              <w:rPr>
                <w:sz w:val="20"/>
                <w:szCs w:val="20"/>
                <w:color w:val="auto"/>
              </w:rPr>
            </w:pPr>
            <w:r>
              <w:rPr>
                <w:rFonts w:ascii="Arial" w:cs="Arial" w:eastAsia="Arial" w:hAnsi="Arial"/>
                <w:sz w:val="18"/>
                <w:szCs w:val="18"/>
                <w:b w:val="1"/>
                <w:bCs w:val="1"/>
                <w:color w:val="auto"/>
                <w:w w:val="91"/>
              </w:rPr>
              <w:t>80-0743202</w:t>
            </w:r>
          </w:p>
        </w:tc>
      </w:tr>
      <w:tr>
        <w:trPr>
          <w:trHeight w:val="149"/>
        </w:trPr>
        <w:tc>
          <w:tcPr>
            <w:tcW w:w="206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1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tcPr>
          <w:p>
            <w:pPr>
              <w:jc w:val="center"/>
              <w:ind w:left="52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60" w:type="dxa"/>
            <w:vAlign w:val="bottom"/>
          </w:tcPr>
          <w:p>
            <w:pPr>
              <w:jc w:val="center"/>
              <w:ind w:right="385"/>
              <w:spacing w:after="0"/>
              <w:rPr>
                <w:sz w:val="20"/>
                <w:szCs w:val="20"/>
                <w:color w:val="auto"/>
              </w:rPr>
            </w:pPr>
            <w:r>
              <w:rPr>
                <w:rFonts w:ascii="Arial" w:cs="Arial" w:eastAsia="Arial" w:hAnsi="Arial"/>
                <w:sz w:val="14"/>
                <w:szCs w:val="14"/>
                <w:b w:val="1"/>
                <w:bCs w:val="1"/>
                <w:color w:val="auto"/>
                <w:w w:val="89"/>
              </w:rPr>
              <w:t>of Incorporation)</w:t>
            </w:r>
          </w:p>
        </w:tc>
        <w:tc>
          <w:tcPr>
            <w:tcW w:w="1400" w:type="dxa"/>
            <w:vAlign w:val="bottom"/>
          </w:tcPr>
          <w:p>
            <w:pPr>
              <w:spacing w:after="0"/>
              <w:rPr>
                <w:sz w:val="15"/>
                <w:szCs w:val="15"/>
                <w:color w:val="auto"/>
              </w:rPr>
            </w:pPr>
          </w:p>
        </w:tc>
        <w:tc>
          <w:tcPr>
            <w:tcW w:w="380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7"/>
              </w:rPr>
              <w:t>(Commission File Number)</w:t>
            </w:r>
          </w:p>
        </w:tc>
        <w:tc>
          <w:tcPr>
            <w:tcW w:w="1680" w:type="dxa"/>
            <w:vAlign w:val="bottom"/>
          </w:tcPr>
          <w:p>
            <w:pPr>
              <w:jc w:val="center"/>
              <w:ind w:left="545"/>
              <w:spacing w:after="0"/>
              <w:rPr>
                <w:sz w:val="20"/>
                <w:szCs w:val="20"/>
                <w:color w:val="auto"/>
              </w:rPr>
            </w:pPr>
            <w:r>
              <w:rPr>
                <w:rFonts w:ascii="Arial" w:cs="Arial" w:eastAsia="Arial" w:hAnsi="Arial"/>
                <w:sz w:val="14"/>
                <w:szCs w:val="14"/>
                <w:b w:val="1"/>
                <w:bCs w:val="1"/>
                <w:color w:val="auto"/>
                <w:w w:val="89"/>
              </w:rPr>
              <w:t>Identification No.)</w:t>
            </w:r>
          </w:p>
        </w:tc>
      </w:tr>
      <w:tr>
        <w:trPr>
          <w:trHeight w:val="387"/>
        </w:trPr>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8"/>
              </w:rPr>
              <w:t>400 1</w:t>
            </w:r>
            <w:r>
              <w:rPr>
                <w:rFonts w:ascii="Arial" w:cs="Arial" w:eastAsia="Arial" w:hAnsi="Arial"/>
                <w:sz w:val="11"/>
                <w:szCs w:val="11"/>
                <w:b w:val="1"/>
                <w:bCs w:val="1"/>
                <w:color w:val="auto"/>
                <w:w w:val="88"/>
              </w:rPr>
              <w:t>st</w:t>
            </w:r>
            <w:r>
              <w:rPr>
                <w:rFonts w:ascii="Arial" w:cs="Arial" w:eastAsia="Arial" w:hAnsi="Arial"/>
                <w:sz w:val="18"/>
                <w:szCs w:val="18"/>
                <w:b w:val="1"/>
                <w:bCs w:val="1"/>
                <w:color w:val="auto"/>
                <w:w w:val="88"/>
              </w:rPr>
              <w:t xml:space="preserve"> Avenue</w:t>
            </w:r>
          </w:p>
        </w:tc>
        <w:tc>
          <w:tcPr>
            <w:tcW w:w="168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3"/>
              </w:rPr>
              <w:t>Needham, MA 02494</w:t>
            </w:r>
          </w:p>
        </w:tc>
        <w:tc>
          <w:tcPr>
            <w:tcW w:w="1680" w:type="dxa"/>
            <w:vAlign w:val="bottom"/>
          </w:tcPr>
          <w:p>
            <w:pPr>
              <w:spacing w:after="0"/>
              <w:rPr>
                <w:sz w:val="20"/>
                <w:szCs w:val="20"/>
                <w:color w:val="auto"/>
              </w:rPr>
            </w:pPr>
          </w:p>
        </w:tc>
      </w:tr>
      <w:tr>
        <w:trPr>
          <w:trHeight w:val="202"/>
        </w:trPr>
        <w:tc>
          <w:tcPr>
            <w:tcW w:w="2060" w:type="dxa"/>
            <w:vAlign w:val="bottom"/>
          </w:tcPr>
          <w:p>
            <w:pPr>
              <w:spacing w:after="0"/>
              <w:rPr>
                <w:sz w:val="17"/>
                <w:szCs w:val="17"/>
                <w:color w:val="auto"/>
              </w:rPr>
            </w:pPr>
          </w:p>
        </w:tc>
        <w:tc>
          <w:tcPr>
            <w:tcW w:w="5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(Address of Principal Executive Offices) (Zip Code)</w:t>
            </w:r>
          </w:p>
        </w:tc>
        <w:tc>
          <w:tcPr>
            <w:tcW w:w="1680" w:type="dxa"/>
            <w:vAlign w:val="bottom"/>
          </w:tcPr>
          <w:p>
            <w:pPr>
              <w:spacing w:after="0"/>
              <w:rPr>
                <w:sz w:val="17"/>
                <w:szCs w:val="17"/>
                <w:color w:val="auto"/>
              </w:rPr>
            </w:pPr>
          </w:p>
        </w:tc>
      </w:tr>
      <w:tr>
        <w:trPr>
          <w:trHeight w:val="392"/>
        </w:trPr>
        <w:tc>
          <w:tcPr>
            <w:tcW w:w="2060" w:type="dxa"/>
            <w:vAlign w:val="bottom"/>
          </w:tcPr>
          <w:p>
            <w:pPr>
              <w:spacing w:after="0"/>
              <w:rPr>
                <w:sz w:val="24"/>
                <w:szCs w:val="24"/>
                <w:color w:val="auto"/>
              </w:rPr>
            </w:pPr>
          </w:p>
        </w:tc>
        <w:tc>
          <w:tcPr>
            <w:tcW w:w="3680" w:type="dxa"/>
            <w:vAlign w:val="bottom"/>
            <w:gridSpan w:val="2"/>
          </w:tcPr>
          <w:p>
            <w:pPr>
              <w:jc w:val="center"/>
              <w:ind w:left="1319"/>
              <w:spacing w:after="0"/>
              <w:rPr>
                <w:sz w:val="20"/>
                <w:szCs w:val="20"/>
                <w:color w:val="auto"/>
              </w:rPr>
            </w:pPr>
            <w:r>
              <w:rPr>
                <w:rFonts w:ascii="Arial" w:cs="Arial" w:eastAsia="Arial" w:hAnsi="Arial"/>
                <w:sz w:val="18"/>
                <w:szCs w:val="18"/>
                <w:b w:val="1"/>
                <w:bCs w:val="1"/>
                <w:color w:val="auto"/>
                <w:w w:val="90"/>
              </w:rPr>
              <w:t>(781) 800-5000</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2060" w:type="dxa"/>
            <w:vAlign w:val="bottom"/>
          </w:tcPr>
          <w:p>
            <w:pPr>
              <w:spacing w:after="0"/>
              <w:rPr>
                <w:sz w:val="24"/>
                <w:szCs w:val="24"/>
                <w:color w:val="auto"/>
              </w:rPr>
            </w:pPr>
          </w:p>
        </w:tc>
        <w:tc>
          <w:tcPr>
            <w:tcW w:w="5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680" w:type="dxa"/>
            <w:vAlign w:val="bottom"/>
          </w:tcPr>
          <w:p>
            <w:pPr>
              <w:spacing w:after="0"/>
              <w:rPr>
                <w:sz w:val="24"/>
                <w:szCs w:val="24"/>
                <w:color w:val="auto"/>
              </w:rPr>
            </w:pPr>
          </w:p>
        </w:tc>
      </w:tr>
      <w:tr>
        <w:trPr>
          <w:trHeight w:val="365"/>
        </w:trPr>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2"/>
              </w:rPr>
              <w:t>Not Applicable</w:t>
            </w:r>
          </w:p>
        </w:tc>
        <w:tc>
          <w:tcPr>
            <w:tcW w:w="1680" w:type="dxa"/>
            <w:vAlign w:val="bottom"/>
          </w:tcPr>
          <w:p>
            <w:pPr>
              <w:spacing w:after="0"/>
              <w:rPr>
                <w:sz w:val="24"/>
                <w:szCs w:val="24"/>
                <w:color w:val="auto"/>
              </w:rPr>
            </w:pPr>
          </w:p>
        </w:tc>
      </w:tr>
      <w:tr>
        <w:trPr>
          <w:trHeight w:val="174"/>
        </w:trPr>
        <w:tc>
          <w:tcPr>
            <w:tcW w:w="2060" w:type="dxa"/>
            <w:vAlign w:val="bottom"/>
          </w:tcPr>
          <w:p>
            <w:pPr>
              <w:spacing w:after="0"/>
              <w:rPr>
                <w:sz w:val="15"/>
                <w:szCs w:val="15"/>
                <w:color w:val="auto"/>
              </w:rPr>
            </w:pPr>
          </w:p>
        </w:tc>
        <w:tc>
          <w:tcPr>
            <w:tcW w:w="5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680" w:type="dxa"/>
            <w:vAlign w:val="bottom"/>
          </w:tcPr>
          <w:p>
            <w:pPr>
              <w:spacing w:after="0"/>
              <w:rPr>
                <w:sz w:val="15"/>
                <w:szCs w:val="15"/>
                <w:color w:val="auto"/>
              </w:rPr>
            </w:pPr>
          </w:p>
        </w:tc>
      </w:tr>
      <w:tr>
        <w:trPr>
          <w:trHeight w:val="82"/>
        </w:trPr>
        <w:tc>
          <w:tcPr>
            <w:tcW w:w="20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680" w:type="dxa"/>
            <w:vAlign w:val="bottom"/>
          </w:tcPr>
          <w:p>
            <w:pPr>
              <w:spacing w:after="0"/>
              <w:rPr>
                <w:sz w:val="7"/>
                <w:szCs w:val="7"/>
                <w:color w:val="auto"/>
              </w:rPr>
            </w:pPr>
          </w:p>
        </w:tc>
      </w:tr>
    </w:tbl>
    <w:p>
      <w:pPr>
        <w:spacing w:after="0" w:line="14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tcBorders>
              <w:top w:val="single" w:sz="8" w:color="auto"/>
            </w:tcBorders>
          </w:tcPr>
          <w:p>
            <w:pPr>
              <w:ind w:left="16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TRIP</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w:t>
            </w:r>
          </w:p>
        </w:tc>
        <w:tc>
          <w:tcPr>
            <w:tcW w:w="0" w:type="dxa"/>
            <w:vAlign w:val="bottom"/>
          </w:tcPr>
          <w:p>
            <w:pPr>
              <w:spacing w:after="0"/>
              <w:rPr>
                <w:sz w:val="1"/>
                <w:szCs w:val="1"/>
                <w:color w:val="auto"/>
              </w:rPr>
            </w:pPr>
          </w:p>
        </w:tc>
      </w:tr>
    </w:tbl>
    <w:p>
      <w:pPr>
        <w:spacing w:after="0" w:line="13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541020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337" w:lineRule="exact"/>
        <w:rPr>
          <w:sz w:val="20"/>
          <w:szCs w:val="20"/>
          <w:color w:val="auto"/>
        </w:rPr>
      </w:pPr>
    </w:p>
    <w:p>
      <w:pPr>
        <w:ind w:right="240" w:firstLine="761"/>
        <w:spacing w:after="0" w:line="291" w:lineRule="auto"/>
        <w:rPr>
          <w:sz w:val="20"/>
          <w:szCs w:val="20"/>
          <w:color w:val="auto"/>
        </w:rPr>
      </w:pPr>
      <w:r>
        <w:rPr>
          <w:rFonts w:ascii="Arial" w:cs="Arial" w:eastAsia="Arial" w:hAnsi="Arial"/>
          <w:sz w:val="16"/>
          <w:szCs w:val="16"/>
          <w:color w:val="auto"/>
        </w:rPr>
        <w:t>On November 6, 2019, TripAdvisor, Inc. (“TripAdvisor”) entered into a Governance Agreement (the “Governance Agreement”) by and between TripAdvisor and Trip.com Group Limited, formerly known as Ctrip.com International, Ltd. (“Trip.com Group”). Pursuant to the Governance Agreement, Trip.com Group will have a nomination right for one TripAdvisor board seat commencing upon approval of the transaction by The Committee on Foreign Investment in the United States (“CFIUS”). To maintain the board nomination right, Trip.com Group must acquire an equity stake in TripAdvisor in an amount representing approximately 5% of TripAdvisor’s issued and outstanding shares of common stock, which shares are expected to be acquired by Trip.com Group in open market transactions by the first anniversary of the CFIUS approval of the arrangement. The Governance Agreement provides customary representations and covenants for a transaction of this nature. Trip.com Group will also be subject to certain transfer and standstill restrictions.</w:t>
      </w:r>
    </w:p>
    <w:p>
      <w:pPr>
        <w:spacing w:after="0" w:line="59"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The above description of the Governance Agreement is not complete and is qualified in its entirety by reference to the full text of such agreement, a copy of which is attached as Exhibit 10.1 to this Current Report on Form 8-K and is incorporated by reference herein.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November 6, 2019, TripAdvisor, Inc. issued a press release announcing its preliminary financial results for the three and nine months ended September 30, 2019. TripAdvisor, Inc. also posted prepared remarks from Stephen Kaufer, President and Chief Executive Officer, and Ernst Teunissen, Chief Financial Officer, on the “Investor Relations” section of its website at http://ir.tripadvisor.com/events-and-presentations. The full text of this press release and the prepared remarks are furnished as Exhibits 99.1 and 99.2 to this Current Report on Form 8-K.</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761"/>
        <w:spacing w:after="0" w:line="279" w:lineRule="auto"/>
        <w:rPr>
          <w:sz w:val="20"/>
          <w:szCs w:val="20"/>
          <w:color w:val="auto"/>
        </w:rPr>
      </w:pPr>
      <w:r>
        <w:rPr>
          <w:rFonts w:ascii="Arial" w:cs="Arial" w:eastAsia="Arial" w:hAnsi="Arial"/>
          <w:sz w:val="17"/>
          <w:szCs w:val="17"/>
          <w:color w:val="auto"/>
        </w:rPr>
        <w:t>On November 6, 2019, TripAdvisor issued a press release announcing its strategic partnership with Trip.com Group. The partnership consists of a joint venture under the TripAdvisor China brand, global content agreements providing for the distribution of TripAdvisor content on the Trip.com Group brands, and a governance arrangement pursuant to which Trip.com Group will have a nomination right for one TripAdvisor board seat commencing upon CFIUS approval. The full text of this press release is furnished as Exhibit 99.3 to this Current Report on Form 8-K.</w:t>
      </w:r>
    </w:p>
    <w:p>
      <w:pPr>
        <w:spacing w:after="0" w:line="6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Pursuant to General Instruction B.2. to Form 8-K, the information set forth in Items 2.02 and 7.01 and Exhibits 99.1, 99.2, and 99.3 shall not be deemed “filed” for purposes of Section 18 of the Securities Exchange Act of 1934, as amended (the “Exchange Act”), or otherwise subject to the liabilities of that section, nor shall they be incorporated by reference in any filing under the Securities Act of 1933, as amended (the “Securities Act”), or the Exchange Act, except as expressly set forth by specific reference in such a filing.</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15240</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2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Governance Agreement, dated as of November 6, 2019, by and between TripAdvisor, Inc. and Trip.com Group Limited.</w:t>
        </w:r>
      </w:hyperlink>
    </w:p>
    <w:p>
      <w:pPr>
        <w:spacing w:after="0" w:line="144"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7">
        <w:r>
          <w:rPr>
            <w:rFonts w:ascii="Arial" w:cs="Arial" w:eastAsia="Arial" w:hAnsi="Arial"/>
            <w:sz w:val="16"/>
            <w:szCs w:val="16"/>
            <w:u w:val="single" w:color="auto"/>
            <w:color w:val="0000EE"/>
          </w:rPr>
          <w:t>Press Release of TripAdvisor, Inc. dated November 6, 2019 regarding earnings release.</w:t>
        </w:r>
      </w:hyperlink>
    </w:p>
    <w:p>
      <w:pPr>
        <w:spacing w:after="0" w:line="144"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50">
        <w:r>
          <w:rPr>
            <w:rFonts w:ascii="Arial" w:cs="Arial" w:eastAsia="Arial" w:hAnsi="Arial"/>
            <w:sz w:val="16"/>
            <w:szCs w:val="16"/>
            <w:u w:val="single" w:color="auto"/>
            <w:color w:val="0000EE"/>
          </w:rPr>
          <w:t>Prepared remarks by TripAdvisor, Inc.’s management dated November 6, 2019.</w:t>
        </w:r>
      </w:hyperlink>
    </w:p>
    <w:p>
      <w:pPr>
        <w:spacing w:after="0" w:line="144"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57">
        <w:r>
          <w:rPr>
            <w:rFonts w:ascii="Arial" w:cs="Arial" w:eastAsia="Arial" w:hAnsi="Arial"/>
            <w:sz w:val="16"/>
            <w:szCs w:val="16"/>
            <w:u w:val="single" w:color="auto"/>
            <w:color w:val="0000EE"/>
          </w:rPr>
          <w:t>Press Release of TripAdvisor, Inc. dated November 6, 2019 regarding strategic partnership.</w:t>
        </w:r>
      </w:hyperlink>
    </w:p>
    <w:p>
      <w:pPr>
        <w:spacing w:after="0" w:line="144" w:lineRule="exact"/>
        <w:rPr>
          <w:sz w:val="20"/>
          <w:szCs w:val="20"/>
          <w:color w:val="auto"/>
        </w:rPr>
      </w:pPr>
    </w:p>
    <w:p>
      <w:pPr>
        <w:ind w:left="5660" w:right="4900" w:hanging="5652"/>
        <w:spacing w:after="0" w:line="669" w:lineRule="auto"/>
        <w:tabs>
          <w:tab w:leader="none" w:pos="688"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TRIPADVISOR, INC.</w:t>
      </w:r>
    </w:p>
    <w:p>
      <w:pPr>
        <w:spacing w:after="0" w:line="256" w:lineRule="exact"/>
        <w:rPr>
          <w:sz w:val="20"/>
          <w:szCs w:val="20"/>
          <w:color w:val="auto"/>
        </w:rPr>
      </w:pPr>
    </w:p>
    <w:p>
      <w:pPr>
        <w:spacing w:after="0"/>
        <w:tabs>
          <w:tab w:leader="none" w:pos="5800" w:val="left"/>
          <w:tab w:leader="none" w:pos="786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Ernst Teunissen</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240" w:top="337"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GOVERNANCE AGREEMENT</w:t>
      </w:r>
    </w:p>
    <w:p>
      <w:pPr>
        <w:spacing w:after="0" w:line="364"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Dated as of November 6, 2019</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and between</w:t>
      </w:r>
    </w:p>
    <w:p>
      <w:pPr>
        <w:spacing w:after="0" w:line="351"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TRIPADVISOR, INC.</w:t>
      </w:r>
    </w:p>
    <w:p>
      <w:pPr>
        <w:spacing w:after="0" w:line="364"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and</w:t>
      </w:r>
    </w:p>
    <w:p>
      <w:pPr>
        <w:spacing w:after="0" w:line="36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TRIP.COM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233680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250825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1310005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0"/>
        </w:trPr>
        <w:tc>
          <w:tcPr>
            <w:tcW w:w="1580" w:type="dxa"/>
            <w:vAlign w:val="bottom"/>
          </w:tcPr>
          <w:p>
            <w:pPr>
              <w:spacing w:after="0"/>
              <w:rPr>
                <w:sz w:val="21"/>
                <w:szCs w:val="21"/>
                <w:color w:val="auto"/>
              </w:rPr>
            </w:pPr>
          </w:p>
        </w:tc>
        <w:tc>
          <w:tcPr>
            <w:tcW w:w="9240" w:type="dxa"/>
            <w:vAlign w:val="bottom"/>
          </w:tcPr>
          <w:p>
            <w:pPr>
              <w:jc w:val="center"/>
              <w:ind w:right="852"/>
              <w:spacing w:after="0"/>
              <w:rPr>
                <w:sz w:val="20"/>
                <w:szCs w:val="20"/>
                <w:color w:val="auto"/>
              </w:rPr>
            </w:pPr>
            <w:r>
              <w:rPr>
                <w:rFonts w:ascii="Arial" w:cs="Arial" w:eastAsia="Arial" w:hAnsi="Arial"/>
                <w:sz w:val="20"/>
                <w:szCs w:val="20"/>
                <w:color w:val="auto"/>
                <w:w w:val="94"/>
              </w:rPr>
              <w:t>TABLE OF CONTENTS</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55"/>
        </w:trPr>
        <w:tc>
          <w:tcPr>
            <w:tcW w:w="158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22"/>
                <w:szCs w:val="22"/>
                <w:color w:val="auto"/>
                <w:w w:val="93"/>
              </w:rPr>
              <w:t>Page</w:t>
            </w:r>
          </w:p>
        </w:tc>
      </w:tr>
      <w:tr>
        <w:trPr>
          <w:trHeight w:val="463"/>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96"/>
              </w:rPr>
              <w:t>ARTICLE I</w:t>
            </w: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95"/>
              </w:rPr>
              <w:t>Definitions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color w:val="auto"/>
              </w:rPr>
              <w:t>Section 1.01</w:t>
            </w:r>
          </w:p>
        </w:tc>
        <w:tc>
          <w:tcPr>
            <w:tcW w:w="9240" w:type="dxa"/>
            <w:vAlign w:val="bottom"/>
          </w:tcPr>
          <w:p>
            <w:pPr>
              <w:ind w:left="480"/>
              <w:spacing w:after="0"/>
              <w:rPr>
                <w:sz w:val="20"/>
                <w:szCs w:val="20"/>
                <w:color w:val="auto"/>
              </w:rPr>
            </w:pPr>
            <w:r>
              <w:rPr>
                <w:rFonts w:ascii="Arial" w:cs="Arial" w:eastAsia="Arial" w:hAnsi="Arial"/>
                <w:sz w:val="22"/>
                <w:szCs w:val="22"/>
                <w:color w:val="auto"/>
              </w:rPr>
              <w:t>Definitions</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1</w:t>
            </w: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98"/>
              </w:rPr>
              <w:t>ARTICLE II</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87"/>
              </w:rPr>
              <w:t>Representations and Warranties of the Company</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1580" w:type="dxa"/>
            <w:vAlign w:val="bottom"/>
          </w:tcPr>
          <w:p>
            <w:pPr>
              <w:spacing w:after="0"/>
              <w:rPr>
                <w:sz w:val="20"/>
                <w:szCs w:val="20"/>
                <w:color w:val="auto"/>
              </w:rPr>
            </w:pPr>
            <w:r>
              <w:rPr>
                <w:rFonts w:ascii="Arial" w:cs="Arial" w:eastAsia="Arial" w:hAnsi="Arial"/>
                <w:sz w:val="22"/>
                <w:szCs w:val="22"/>
                <w:color w:val="auto"/>
              </w:rPr>
              <w:t>Section 2.01</w:t>
            </w:r>
          </w:p>
        </w:tc>
        <w:tc>
          <w:tcPr>
            <w:tcW w:w="9240" w:type="dxa"/>
            <w:vAlign w:val="bottom"/>
          </w:tcPr>
          <w:p>
            <w:pPr>
              <w:ind w:left="480"/>
              <w:spacing w:after="0"/>
              <w:rPr>
                <w:sz w:val="20"/>
                <w:szCs w:val="20"/>
                <w:color w:val="auto"/>
              </w:rPr>
            </w:pPr>
            <w:r>
              <w:rPr>
                <w:rFonts w:ascii="Arial" w:cs="Arial" w:eastAsia="Arial" w:hAnsi="Arial"/>
                <w:sz w:val="22"/>
                <w:szCs w:val="22"/>
                <w:color w:val="auto"/>
              </w:rPr>
              <w:t>Organization; Standing</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8</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2.02</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Authority; Noncontravention</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rPr>
              <w:t>Section 2.03</w:t>
            </w:r>
          </w:p>
        </w:tc>
        <w:tc>
          <w:tcPr>
            <w:tcW w:w="9240" w:type="dxa"/>
            <w:vAlign w:val="bottom"/>
          </w:tcPr>
          <w:p>
            <w:pPr>
              <w:ind w:left="480"/>
              <w:spacing w:after="0"/>
              <w:rPr>
                <w:sz w:val="20"/>
                <w:szCs w:val="20"/>
                <w:color w:val="auto"/>
              </w:rPr>
            </w:pPr>
            <w:r>
              <w:rPr>
                <w:rFonts w:ascii="Arial" w:cs="Arial" w:eastAsia="Arial" w:hAnsi="Arial"/>
                <w:sz w:val="22"/>
                <w:szCs w:val="22"/>
                <w:color w:val="auto"/>
              </w:rPr>
              <w:t>Governmental Approvals</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8</w:t>
            </w: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rPr>
              <w:t>ARTICLE III</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52"/>
              <w:spacing w:after="0"/>
              <w:rPr>
                <w:sz w:val="20"/>
                <w:szCs w:val="20"/>
                <w:color w:val="auto"/>
              </w:rPr>
            </w:pPr>
            <w:r>
              <w:rPr>
                <w:rFonts w:ascii="Arial" w:cs="Arial" w:eastAsia="Arial" w:hAnsi="Arial"/>
                <w:sz w:val="22"/>
                <w:szCs w:val="22"/>
                <w:color w:val="auto"/>
                <w:w w:val="87"/>
              </w:rPr>
              <w:t>Representations and Warranties of the Investor</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1580" w:type="dxa"/>
            <w:vAlign w:val="bottom"/>
          </w:tcPr>
          <w:p>
            <w:pPr>
              <w:spacing w:after="0"/>
              <w:rPr>
                <w:sz w:val="20"/>
                <w:szCs w:val="20"/>
                <w:color w:val="auto"/>
              </w:rPr>
            </w:pPr>
            <w:r>
              <w:rPr>
                <w:rFonts w:ascii="Arial" w:cs="Arial" w:eastAsia="Arial" w:hAnsi="Arial"/>
                <w:sz w:val="22"/>
                <w:szCs w:val="22"/>
                <w:color w:val="auto"/>
              </w:rPr>
              <w:t>Section 3.01</w:t>
            </w:r>
          </w:p>
        </w:tc>
        <w:tc>
          <w:tcPr>
            <w:tcW w:w="9240" w:type="dxa"/>
            <w:vAlign w:val="bottom"/>
          </w:tcPr>
          <w:p>
            <w:pPr>
              <w:ind w:left="480"/>
              <w:spacing w:after="0"/>
              <w:rPr>
                <w:sz w:val="20"/>
                <w:szCs w:val="20"/>
                <w:color w:val="auto"/>
              </w:rPr>
            </w:pPr>
            <w:r>
              <w:rPr>
                <w:rFonts w:ascii="Arial" w:cs="Arial" w:eastAsia="Arial" w:hAnsi="Arial"/>
                <w:sz w:val="22"/>
                <w:szCs w:val="22"/>
                <w:color w:val="auto"/>
              </w:rPr>
              <w:t>Organization; Standing</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9</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3.02</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Authority; Noncontravention</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rPr>
              <w:t>Section 3.03</w:t>
            </w:r>
          </w:p>
        </w:tc>
        <w:tc>
          <w:tcPr>
            <w:tcW w:w="9240" w:type="dxa"/>
            <w:vAlign w:val="bottom"/>
          </w:tcPr>
          <w:p>
            <w:pPr>
              <w:ind w:left="480"/>
              <w:spacing w:after="0"/>
              <w:rPr>
                <w:sz w:val="20"/>
                <w:szCs w:val="20"/>
                <w:color w:val="auto"/>
              </w:rPr>
            </w:pPr>
            <w:r>
              <w:rPr>
                <w:rFonts w:ascii="Arial" w:cs="Arial" w:eastAsia="Arial" w:hAnsi="Arial"/>
                <w:sz w:val="22"/>
                <w:szCs w:val="22"/>
                <w:color w:val="auto"/>
              </w:rPr>
              <w:t>Governmental Approvals</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9</w:t>
            </w: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98"/>
              </w:rPr>
              <w:t>ARTICLE IV</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91"/>
              </w:rPr>
              <w:t>Additional Agreements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1580" w:type="dxa"/>
            <w:vAlign w:val="bottom"/>
          </w:tcPr>
          <w:p>
            <w:pPr>
              <w:spacing w:after="0"/>
              <w:rPr>
                <w:sz w:val="20"/>
                <w:szCs w:val="20"/>
                <w:color w:val="auto"/>
              </w:rPr>
            </w:pPr>
            <w:r>
              <w:rPr>
                <w:rFonts w:ascii="Arial" w:cs="Arial" w:eastAsia="Arial" w:hAnsi="Arial"/>
                <w:sz w:val="22"/>
                <w:szCs w:val="22"/>
                <w:color w:val="auto"/>
              </w:rPr>
              <w:t>Section 4.01</w:t>
            </w:r>
          </w:p>
        </w:tc>
        <w:tc>
          <w:tcPr>
            <w:tcW w:w="9240" w:type="dxa"/>
            <w:vAlign w:val="bottom"/>
          </w:tcPr>
          <w:p>
            <w:pPr>
              <w:ind w:left="480"/>
              <w:spacing w:after="0"/>
              <w:rPr>
                <w:sz w:val="20"/>
                <w:szCs w:val="20"/>
                <w:color w:val="auto"/>
              </w:rPr>
            </w:pPr>
            <w:r>
              <w:rPr>
                <w:rFonts w:ascii="Arial" w:cs="Arial" w:eastAsia="Arial" w:hAnsi="Arial"/>
                <w:sz w:val="22"/>
                <w:szCs w:val="22"/>
                <w:color w:val="auto"/>
              </w:rPr>
              <w:t>HSR; CFIUS.</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10</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4.02</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Public Disclosure</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11</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4.03</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Information and Access</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12</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4.04</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Investor Information</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13</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4.05</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Standstill</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13</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4.06</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Transfer Restrictions</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15</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4.07</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Nomination of Directors</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16</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4.08</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Voting</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20</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rPr>
              <w:t>Section 4.09</w:t>
            </w:r>
          </w:p>
        </w:tc>
        <w:tc>
          <w:tcPr>
            <w:tcW w:w="9240" w:type="dxa"/>
            <w:vAlign w:val="bottom"/>
          </w:tcPr>
          <w:p>
            <w:pPr>
              <w:ind w:left="480"/>
              <w:spacing w:after="0"/>
              <w:rPr>
                <w:sz w:val="20"/>
                <w:szCs w:val="20"/>
                <w:color w:val="auto"/>
              </w:rPr>
            </w:pPr>
            <w:r>
              <w:rPr>
                <w:rFonts w:ascii="Arial" w:cs="Arial" w:eastAsia="Arial" w:hAnsi="Arial"/>
                <w:sz w:val="22"/>
                <w:szCs w:val="22"/>
                <w:color w:val="auto"/>
              </w:rPr>
              <w:t>Confidentiality</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20</w:t>
            </w: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96"/>
              </w:rPr>
              <w:t>ARTICLE V</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80" w:type="dxa"/>
            <w:vAlign w:val="bottom"/>
          </w:tcPr>
          <w:p>
            <w:pPr>
              <w:spacing w:after="0"/>
              <w:rPr>
                <w:sz w:val="24"/>
                <w:szCs w:val="24"/>
                <w:color w:val="auto"/>
              </w:rPr>
            </w:pPr>
          </w:p>
        </w:tc>
        <w:tc>
          <w:tcPr>
            <w:tcW w:w="9240" w:type="dxa"/>
            <w:vAlign w:val="bottom"/>
          </w:tcPr>
          <w:p>
            <w:pPr>
              <w:jc w:val="center"/>
              <w:ind w:right="872"/>
              <w:spacing w:after="0"/>
              <w:rPr>
                <w:sz w:val="20"/>
                <w:szCs w:val="20"/>
                <w:color w:val="auto"/>
              </w:rPr>
            </w:pPr>
            <w:r>
              <w:rPr>
                <w:rFonts w:ascii="Arial" w:cs="Arial" w:eastAsia="Arial" w:hAnsi="Arial"/>
                <w:sz w:val="22"/>
                <w:szCs w:val="22"/>
                <w:color w:val="auto"/>
                <w:w w:val="90"/>
              </w:rPr>
              <w:t>Miscellaneous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1580" w:type="dxa"/>
            <w:vAlign w:val="bottom"/>
          </w:tcPr>
          <w:p>
            <w:pPr>
              <w:spacing w:after="0"/>
              <w:rPr>
                <w:sz w:val="20"/>
                <w:szCs w:val="20"/>
                <w:color w:val="auto"/>
              </w:rPr>
            </w:pPr>
            <w:r>
              <w:rPr>
                <w:rFonts w:ascii="Arial" w:cs="Arial" w:eastAsia="Arial" w:hAnsi="Arial"/>
                <w:sz w:val="22"/>
                <w:szCs w:val="22"/>
                <w:color w:val="auto"/>
              </w:rPr>
              <w:t>Section 5.01</w:t>
            </w:r>
          </w:p>
        </w:tc>
        <w:tc>
          <w:tcPr>
            <w:tcW w:w="9240" w:type="dxa"/>
            <w:vAlign w:val="bottom"/>
          </w:tcPr>
          <w:p>
            <w:pPr>
              <w:ind w:left="480"/>
              <w:spacing w:after="0"/>
              <w:rPr>
                <w:sz w:val="20"/>
                <w:szCs w:val="20"/>
                <w:color w:val="auto"/>
              </w:rPr>
            </w:pPr>
            <w:r>
              <w:rPr>
                <w:rFonts w:ascii="Arial" w:cs="Arial" w:eastAsia="Arial" w:hAnsi="Arial"/>
                <w:sz w:val="22"/>
                <w:szCs w:val="22"/>
                <w:color w:val="auto"/>
              </w:rPr>
              <w:t>Notices</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21</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5.02</w:t>
            </w:r>
          </w:p>
        </w:tc>
        <w:tc>
          <w:tcPr>
            <w:tcW w:w="9240" w:type="dxa"/>
            <w:vAlign w:val="bottom"/>
          </w:tcPr>
          <w:p>
            <w:pPr>
              <w:ind w:left="480"/>
              <w:spacing w:after="0" w:line="243" w:lineRule="exact"/>
              <w:rPr>
                <w:sz w:val="20"/>
                <w:szCs w:val="20"/>
                <w:color w:val="auto"/>
              </w:rPr>
            </w:pPr>
            <w:r>
              <w:rPr>
                <w:rFonts w:ascii="Arial" w:cs="Arial" w:eastAsia="Arial" w:hAnsi="Arial"/>
                <w:sz w:val="22"/>
                <w:szCs w:val="22"/>
                <w:color w:val="auto"/>
              </w:rPr>
              <w:t>Amendments; Waivers</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22</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rPr>
              <w:t>Section 5.03</w:t>
            </w:r>
          </w:p>
        </w:tc>
        <w:tc>
          <w:tcPr>
            <w:tcW w:w="9240" w:type="dxa"/>
            <w:vAlign w:val="bottom"/>
          </w:tcPr>
          <w:p>
            <w:pPr>
              <w:ind w:left="480"/>
              <w:spacing w:after="0"/>
              <w:rPr>
                <w:sz w:val="20"/>
                <w:szCs w:val="20"/>
                <w:color w:val="auto"/>
              </w:rPr>
            </w:pPr>
            <w:r>
              <w:rPr>
                <w:rFonts w:ascii="Arial" w:cs="Arial" w:eastAsia="Arial" w:hAnsi="Arial"/>
                <w:sz w:val="22"/>
                <w:szCs w:val="22"/>
                <w:color w:val="auto"/>
              </w:rPr>
              <w:t>Counterparts and Facsimile</w:t>
            </w:r>
          </w:p>
        </w:tc>
        <w:tc>
          <w:tcPr>
            <w:tcW w:w="620" w:type="dxa"/>
            <w:vAlign w:val="bottom"/>
            <w:gridSpan w:val="2"/>
          </w:tcPr>
          <w:p>
            <w:pPr>
              <w:jc w:val="right"/>
              <w:ind w:right="20"/>
              <w:spacing w:after="0"/>
              <w:rPr>
                <w:sz w:val="20"/>
                <w:szCs w:val="20"/>
                <w:color w:val="auto"/>
              </w:rPr>
            </w:pPr>
            <w:r>
              <w:rPr>
                <w:rFonts w:ascii="Arial" w:cs="Arial" w:eastAsia="Arial" w:hAnsi="Arial"/>
                <w:sz w:val="22"/>
                <w:szCs w:val="22"/>
                <w:color w:val="auto"/>
              </w:rPr>
              <w:t>22</w:t>
            </w:r>
          </w:p>
        </w:tc>
      </w:tr>
      <w:tr>
        <w:trPr>
          <w:trHeight w:val="537"/>
        </w:trPr>
        <w:tc>
          <w:tcPr>
            <w:tcW w:w="158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Arial" w:cs="Arial" w:eastAsia="Arial" w:hAnsi="Arial"/>
                <w:sz w:val="22"/>
                <w:szCs w:val="22"/>
                <w:color w:val="auto"/>
              </w:rPr>
              <w:t>Section 5.04</w:t>
            </w:r>
          </w:p>
        </w:tc>
        <w:tc>
          <w:tcPr>
            <w:tcW w:w="8860" w:type="dxa"/>
            <w:vAlign w:val="bottom"/>
          </w:tcPr>
          <w:p>
            <w:pPr>
              <w:ind w:left="480"/>
              <w:spacing w:after="0"/>
              <w:rPr>
                <w:sz w:val="20"/>
                <w:szCs w:val="20"/>
                <w:color w:val="auto"/>
              </w:rPr>
            </w:pPr>
            <w:r>
              <w:rPr>
                <w:rFonts w:ascii="Arial" w:cs="Arial" w:eastAsia="Arial" w:hAnsi="Arial"/>
                <w:sz w:val="22"/>
                <w:szCs w:val="22"/>
                <w:color w:val="auto"/>
                <w:w w:val="99"/>
              </w:rPr>
              <w:t>Governing Law; Specific Enforcement; Submission to Jurisdiction; Waiver of Jury Trial</w:t>
            </w:r>
          </w:p>
        </w:tc>
        <w:tc>
          <w:tcPr>
            <w:tcW w:w="10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5.05</w:t>
            </w:r>
          </w:p>
        </w:tc>
        <w:tc>
          <w:tcPr>
            <w:tcW w:w="8860" w:type="dxa"/>
            <w:vAlign w:val="bottom"/>
          </w:tcPr>
          <w:p>
            <w:pPr>
              <w:ind w:left="480"/>
              <w:spacing w:after="0" w:line="243" w:lineRule="exact"/>
              <w:rPr>
                <w:sz w:val="20"/>
                <w:szCs w:val="20"/>
                <w:color w:val="auto"/>
              </w:rPr>
            </w:pPr>
            <w:r>
              <w:rPr>
                <w:rFonts w:ascii="Arial" w:cs="Arial" w:eastAsia="Arial" w:hAnsi="Arial"/>
                <w:sz w:val="22"/>
                <w:szCs w:val="22"/>
                <w:color w:val="auto"/>
              </w:rPr>
              <w:t>Interpretation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5.06</w:t>
            </w:r>
          </w:p>
        </w:tc>
        <w:tc>
          <w:tcPr>
            <w:tcW w:w="8860" w:type="dxa"/>
            <w:vAlign w:val="bottom"/>
          </w:tcPr>
          <w:p>
            <w:pPr>
              <w:ind w:left="480"/>
              <w:spacing w:after="0" w:line="243" w:lineRule="exact"/>
              <w:rPr>
                <w:sz w:val="20"/>
                <w:szCs w:val="20"/>
                <w:color w:val="auto"/>
              </w:rPr>
            </w:pPr>
            <w:r>
              <w:rPr>
                <w:rFonts w:ascii="Arial" w:cs="Arial" w:eastAsia="Arial" w:hAnsi="Arial"/>
                <w:sz w:val="22"/>
                <w:szCs w:val="22"/>
                <w:color w:val="auto"/>
              </w:rPr>
              <w:t>Severability</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5.07</w:t>
            </w:r>
          </w:p>
        </w:tc>
        <w:tc>
          <w:tcPr>
            <w:tcW w:w="8860" w:type="dxa"/>
            <w:vAlign w:val="bottom"/>
          </w:tcPr>
          <w:p>
            <w:pPr>
              <w:ind w:left="480"/>
              <w:spacing w:after="0" w:line="243" w:lineRule="exact"/>
              <w:rPr>
                <w:sz w:val="20"/>
                <w:szCs w:val="20"/>
                <w:color w:val="auto"/>
              </w:rPr>
            </w:pPr>
            <w:r>
              <w:rPr>
                <w:rFonts w:ascii="Arial" w:cs="Arial" w:eastAsia="Arial" w:hAnsi="Arial"/>
                <w:sz w:val="22"/>
                <w:szCs w:val="22"/>
                <w:color w:val="auto"/>
              </w:rPr>
              <w:t>No Third-Party Beneficiaries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5.08</w:t>
            </w:r>
          </w:p>
        </w:tc>
        <w:tc>
          <w:tcPr>
            <w:tcW w:w="8860" w:type="dxa"/>
            <w:vAlign w:val="bottom"/>
          </w:tcPr>
          <w:p>
            <w:pPr>
              <w:ind w:left="480"/>
              <w:spacing w:after="0" w:line="243" w:lineRule="exact"/>
              <w:rPr>
                <w:sz w:val="20"/>
                <w:szCs w:val="20"/>
                <w:color w:val="auto"/>
              </w:rPr>
            </w:pPr>
            <w:r>
              <w:rPr>
                <w:rFonts w:ascii="Arial" w:cs="Arial" w:eastAsia="Arial" w:hAnsi="Arial"/>
                <w:sz w:val="22"/>
                <w:szCs w:val="22"/>
                <w:color w:val="auto"/>
              </w:rPr>
              <w:t>Assignment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5.09</w:t>
            </w:r>
          </w:p>
        </w:tc>
        <w:tc>
          <w:tcPr>
            <w:tcW w:w="8860" w:type="dxa"/>
            <w:vAlign w:val="bottom"/>
          </w:tcPr>
          <w:p>
            <w:pPr>
              <w:ind w:left="480"/>
              <w:spacing w:after="0" w:line="243" w:lineRule="exact"/>
              <w:rPr>
                <w:sz w:val="20"/>
                <w:szCs w:val="20"/>
                <w:color w:val="auto"/>
              </w:rPr>
            </w:pPr>
            <w:r>
              <w:rPr>
                <w:rFonts w:ascii="Arial" w:cs="Arial" w:eastAsia="Arial" w:hAnsi="Arial"/>
                <w:sz w:val="22"/>
                <w:szCs w:val="22"/>
                <w:color w:val="auto"/>
              </w:rPr>
              <w:t>Termination</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5.10</w:t>
            </w:r>
          </w:p>
        </w:tc>
        <w:tc>
          <w:tcPr>
            <w:tcW w:w="8860" w:type="dxa"/>
            <w:vAlign w:val="bottom"/>
          </w:tcPr>
          <w:p>
            <w:pPr>
              <w:ind w:left="480"/>
              <w:spacing w:after="0" w:line="243" w:lineRule="exact"/>
              <w:rPr>
                <w:sz w:val="20"/>
                <w:szCs w:val="20"/>
                <w:color w:val="auto"/>
              </w:rPr>
            </w:pPr>
            <w:r>
              <w:rPr>
                <w:rFonts w:ascii="Arial" w:cs="Arial" w:eastAsia="Arial" w:hAnsi="Arial"/>
                <w:sz w:val="22"/>
                <w:szCs w:val="22"/>
                <w:color w:val="auto"/>
              </w:rPr>
              <w:t>Entire Agreement, etc.</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580" w:type="dxa"/>
            <w:vAlign w:val="bottom"/>
          </w:tcPr>
          <w:p>
            <w:pPr>
              <w:spacing w:after="0" w:line="243" w:lineRule="exact"/>
              <w:rPr>
                <w:sz w:val="20"/>
                <w:szCs w:val="20"/>
                <w:color w:val="auto"/>
              </w:rPr>
            </w:pPr>
            <w:r>
              <w:rPr>
                <w:rFonts w:ascii="Arial" w:cs="Arial" w:eastAsia="Arial" w:hAnsi="Arial"/>
                <w:sz w:val="22"/>
                <w:szCs w:val="22"/>
                <w:color w:val="auto"/>
              </w:rPr>
              <w:t>Section 5.11</w:t>
            </w:r>
          </w:p>
        </w:tc>
        <w:tc>
          <w:tcPr>
            <w:tcW w:w="8860" w:type="dxa"/>
            <w:vAlign w:val="bottom"/>
          </w:tcPr>
          <w:p>
            <w:pPr>
              <w:ind w:left="480"/>
              <w:spacing w:after="0" w:line="243" w:lineRule="exact"/>
              <w:rPr>
                <w:sz w:val="20"/>
                <w:szCs w:val="20"/>
                <w:color w:val="auto"/>
              </w:rPr>
            </w:pPr>
            <w:r>
              <w:rPr>
                <w:rFonts w:ascii="Arial" w:cs="Arial" w:eastAsia="Arial" w:hAnsi="Arial"/>
                <w:sz w:val="22"/>
                <w:szCs w:val="22"/>
                <w:color w:val="auto"/>
              </w:rPr>
              <w:t>Acknowledgment of Securities Laws; Taxes</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rPr>
              <w:t>Section 5.12</w:t>
            </w:r>
          </w:p>
        </w:tc>
        <w:tc>
          <w:tcPr>
            <w:tcW w:w="8860" w:type="dxa"/>
            <w:vAlign w:val="bottom"/>
          </w:tcPr>
          <w:p>
            <w:pPr>
              <w:ind w:left="480"/>
              <w:spacing w:after="0"/>
              <w:rPr>
                <w:sz w:val="20"/>
                <w:szCs w:val="20"/>
                <w:color w:val="auto"/>
              </w:rPr>
            </w:pPr>
            <w:r>
              <w:rPr>
                <w:rFonts w:ascii="Arial" w:cs="Arial" w:eastAsia="Arial" w:hAnsi="Arial"/>
                <w:sz w:val="22"/>
                <w:szCs w:val="22"/>
                <w:color w:val="auto"/>
              </w:rPr>
              <w:t>Competitor Dispute Resolution</w:t>
            </w:r>
          </w:p>
        </w:tc>
        <w:tc>
          <w:tcPr>
            <w:tcW w:w="10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1213"/>
        </w:trPr>
        <w:tc>
          <w:tcPr>
            <w:tcW w:w="158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6" w:name="page7"/>
    <w:bookmarkEnd w:id="6"/>
    <w:p>
      <w:pPr>
        <w:jc w:val="both"/>
        <w:ind w:firstLine="1902"/>
        <w:spacing w:after="0" w:line="287" w:lineRule="auto"/>
        <w:rPr>
          <w:sz w:val="20"/>
          <w:szCs w:val="20"/>
          <w:color w:val="auto"/>
        </w:rPr>
      </w:pPr>
      <w:r>
        <w:rPr>
          <w:rFonts w:ascii="Arial" w:cs="Arial" w:eastAsia="Arial" w:hAnsi="Arial"/>
          <w:sz w:val="19"/>
          <w:szCs w:val="19"/>
          <w:color w:val="auto"/>
        </w:rPr>
        <w:t>GOVERNANCE AGREEMENT, dated as of November 6, 2019 (this “</w:t>
      </w:r>
      <w:r>
        <w:rPr>
          <w:rFonts w:ascii="Arial" w:cs="Arial" w:eastAsia="Arial" w:hAnsi="Arial"/>
          <w:sz w:val="19"/>
          <w:szCs w:val="19"/>
          <w:u w:val="single" w:color="auto"/>
          <w:color w:val="auto"/>
        </w:rPr>
        <w:t>Agreement</w:t>
      </w:r>
      <w:r>
        <w:rPr>
          <w:rFonts w:ascii="Arial" w:cs="Arial" w:eastAsia="Arial" w:hAnsi="Arial"/>
          <w:sz w:val="19"/>
          <w:szCs w:val="19"/>
          <w:color w:val="auto"/>
        </w:rPr>
        <w:t>”), by and between TripAdvisor,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Trip.com Group Limited, a Cayman Islands exempted company (“</w:t>
      </w:r>
      <w:r>
        <w:rPr>
          <w:rFonts w:ascii="Arial" w:cs="Arial" w:eastAsia="Arial" w:hAnsi="Arial"/>
          <w:sz w:val="19"/>
          <w:szCs w:val="19"/>
          <w:u w:val="single" w:color="auto"/>
          <w:color w:val="auto"/>
        </w:rPr>
        <w:t>Investor</w:t>
      </w:r>
      <w:r>
        <w:rPr>
          <w:rFonts w:ascii="Arial" w:cs="Arial" w:eastAsia="Arial" w:hAnsi="Arial"/>
          <w:sz w:val="19"/>
          <w:szCs w:val="19"/>
          <w:color w:val="auto"/>
        </w:rPr>
        <w:t>”).</w:t>
      </w:r>
    </w:p>
    <w:p>
      <w:pPr>
        <w:spacing w:after="0" w:line="153" w:lineRule="exact"/>
        <w:rPr>
          <w:sz w:val="20"/>
          <w:szCs w:val="20"/>
          <w:color w:val="auto"/>
        </w:rPr>
      </w:pPr>
    </w:p>
    <w:p>
      <w:pPr>
        <w:jc w:val="both"/>
        <w:ind w:firstLine="1902"/>
        <w:spacing w:after="0" w:line="244" w:lineRule="auto"/>
        <w:rPr>
          <w:sz w:val="20"/>
          <w:szCs w:val="20"/>
          <w:color w:val="auto"/>
        </w:rPr>
      </w:pPr>
      <w:r>
        <w:rPr>
          <w:rFonts w:ascii="Arial" w:cs="Arial" w:eastAsia="Arial" w:hAnsi="Arial"/>
          <w:sz w:val="20"/>
          <w:szCs w:val="20"/>
          <w:color w:val="auto"/>
        </w:rPr>
        <w:t>WHEREAS, substantially concurrently with entering into this Agreement, the parties hereto are entering into, among other agreements, the Shareholders’ Agreement, dated as of the date hereof, among TripAdvisor Singapore Private Limited, Ctrip Investment Holding Ltd. and Chelsea Investment Holding Company Pte. Ltd. (the “</w:t>
      </w:r>
      <w:r>
        <w:rPr>
          <w:rFonts w:ascii="Arial" w:cs="Arial" w:eastAsia="Arial" w:hAnsi="Arial"/>
          <w:sz w:val="20"/>
          <w:szCs w:val="20"/>
          <w:u w:val="single" w:color="auto"/>
          <w:color w:val="auto"/>
        </w:rPr>
        <w:t>Joint Venture Agreement</w:t>
      </w:r>
      <w:r>
        <w:rPr>
          <w:rFonts w:ascii="Arial" w:cs="Arial" w:eastAsia="Arial" w:hAnsi="Arial"/>
          <w:sz w:val="20"/>
          <w:szCs w:val="20"/>
          <w:color w:val="auto"/>
        </w:rPr>
        <w:t>”) and the Mainland China Content Licensing Agreement, dated as of the date hereof, between TripAdvisor Singapore Private Limited and Chelsea Investment Holding Company Pte. Ltd. (the “</w:t>
      </w:r>
      <w:r>
        <w:rPr>
          <w:rFonts w:ascii="Arial" w:cs="Arial" w:eastAsia="Arial" w:hAnsi="Arial"/>
          <w:sz w:val="20"/>
          <w:szCs w:val="20"/>
          <w:u w:val="single" w:color="auto"/>
          <w:color w:val="auto"/>
        </w:rPr>
        <w:t>License Agreement</w:t>
      </w:r>
      <w:r>
        <w:rPr>
          <w:rFonts w:ascii="Arial" w:cs="Arial" w:eastAsia="Arial" w:hAnsi="Arial"/>
          <w:sz w:val="20"/>
          <w:szCs w:val="20"/>
          <w:color w:val="auto"/>
        </w:rPr>
        <w:t>”).</w:t>
      </w:r>
    </w:p>
    <w:p>
      <w:pPr>
        <w:spacing w:after="0" w:line="195" w:lineRule="exact"/>
        <w:rPr>
          <w:sz w:val="20"/>
          <w:szCs w:val="20"/>
          <w:color w:val="auto"/>
        </w:rPr>
      </w:pPr>
    </w:p>
    <w:p>
      <w:pPr>
        <w:jc w:val="both"/>
        <w:ind w:firstLine="1902"/>
        <w:spacing w:after="0" w:line="287" w:lineRule="auto"/>
        <w:rPr>
          <w:sz w:val="20"/>
          <w:szCs w:val="20"/>
          <w:color w:val="auto"/>
        </w:rPr>
      </w:pPr>
      <w:r>
        <w:rPr>
          <w:rFonts w:ascii="Arial" w:cs="Arial" w:eastAsia="Arial" w:hAnsi="Arial"/>
          <w:sz w:val="19"/>
          <w:szCs w:val="19"/>
          <w:color w:val="auto"/>
        </w:rPr>
        <w:t>NOW, THEREFORE, in consideration of the mutual covenants and agreements contained in this Agreement, the receipt and sufficiency of which are hereby acknowledged, the parties to this Agreement hereby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11" w:lineRule="exact"/>
        <w:rPr>
          <w:sz w:val="20"/>
          <w:szCs w:val="20"/>
          <w:color w:val="auto"/>
        </w:rPr>
      </w:pPr>
    </w:p>
    <w:p>
      <w:pPr>
        <w:jc w:val="both"/>
        <w:ind w:firstLine="1902"/>
        <w:spacing w:after="0" w:line="269" w:lineRule="auto"/>
        <w:rPr>
          <w:sz w:val="20"/>
          <w:szCs w:val="20"/>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w:t>
      </w:r>
      <w:r>
        <w:rPr>
          <w:rFonts w:ascii="Arial" w:cs="Arial" w:eastAsia="Arial" w:hAnsi="Arial"/>
          <w:sz w:val="19"/>
          <w:szCs w:val="19"/>
          <w:u w:val="single" w:color="auto"/>
          <w:color w:val="auto"/>
        </w:rPr>
        <w:t>Definitions</w:t>
      </w:r>
      <w:r>
        <w:rPr>
          <w:rFonts w:ascii="Arial" w:cs="Arial" w:eastAsia="Arial" w:hAnsi="Arial"/>
          <w:sz w:val="19"/>
          <w:szCs w:val="19"/>
          <w:color w:val="auto"/>
        </w:rPr>
        <w:t>. (a) As used in this Agreement (including the recitals hereto), the following terms</w:t>
      </w:r>
      <w:r>
        <w:rPr>
          <w:rFonts w:ascii="Arial" w:cs="Arial" w:eastAsia="Arial" w:hAnsi="Arial"/>
          <w:sz w:val="22"/>
          <w:szCs w:val="22"/>
          <w:color w:val="auto"/>
        </w:rPr>
        <w:t xml:space="preserve"> </w:t>
      </w:r>
      <w:r>
        <w:rPr>
          <w:rFonts w:ascii="Arial" w:cs="Arial" w:eastAsia="Arial" w:hAnsi="Arial"/>
          <w:sz w:val="19"/>
          <w:szCs w:val="19"/>
          <w:color w:val="auto"/>
        </w:rPr>
        <w:t>shall have the following meanings:</w:t>
      </w:r>
    </w:p>
    <w:p>
      <w:pPr>
        <w:spacing w:after="0" w:line="165" w:lineRule="exact"/>
        <w:rPr>
          <w:sz w:val="20"/>
          <w:szCs w:val="20"/>
          <w:color w:val="auto"/>
        </w:rPr>
      </w:pPr>
    </w:p>
    <w:p>
      <w:pPr>
        <w:jc w:val="both"/>
        <w:ind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5% Entity</w:t>
      </w:r>
      <w:r>
        <w:rPr>
          <w:rFonts w:ascii="Arial" w:cs="Arial" w:eastAsia="Arial" w:hAnsi="Arial"/>
          <w:sz w:val="20"/>
          <w:szCs w:val="20"/>
          <w:color w:val="auto"/>
        </w:rPr>
        <w:t>” means any Person that, after giving effect to a proposed Transfer, would beneficially own 5% or more of the then outstanding Common Stock.</w:t>
      </w:r>
    </w:p>
    <w:p>
      <w:pPr>
        <w:spacing w:after="0" w:line="177" w:lineRule="exact"/>
        <w:rPr>
          <w:sz w:val="20"/>
          <w:szCs w:val="20"/>
          <w:color w:val="auto"/>
        </w:rPr>
      </w:pPr>
    </w:p>
    <w:p>
      <w:pPr>
        <w:jc w:val="both"/>
        <w:ind w:firstLine="190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specified Person, any other Person directly or indirectly controlling or controlled by, or under direct or indirect common control with, such specified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its Subsidiaries shall not be deemed to be Affiliates of Investor or any of its Affiliates solely on the basis of this Agreement, the Joint Venture Agreement, the License Agreement or the relationships or transactions contemplated herein or therein.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to the foregoing.</w:t>
      </w:r>
    </w:p>
    <w:p>
      <w:pPr>
        <w:spacing w:after="0" w:line="165" w:lineRule="exact"/>
        <w:rPr>
          <w:sz w:val="20"/>
          <w:szCs w:val="20"/>
          <w:color w:val="auto"/>
        </w:rPr>
      </w:pPr>
    </w:p>
    <w:p>
      <w:pPr>
        <w:jc w:val="both"/>
        <w:ind w:firstLine="1902"/>
        <w:spacing w:after="0" w:line="244" w:lineRule="auto"/>
        <w:rPr>
          <w:sz w:val="20"/>
          <w:szCs w:val="20"/>
          <w:color w:val="auto"/>
        </w:rPr>
      </w:pPr>
      <w:r>
        <w:rPr>
          <w:rFonts w:ascii="Arial" w:cs="Arial" w:eastAsia="Arial" w:hAnsi="Arial"/>
          <w:sz w:val="20"/>
          <w:szCs w:val="20"/>
          <w:color w:val="auto"/>
        </w:rPr>
        <w:t>Any Person shall be deemed to “</w:t>
      </w:r>
      <w:r>
        <w:rPr>
          <w:rFonts w:ascii="Arial" w:cs="Arial" w:eastAsia="Arial" w:hAnsi="Arial"/>
          <w:sz w:val="20"/>
          <w:szCs w:val="20"/>
          <w:u w:val="single" w:color="auto"/>
          <w:color w:val="auto"/>
        </w:rPr>
        <w:t>beneficially own</w:t>
      </w:r>
      <w:r>
        <w:rPr>
          <w:rFonts w:ascii="Arial" w:cs="Arial" w:eastAsia="Arial" w:hAnsi="Arial"/>
          <w:sz w:val="20"/>
          <w:szCs w:val="20"/>
          <w:color w:val="auto"/>
        </w:rPr>
        <w:t>,” to have “</w:t>
      </w:r>
      <w:r>
        <w:rPr>
          <w:rFonts w:ascii="Arial" w:cs="Arial" w:eastAsia="Arial" w:hAnsi="Arial"/>
          <w:sz w:val="20"/>
          <w:szCs w:val="20"/>
          <w:u w:val="single" w:color="auto"/>
          <w:color w:val="auto"/>
        </w:rPr>
        <w:t>beneficial ownership</w:t>
      </w:r>
      <w:r>
        <w:rPr>
          <w:rFonts w:ascii="Arial" w:cs="Arial" w:eastAsia="Arial" w:hAnsi="Arial"/>
          <w:sz w:val="20"/>
          <w:szCs w:val="20"/>
          <w:color w:val="auto"/>
        </w:rPr>
        <w:t>” of, or to be “</w:t>
      </w:r>
      <w:r>
        <w:rPr>
          <w:rFonts w:ascii="Arial" w:cs="Arial" w:eastAsia="Arial" w:hAnsi="Arial"/>
          <w:sz w:val="20"/>
          <w:szCs w:val="20"/>
          <w:u w:val="single" w:color="auto"/>
          <w:color w:val="auto"/>
        </w:rPr>
        <w:t>beneficially owning</w:t>
      </w:r>
      <w:r>
        <w:rPr>
          <w:rFonts w:ascii="Arial" w:cs="Arial" w:eastAsia="Arial" w:hAnsi="Arial"/>
          <w:sz w:val="20"/>
          <w:szCs w:val="20"/>
          <w:color w:val="auto"/>
        </w:rPr>
        <w:t>” any securities (which securities shall also be deemed “</w:t>
      </w:r>
      <w:r>
        <w:rPr>
          <w:rFonts w:ascii="Arial" w:cs="Arial" w:eastAsia="Arial" w:hAnsi="Arial"/>
          <w:sz w:val="20"/>
          <w:szCs w:val="20"/>
          <w:u w:val="single" w:color="auto"/>
          <w:color w:val="auto"/>
        </w:rPr>
        <w:t>beneficially owned</w:t>
      </w:r>
      <w:r>
        <w:rPr>
          <w:rFonts w:ascii="Arial" w:cs="Arial" w:eastAsia="Arial" w:hAnsi="Arial"/>
          <w:sz w:val="20"/>
          <w:szCs w:val="20"/>
          <w:color w:val="auto"/>
        </w:rPr>
        <w:t xml:space="preserve">” by such Person) that such Person is deemed to “beneficially own” within the meaning of Rules 13d-3 and 13d-5 under the Exchange Act as in effect on the date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Person shall be deemed to beneficially own any securities that such Person has the right to acquire, whether or not such right is exercisable immediately, within 60 days or otherwise.</w:t>
      </w:r>
    </w:p>
    <w:p>
      <w:pPr>
        <w:spacing w:after="0" w:line="195" w:lineRule="exact"/>
        <w:rPr>
          <w:sz w:val="20"/>
          <w:szCs w:val="20"/>
          <w:color w:val="auto"/>
        </w:rPr>
      </w:pPr>
    </w:p>
    <w:p>
      <w:pPr>
        <w:jc w:val="both"/>
        <w:ind w:firstLine="1902"/>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Holders</w:t>
      </w:r>
      <w:r>
        <w:rPr>
          <w:rFonts w:ascii="Arial" w:cs="Arial" w:eastAsia="Arial" w:hAnsi="Arial"/>
          <w:sz w:val="20"/>
          <w:szCs w:val="20"/>
          <w:color w:val="auto"/>
        </w:rPr>
        <w:t>” means, with respect to any specified natural person, (a) such specified natural person’s parents, spouse, siblings, descendants, step children, step grandchildren, nieces and nephews and their respective spouses, (b) the estate, legatees and devisees of such specified natural person and each of the Persons referred to in clause (a) of this definition, and (c) any company, partnership, trust or other entity or investment vehicle controlled by such specified natural person or any of the Persons referred to in clause (a) or (b) of this definition or the holdings of which are for the primary benefit of such specified natural person or any of the Persons referred to in clause (a) or (b) of this definition.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 w:name="page8"/>
    <w:bookmarkEnd w:id="7"/>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16" w:lineRule="exact"/>
        <w:rPr>
          <w:sz w:val="20"/>
          <w:szCs w:val="20"/>
          <w:color w:val="auto"/>
        </w:rPr>
      </w:pPr>
    </w:p>
    <w:p>
      <w:pPr>
        <w:jc w:val="both"/>
        <w:ind w:right="20" w:firstLine="190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a Sunday or other day on which the SEC or banking institutions in New York, New York or the People’s Republic of China are authorized or required by law, regulation or executive order to be closed.</w:t>
      </w:r>
    </w:p>
    <w:p>
      <w:pPr>
        <w:spacing w:after="0" w:line="13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CFIUS</w:t>
      </w:r>
      <w:r>
        <w:rPr>
          <w:rFonts w:ascii="Arial" w:cs="Arial" w:eastAsia="Arial" w:hAnsi="Arial"/>
          <w:sz w:val="20"/>
          <w:szCs w:val="20"/>
          <w:color w:val="auto"/>
        </w:rPr>
        <w:t>” means the Committee on Foreign Investment in the United States.</w:t>
      </w:r>
    </w:p>
    <w:p>
      <w:pPr>
        <w:spacing w:after="0" w:line="216" w:lineRule="exact"/>
        <w:rPr>
          <w:sz w:val="20"/>
          <w:szCs w:val="20"/>
          <w:color w:val="auto"/>
        </w:rPr>
      </w:pPr>
    </w:p>
    <w:p>
      <w:pPr>
        <w:jc w:val="both"/>
        <w:ind w:firstLine="190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 Approval Condition</w:t>
      </w:r>
      <w:r>
        <w:rPr>
          <w:rFonts w:ascii="Arial" w:cs="Arial" w:eastAsia="Arial" w:hAnsi="Arial"/>
          <w:sz w:val="18"/>
          <w:szCs w:val="18"/>
          <w:color w:val="auto"/>
        </w:rPr>
        <w:t>” means that any of the following shall have occurred: (i) the 45-day review period under the DPA commencing on the date that the CFIUS Notice is accepted by CFIUS shall have expired and the Company and Investor shall have received written notice from CFIUS that such review has been concluded and that either the Transactions do not constitute a “covered transaction” under the DPA or that there are no unresolved national security concerns; (ii) an investigation shall have been commenced after such 45-day review period and CFIUS shall have determined to conclude all deliberative action under the DPA without sending a report to the President of the United States (the “</w:t>
      </w:r>
      <w:r>
        <w:rPr>
          <w:rFonts w:ascii="Arial" w:cs="Arial" w:eastAsia="Arial" w:hAnsi="Arial"/>
          <w:sz w:val="18"/>
          <w:szCs w:val="18"/>
          <w:u w:val="single" w:color="auto"/>
          <w:color w:val="auto"/>
        </w:rPr>
        <w:t>President</w:t>
      </w:r>
      <w:r>
        <w:rPr>
          <w:rFonts w:ascii="Arial" w:cs="Arial" w:eastAsia="Arial" w:hAnsi="Arial"/>
          <w:sz w:val="18"/>
          <w:szCs w:val="18"/>
          <w:color w:val="auto"/>
          <w:highlight w:val="white"/>
        </w:rPr>
        <w:t>”), and the Company and Investor shall have received written notice from CFIUS that either the</w:t>
      </w:r>
      <w:r>
        <w:rPr>
          <w:rFonts w:ascii="Arial" w:cs="Arial" w:eastAsia="Arial" w:hAnsi="Arial"/>
          <w:sz w:val="18"/>
          <w:szCs w:val="18"/>
          <w:color w:val="auto"/>
        </w:rPr>
        <w:t xml:space="preserve"> Transactions do not constitute a “covered transaction” under the DPA or there are no unresolved national security concerns, and all action under the DPA is concluded with respect to the Transactions; or (iii) CFIUS shall have sent a report to the President requesting the President’s decision and either (A) the period under the DPA during which the President may announce his decision to take action to suspend, prohibit or place any limitations on the Transactions shall have expired without any such action being threatened, announced or taken or (B) the President shall have announced a decision not to take any action to suspend, prohibit or place any limitations on the Transactions.</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CFIUS Cure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4.07(a)</w:t>
      </w:r>
      <w:r>
        <w:rPr>
          <w:rFonts w:ascii="Arial" w:cs="Arial" w:eastAsia="Arial" w:hAnsi="Arial"/>
          <w:sz w:val="20"/>
          <w:szCs w:val="20"/>
          <w:color w:val="auto"/>
        </w:rPr>
        <w:t>.</w:t>
      </w:r>
    </w:p>
    <w:p>
      <w:pPr>
        <w:spacing w:after="0" w:line="216" w:lineRule="exact"/>
        <w:rPr>
          <w:sz w:val="20"/>
          <w:szCs w:val="20"/>
          <w:color w:val="auto"/>
        </w:rPr>
      </w:pPr>
    </w:p>
    <w:p>
      <w:pPr>
        <w:jc w:val="both"/>
        <w:ind w:right="20"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CFIUS Cure Failure</w:t>
      </w:r>
      <w:r>
        <w:rPr>
          <w:rFonts w:ascii="Arial" w:cs="Arial" w:eastAsia="Arial" w:hAnsi="Arial"/>
          <w:sz w:val="20"/>
          <w:szCs w:val="20"/>
          <w:color w:val="auto"/>
        </w:rPr>
        <w:t>" means the last day of the CFIUS Cure Period, if on such day a CFIUS Cure Amendment has not been executed and delivered by Investor and the Company.</w:t>
      </w:r>
    </w:p>
    <w:p>
      <w:pPr>
        <w:spacing w:after="0" w:line="17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CFIUS Cure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4.07(a)</w:t>
      </w:r>
      <w:r>
        <w:rPr>
          <w:rFonts w:ascii="Arial" w:cs="Arial" w:eastAsia="Arial" w:hAnsi="Arial"/>
          <w:sz w:val="20"/>
          <w:szCs w:val="20"/>
          <w:color w:val="auto"/>
        </w:rPr>
        <w:t>.</w:t>
      </w:r>
    </w:p>
    <w:p>
      <w:pPr>
        <w:spacing w:after="0" w:line="216" w:lineRule="exact"/>
        <w:rPr>
          <w:sz w:val="20"/>
          <w:szCs w:val="20"/>
          <w:color w:val="auto"/>
        </w:rPr>
      </w:pPr>
    </w:p>
    <w:p>
      <w:pPr>
        <w:jc w:val="both"/>
        <w:ind w:right="20" w:firstLine="1902"/>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CFIUS Notice</w:t>
      </w:r>
      <w:r>
        <w:rPr>
          <w:rFonts w:ascii="Arial" w:cs="Arial" w:eastAsia="Arial" w:hAnsi="Arial"/>
          <w:sz w:val="16"/>
          <w:szCs w:val="16"/>
          <w:color w:val="auto"/>
        </w:rPr>
        <w:t>” means a joint voluntary notice with respect to the Transactions jointly prepared by the Company and Investor, reasonably acceptable to each of the Company and Investor, and submitted to CFIUS in accordance with the requirements of the DPA.</w:t>
      </w:r>
    </w:p>
    <w:p>
      <w:pPr>
        <w:spacing w:after="0" w:line="83"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par value $0.001 per share, of the Company.</w:t>
      </w:r>
    </w:p>
    <w:p>
      <w:pPr>
        <w:spacing w:after="0" w:line="216" w:lineRule="exact"/>
        <w:rPr>
          <w:sz w:val="20"/>
          <w:szCs w:val="20"/>
          <w:color w:val="auto"/>
        </w:rPr>
      </w:pPr>
    </w:p>
    <w:p>
      <w:pPr>
        <w:jc w:val="both"/>
        <w:ind w:firstLine="190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Change of Control</w:t>
      </w:r>
      <w:r>
        <w:rPr>
          <w:rFonts w:ascii="Arial" w:cs="Arial" w:eastAsia="Arial" w:hAnsi="Arial"/>
          <w:sz w:val="19"/>
          <w:szCs w:val="19"/>
          <w:color w:val="auto"/>
        </w:rPr>
        <w:t>” means a transaction or series of related transactions that result(s) in (a) a Person (or a group) (other than the Permitted Holders (or a group controlled by Permitted Holders)) becoming the direct or indirect beneficial owner of a majority of the votes associated with the capital stock of the Company entitling it to elect a majority of the members of the Board; (b) any merger, reorganization, consolidation, business combination or other extraordinary transaction unless, immediately after consummation of such transaction, the shareholders of the Company immediately prior to the transaction and/or the Permitted Holders (or a group controlled by Permitted Holders) hold, directly or indirectly, a majority of the votes associated with the capital stock of the Company (or the successor entity to the Company surviving such transaction) (or of the Company’s (or such successor’s) ultimate parent entity if the Company (or such successor) is a Subsidiary of another entity) entitling them to elect a majority of the members of the Board (or the board of directors (or similar managing body) of such successor)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9"/>
          <w:szCs w:val="19"/>
          <w:color w:val="auto"/>
        </w:rPr>
        <w:t>the board of directors (or similar managing body) of the Company’s (or such successor’s) ultimate parent entity if the Company (or such successor) is a Subsidiary of another entity); (c) the Common Stock no longer being listed on a National Securities Exchange; or (d) the direct or indirect sale (but not the spin-off) of all or substantially all of the Company’s assets (excluding in the case of each of clauses (c) and (d) of this definition, any transaction that would result in the Permitted Holders (or a group controlled by Permitted Holders) remaining or becoming the direct or indirect beneficial owner of a majority of the votes associated with the capital stock of the Company (or the successor entity to the Company surviving such transaction) (or of the Company’s (or such successor’s) ultimate parent entity if the Company (or such successor) is a Subsidiary of another entity) entitling them to elect a majority of the members of the Board (or the board of directors (or similar managing body) of such successor) (or the board of directors (or similar managing body) of the Company’s (or such successor’s) ultimate parent entity if the Company (or such successor) is a Subsidiary of another entity).</w:t>
      </w:r>
    </w:p>
    <w:p>
      <w:pPr>
        <w:spacing w:after="0" w:line="18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 Documents</w:t>
      </w:r>
      <w:r>
        <w:rPr>
          <w:rFonts w:ascii="Arial" w:cs="Arial" w:eastAsia="Arial" w:hAnsi="Arial"/>
          <w:sz w:val="18"/>
          <w:szCs w:val="18"/>
          <w:color w:val="auto"/>
        </w:rPr>
        <w:t>” means the Company’s certificate of incorporation and bylaws, each as amended from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 to time.</w:t>
      </w:r>
    </w:p>
    <w:p>
      <w:pPr>
        <w:spacing w:after="0" w:line="200" w:lineRule="exact"/>
        <w:rPr>
          <w:sz w:val="20"/>
          <w:szCs w:val="20"/>
          <w:color w:val="auto"/>
        </w:rPr>
      </w:pPr>
    </w:p>
    <w:p>
      <w:pPr>
        <w:jc w:val="both"/>
        <w:ind w:firstLine="190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Activity</w:t>
      </w:r>
      <w:r>
        <w:rPr>
          <w:rFonts w:ascii="Arial" w:cs="Arial" w:eastAsia="Arial" w:hAnsi="Arial"/>
          <w:sz w:val="20"/>
          <w:szCs w:val="20"/>
          <w:color w:val="auto"/>
        </w:rPr>
        <w:t>” means engaging in, at the time of determination, online services relating to travel or hotel reviews and recommendations; travel meta search; travel (including hotel, vacation rental, tour, restaurants, activities and attractions); travel itinerary management and/or administration, and industries that are competitive with any business actually engaged in by the Company and its Subsidiaries at such time.</w:t>
      </w:r>
    </w:p>
    <w:p>
      <w:pPr>
        <w:spacing w:after="0" w:line="192" w:lineRule="exact"/>
        <w:rPr>
          <w:sz w:val="20"/>
          <w:szCs w:val="20"/>
          <w:color w:val="auto"/>
        </w:rPr>
      </w:pPr>
    </w:p>
    <w:p>
      <w:pPr>
        <w:jc w:val="both"/>
        <w:ind w:firstLine="1902"/>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xml:space="preserve">” means any Person engaged, at the time of determination, in a Competitive Activity;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“Competitor” shall not include (x) any financial institution, private equity firm, hedge fund, mutual fund, sovereign wealth fund, family office or other institutional investors or similar entity or any Affiliate thereof which owns, is under common control with, or has an equity or debt interest in, any portfolio company or Affiliate that is a Competitor (other than any such portfolio company or Affiliate that is a Competitor); (y) any Person that primarily targets online consumers based in China; or (z) any Person, the capital stock of which is distributed by the Company after the date hereof in a spin-off transaction.</w:t>
      </w:r>
    </w:p>
    <w:p>
      <w:pPr>
        <w:spacing w:after="0" w:line="19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 as amended, supplemented or restated from time to time.</w:t>
      </w:r>
    </w:p>
    <w:p>
      <w:pPr>
        <w:spacing w:after="0" w:line="239"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5.12(a)(ii)</w:t>
      </w:r>
      <w:r>
        <w:rPr>
          <w:rFonts w:ascii="Arial" w:cs="Arial" w:eastAsia="Arial" w:hAnsi="Arial"/>
          <w:sz w:val="20"/>
          <w:szCs w:val="20"/>
          <w:color w:val="auto"/>
        </w:rPr>
        <w:t>.</w:t>
      </w:r>
    </w:p>
    <w:p>
      <w:pPr>
        <w:spacing w:after="0" w:line="216" w:lineRule="exact"/>
        <w:rPr>
          <w:sz w:val="20"/>
          <w:szCs w:val="20"/>
          <w:color w:val="auto"/>
        </w:rPr>
      </w:pPr>
    </w:p>
    <w:p>
      <w:pPr>
        <w:jc w:val="both"/>
        <w:ind w:firstLine="190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DPA</w:t>
      </w:r>
      <w:r>
        <w:rPr>
          <w:rFonts w:ascii="Arial" w:cs="Arial" w:eastAsia="Arial" w:hAnsi="Arial"/>
          <w:sz w:val="20"/>
          <w:szCs w:val="20"/>
          <w:color w:val="auto"/>
          <w:highlight w:val="white"/>
        </w:rPr>
        <w:t>” means Section 721 of Title VII of the Defense Production Act of 1950, as amended, including the amendments</w:t>
      </w:r>
      <w:r>
        <w:rPr>
          <w:rFonts w:ascii="Arial" w:cs="Arial" w:eastAsia="Arial" w:hAnsi="Arial"/>
          <w:sz w:val="20"/>
          <w:szCs w:val="20"/>
          <w:color w:val="auto"/>
        </w:rPr>
        <w:t xml:space="preserve"> under the Omnibus Trade and Competitiveness Act of 1988 and the Foreign Investment and National Security Act of 2007, and the applicable amendments of the Foreign Investment Risk Review Modernization Act of 2018, and including the regulations of CFIUS promulgated thereunder, codified at 31 C.F.R. Part 800, et seq.</w:t>
      </w:r>
    </w:p>
    <w:p>
      <w:pPr>
        <w:spacing w:after="0" w:line="19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 w:name="page10"/>
    <w:bookmarkEnd w:id="9"/>
    <w:p>
      <w:pPr>
        <w:jc w:val="both"/>
        <w:ind w:firstLine="190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Fall-Away of Investor Board Rights</w:t>
      </w:r>
      <w:r>
        <w:rPr>
          <w:rFonts w:ascii="Arial" w:cs="Arial" w:eastAsia="Arial" w:hAnsi="Arial"/>
          <w:sz w:val="18"/>
          <w:szCs w:val="18"/>
          <w:color w:val="auto"/>
        </w:rPr>
        <w:t>” means the earliest to occur of (i) a CFIUS Cure Failure; (ii) the first anniversary of the First Seat Date if the Investor Parties have not acquired the Minimum Stock Ownership Threshold as of any date prior to such first anniversary; (iii) following the first anniversary of the First Seat Date, the first date on which the Minimum Stock Ownership Threshold is not owned in the aggregate by the Investor Parties; (iv) the Investor Parties or their respective Subsidiaries either (x) beneficially owning equity securities (or any securities exchangeable, convertible or exercisable for equity securities) representing 10% or more of the voting equity securities or equity thereof (on an as-exchanged, converted or exercised basis) of a Prohibited Investee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Prohibited Investee is a VC Entity, the Investor Parties and their respective Subsidiaries may have beneficial ownership that collectively represents no more than 25% of the equity securities on a fully diluted basis (or securities exchangeable, convertible or exercisable for equity securities)) of such Prohibited Investee or (y) having an employee or other designee serve as a director (or similar manager) on, or having a contractual right to a director designee (or similar manager) on, the board of directors (or similar managing body) of a Prohibited Investee that is not a VC Entity; (v) the termination of the Joint Venture Agreement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 termination resulting from the occurrence of either (A) a Default Event (as defined in the Joint Venture Agreement) that is </w:t>
      </w:r>
      <w:r>
        <w:rPr>
          <w:rFonts w:ascii="Arial" w:cs="Arial" w:eastAsia="Arial" w:hAnsi="Arial"/>
          <w:sz w:val="19"/>
          <w:szCs w:val="19"/>
          <w:color w:val="auto"/>
        </w:rPr>
        <w:t>found by a court of competent jurisdiction in a</w:t>
      </w:r>
      <w:r>
        <w:rPr>
          <w:rFonts w:ascii="Arial" w:cs="Arial" w:eastAsia="Arial" w:hAnsi="Arial"/>
          <w:sz w:val="18"/>
          <w:szCs w:val="18"/>
          <w:color w:val="auto"/>
        </w:rPr>
        <w:t xml:space="preserve"> </w:t>
      </w:r>
      <w:r>
        <w:rPr>
          <w:rFonts w:ascii="Arial" w:cs="Arial" w:eastAsia="Arial" w:hAnsi="Arial"/>
          <w:sz w:val="19"/>
          <w:szCs w:val="19"/>
          <w:color w:val="auto"/>
        </w:rPr>
        <w:t xml:space="preserve">final non-appealable judgement to have resulted from a default by the Company or its Affiliates of its respective obligations under the Joint Venture Agreement </w:t>
      </w:r>
      <w:r>
        <w:rPr>
          <w:rFonts w:ascii="Arial" w:cs="Arial" w:eastAsia="Arial" w:hAnsi="Arial"/>
          <w:sz w:val="17"/>
          <w:szCs w:val="17"/>
          <w:color w:val="auto"/>
        </w:rPr>
        <w:t>or (B) a Fundamental Failure (as defined in the Joint Venture Agreement), the Fall-Away of Investor Board</w:t>
      </w:r>
      <w:r>
        <w:rPr>
          <w:rFonts w:ascii="Arial" w:cs="Arial" w:eastAsia="Arial" w:hAnsi="Arial"/>
          <w:sz w:val="19"/>
          <w:szCs w:val="19"/>
          <w:color w:val="auto"/>
        </w:rPr>
        <w:t xml:space="preserve"> </w:t>
      </w:r>
      <w:r>
        <w:rPr>
          <w:rFonts w:ascii="Arial" w:cs="Arial" w:eastAsia="Arial" w:hAnsi="Arial"/>
          <w:sz w:val="17"/>
          <w:szCs w:val="17"/>
          <w:color w:val="auto"/>
        </w:rPr>
        <w:t>Rights under this clause (v) as a result thereof shall occur on the fifth anniversary of the First Seat Date; (vi) a Company Change of Control; and (vii) an Investor Change of Control. If not earlier under any other provision of this Agreement, the Fall-Away of Investor Board Rights shall occur on the fifteenth anniversary of the First Seat Date.</w:t>
      </w:r>
    </w:p>
    <w:p>
      <w:pPr>
        <w:spacing w:after="0" w:line="172"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Seat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4.07(a)</w:t>
      </w:r>
      <w:r>
        <w:rPr>
          <w:rFonts w:ascii="Arial" w:cs="Arial" w:eastAsia="Arial" w:hAnsi="Arial"/>
          <w:sz w:val="20"/>
          <w:szCs w:val="20"/>
          <w:color w:val="auto"/>
        </w:rPr>
        <w:t>.</w:t>
      </w:r>
    </w:p>
    <w:p>
      <w:pPr>
        <w:spacing w:after="0" w:line="216" w:lineRule="exact"/>
        <w:rPr>
          <w:sz w:val="20"/>
          <w:szCs w:val="20"/>
          <w:color w:val="auto"/>
        </w:rPr>
      </w:pPr>
    </w:p>
    <w:p>
      <w:pPr>
        <w:jc w:val="both"/>
        <w:ind w:firstLine="190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government, court, regulatory or administrative agency, commission, arbitrator or authority or other legislative, executive or judicial governmental entity (in each case including any self-regulatory organization), whether federal, state or local, domestic, foreign or multinational.</w:t>
      </w:r>
    </w:p>
    <w:p>
      <w:pPr>
        <w:spacing w:after="0" w:line="186"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w:t>
      </w:r>
      <w:r>
        <w:rPr>
          <w:rFonts w:ascii="Arial" w:cs="Arial" w:eastAsia="Arial" w:hAnsi="Arial"/>
          <w:sz w:val="19"/>
          <w:szCs w:val="19"/>
          <w:color w:val="auto"/>
        </w:rPr>
        <w:t>" has the meaning set forth in Section 13(d) of the Exchange Act and the rules promulgated by the SEC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20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4.06(a)</w:t>
      </w:r>
      <w:r>
        <w:rPr>
          <w:rFonts w:ascii="Arial" w:cs="Arial" w:eastAsia="Arial" w:hAnsi="Arial"/>
          <w:sz w:val="20"/>
          <w:szCs w:val="20"/>
          <w:color w:val="auto"/>
        </w:rPr>
        <w:t>.</w:t>
      </w:r>
    </w:p>
    <w:p>
      <w:pPr>
        <w:spacing w:after="0" w:line="216" w:lineRule="exact"/>
        <w:rPr>
          <w:sz w:val="20"/>
          <w:szCs w:val="20"/>
          <w:color w:val="auto"/>
        </w:rPr>
      </w:pPr>
    </w:p>
    <w:p>
      <w:pPr>
        <w:jc w:val="both"/>
        <w:ind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means the Hart-Scott-Rodino Antitrust Improvements Act of 1976, as amended, and the rules and regulations promulgated thereunder.</w:t>
      </w:r>
    </w:p>
    <w:p>
      <w:pPr>
        <w:spacing w:after="0" w:line="177" w:lineRule="exact"/>
        <w:rPr>
          <w:sz w:val="20"/>
          <w:szCs w:val="20"/>
          <w:color w:val="auto"/>
        </w:rPr>
      </w:pPr>
    </w:p>
    <w:p>
      <w:pPr>
        <w:jc w:val="both"/>
        <w:ind w:firstLine="1902"/>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Investor Change of Control</w:t>
      </w:r>
      <w:r>
        <w:rPr>
          <w:rFonts w:ascii="Arial" w:cs="Arial" w:eastAsia="Arial" w:hAnsi="Arial"/>
          <w:sz w:val="19"/>
          <w:szCs w:val="19"/>
          <w:color w:val="auto"/>
        </w:rPr>
        <w:t>” means a transaction or series of related transactions that result(s) in (a) a Competitor (or group controlled by a Competitor) becoming the direct or indirect beneficial owner of a majority of the votes associated with the capital stock of Investor entitling it to elect a majority of the members of Investor’s board of directors; (b) any merger, reorganization, consolidation, business combination or other extraordinary transaction involving Investor or a parent entity of Investor with or into a Competitor, if, immediately after consummation of such transaction a Competitor (or group controlled by a Competitor) holds, directly or indirectly, a majority of the votes associated with the capital stock of Investor (or the successor entity to Investor surviving such transaction) (or of Investor’s (or such successor’s) ultimate parent entity if Investor (or such successor) is a Subsidiary of another entity) entitling it to elect a majority of the members of Investor’s (or such successor’s) board of directors or the board of directors (or similar managing body) of Investor’s (or such successor’s) ultimate parent entity if Investor (or such successor) is a Subsidiary of another entity; or (c) the direct or indirect sale of all or substantially all of Investor’s assets to a Competitor.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 w:name="page11"/>
    <w:bookmarkEnd w:id="10"/>
    <w:p>
      <w:pPr>
        <w:jc w:val="both"/>
        <w:ind w:firstLine="1902"/>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Investor Director Designee</w:t>
      </w:r>
      <w:r>
        <w:rPr>
          <w:rFonts w:ascii="Arial" w:cs="Arial" w:eastAsia="Arial" w:hAnsi="Arial"/>
          <w:sz w:val="20"/>
          <w:szCs w:val="20"/>
          <w:color w:val="auto"/>
        </w:rPr>
        <w:t xml:space="preserve">” means an individual designated by Investor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individual must be reasonably acceptable to the Board (and, if the Board has a nominating committee at the time, such committee) to serve as a Director and, if not acceptable, then another individual selected by Investor who is reasonably acceptable to the Board (and if the Board has a nominating committee at such time, to such committee), which consent shall not be unreasonably withheld, conditioned or delayed (it being understood that (i) it shall be reasonable for the Company to withhold, condition or delay consent if as of such time such individual is an activist investor or is a director, officer or employee of an activist investor or a hedge fund and (ii) Jane Sun is reasonably acceptable to the Board).</w:t>
      </w:r>
    </w:p>
    <w:p>
      <w:pPr>
        <w:spacing w:after="0" w:line="193" w:lineRule="exact"/>
        <w:rPr>
          <w:sz w:val="20"/>
          <w:szCs w:val="20"/>
          <w:color w:val="auto"/>
        </w:rPr>
      </w:pPr>
    </w:p>
    <w:p>
      <w:pPr>
        <w:jc w:val="both"/>
        <w:ind w:firstLine="190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Parties</w:t>
      </w:r>
      <w:r>
        <w:rPr>
          <w:rFonts w:ascii="Arial" w:cs="Arial" w:eastAsia="Arial" w:hAnsi="Arial"/>
          <w:sz w:val="18"/>
          <w:szCs w:val="18"/>
          <w:color w:val="auto"/>
        </w:rPr>
        <w:t>” means Investor and each of its Subsidiaries that agrees in writing for the express benefit of the Company (in the form attached as Annex I hereto, with a copy thereof furnished to the Company) to be bound by the terms of this Agreement.</w:t>
      </w:r>
    </w:p>
    <w:p>
      <w:pPr>
        <w:spacing w:after="0" w:line="130" w:lineRule="exact"/>
        <w:rPr>
          <w:sz w:val="20"/>
          <w:szCs w:val="20"/>
          <w:color w:val="auto"/>
        </w:rPr>
      </w:pPr>
    </w:p>
    <w:p>
      <w:pPr>
        <w:jc w:val="both"/>
        <w:ind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w:t>
      </w:r>
      <w:r>
        <w:rPr>
          <w:rFonts w:ascii="Arial" w:cs="Arial" w:eastAsia="Arial" w:hAnsi="Arial"/>
          <w:sz w:val="20"/>
          <w:szCs w:val="20"/>
          <w:color w:val="auto"/>
        </w:rPr>
        <w:t>” means any judgment, writ, stipulation, award, injunction, determination, order or decree of any Governmental Authority.</w:t>
      </w:r>
    </w:p>
    <w:p>
      <w:pPr>
        <w:spacing w:after="0" w:line="177" w:lineRule="exact"/>
        <w:rPr>
          <w:sz w:val="20"/>
          <w:szCs w:val="20"/>
          <w:color w:val="auto"/>
        </w:rPr>
      </w:pPr>
    </w:p>
    <w:p>
      <w:pPr>
        <w:jc w:val="both"/>
        <w:ind w:firstLine="1902"/>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all federal, state, local, domestic, foreign or multinational statutes, laws (including common laws), ordinances, rules, requirements, directives or regulations of any Governmental Authority, together with any decision or approval of, or determination by, or any interpretation or administration of any of the foregoing by, any Governmental Authority.</w:t>
      </w:r>
    </w:p>
    <w:p>
      <w:pPr>
        <w:spacing w:after="0" w:line="186" w:lineRule="exact"/>
        <w:rPr>
          <w:sz w:val="20"/>
          <w:szCs w:val="20"/>
          <w:color w:val="auto"/>
        </w:rPr>
      </w:pPr>
    </w:p>
    <w:p>
      <w:pPr>
        <w:jc w:val="both"/>
        <w:ind w:firstLine="1902"/>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Liberty Successor</w:t>
      </w:r>
      <w:r>
        <w:rPr>
          <w:rFonts w:ascii="Arial" w:cs="Arial" w:eastAsia="Arial" w:hAnsi="Arial"/>
          <w:sz w:val="19"/>
          <w:szCs w:val="19"/>
          <w:color w:val="auto"/>
        </w:rPr>
        <w:t xml:space="preserve">” means any Person that is a successor of Liberty TripAdvisor Holdings, Inc., including any Person spun or otherwise separated out of Liberty TripAdvisor Holdings, Inc. (or any similar successor of any such Liberty Successor);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Person or group, other than the Permitted Holders, is the “beneficial owner”, directly or indirectly, of more than 50% of the total voting power represented by the issued and outstanding capital stock or other equity interests of such Liberty Successor.</w:t>
      </w:r>
    </w:p>
    <w:p>
      <w:pPr>
        <w:spacing w:after="0" w:line="177" w:lineRule="exact"/>
        <w:rPr>
          <w:sz w:val="20"/>
          <w:szCs w:val="20"/>
          <w:color w:val="auto"/>
        </w:rPr>
      </w:pPr>
    </w:p>
    <w:p>
      <w:pPr>
        <w:jc w:val="both"/>
        <w:ind w:firstLine="1902"/>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Stock Ownership Threshold</w:t>
      </w:r>
      <w:r>
        <w:rPr>
          <w:rFonts w:ascii="Arial" w:cs="Arial" w:eastAsia="Arial" w:hAnsi="Arial"/>
          <w:sz w:val="20"/>
          <w:szCs w:val="20"/>
          <w:color w:val="auto"/>
        </w:rPr>
        <w:t xml:space="preserve">” means a number of shares of Common Stock equal to the lesser of (a) 6,951,500 shares (as such number of shares may be adjusted to give effect to any share split, reverse share split or similar transaction occurring after the date hereof) and (b) the actual number of shares of Common Stock acquired by the Investor Parties with an aggregate Purchase Price equal to $317,600,000 (rounded up to the nearest whole number of shares) from and after the date hereof through the earlier of (A) the first anniversary of the First Seat Date and (B) the acquisition of such number of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number of shares set forth in clauses (a) and (b) above shall be adjusted to reflect stock splits, reverse stock splits, recapitalizations and similar transactions consummated by the Company.</w:t>
      </w:r>
    </w:p>
    <w:p>
      <w:pPr>
        <w:spacing w:after="0" w:line="193"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Nasdaq</w:t>
      </w:r>
      <w:r>
        <w:rPr>
          <w:rFonts w:ascii="Arial" w:cs="Arial" w:eastAsia="Arial" w:hAnsi="Arial"/>
          <w:sz w:val="20"/>
          <w:szCs w:val="20"/>
          <w:color w:val="auto"/>
        </w:rPr>
        <w:t>” means the Nasdaq Global Market and its successors.</w:t>
      </w:r>
    </w:p>
    <w:p>
      <w:pPr>
        <w:spacing w:after="0" w:line="216" w:lineRule="exact"/>
        <w:rPr>
          <w:sz w:val="20"/>
          <w:szCs w:val="20"/>
          <w:color w:val="auto"/>
        </w:rPr>
      </w:pPr>
    </w:p>
    <w:p>
      <w:pPr>
        <w:jc w:val="both"/>
        <w:ind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National Securities Exchange</w:t>
      </w:r>
      <w:r>
        <w:rPr>
          <w:rFonts w:ascii="Arial" w:cs="Arial" w:eastAsia="Arial" w:hAnsi="Arial"/>
          <w:sz w:val="20"/>
          <w:szCs w:val="20"/>
          <w:color w:val="auto"/>
        </w:rPr>
        <w:t>” means Nasdaq, the New York Stock Exchange, or another nationally recognized securities exchange and their respective successors.</w:t>
      </w:r>
    </w:p>
    <w:p>
      <w:pPr>
        <w:spacing w:after="0" w:line="177" w:lineRule="exact"/>
        <w:rPr>
          <w:sz w:val="20"/>
          <w:szCs w:val="20"/>
          <w:color w:val="auto"/>
        </w:rPr>
      </w:pPr>
    </w:p>
    <w:p>
      <w:pPr>
        <w:jc w:val="both"/>
        <w:ind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Nomination Start Date</w:t>
      </w:r>
      <w:r>
        <w:rPr>
          <w:rFonts w:ascii="Arial" w:cs="Arial" w:eastAsia="Arial" w:hAnsi="Arial"/>
          <w:sz w:val="20"/>
          <w:szCs w:val="20"/>
          <w:color w:val="auto"/>
        </w:rPr>
        <w:t>” means the date on which the CFIUS Approval Condition is satisfied (or, to the extent legally permissible, waived by each of the parties hereto).</w:t>
      </w:r>
    </w:p>
    <w:p>
      <w:pPr>
        <w:spacing w:after="0" w:line="17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Objected Investee</w:t>
      </w:r>
      <w:r>
        <w:rPr>
          <w:rFonts w:ascii="Arial" w:cs="Arial" w:eastAsia="Arial" w:hAnsi="Arial"/>
          <w:sz w:val="20"/>
          <w:szCs w:val="20"/>
          <w:color w:val="auto"/>
        </w:rPr>
        <w:t>" has the meaning set forth in the definition of "Prohibited Investee."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1" w:name="page12"/>
    <w:bookmarkEnd w:id="11"/>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Objected Transferee</w:t>
      </w:r>
      <w:r>
        <w:rPr>
          <w:rFonts w:ascii="Arial" w:cs="Arial" w:eastAsia="Arial" w:hAnsi="Arial"/>
          <w:sz w:val="20"/>
          <w:szCs w:val="20"/>
          <w:color w:val="auto"/>
        </w:rPr>
        <w:t>" has the meaning set forth in the definition of "Prohibited Transferee."</w:t>
      </w:r>
    </w:p>
    <w:p>
      <w:pPr>
        <w:spacing w:after="0" w:line="216" w:lineRule="exact"/>
        <w:rPr>
          <w:sz w:val="20"/>
          <w:szCs w:val="20"/>
          <w:color w:val="auto"/>
        </w:rPr>
      </w:pPr>
    </w:p>
    <w:p>
      <w:pPr>
        <w:ind w:firstLine="190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any one or more of (a) Liberty TripAdvisor Holdings, Inc., (b) a Liberty Successor, (c) John C. Malone or Gregory B. Maffei, (d) each of the respective Affiliated Holders of the persons referred to in clause (c) of this definition and</w:t>
      </w:r>
    </w:p>
    <w:p>
      <w:pPr>
        <w:spacing w:after="0" w:line="1" w:lineRule="exact"/>
        <w:rPr>
          <w:sz w:val="20"/>
          <w:szCs w:val="20"/>
          <w:color w:val="auto"/>
        </w:rPr>
      </w:pPr>
    </w:p>
    <w:p>
      <w:pPr>
        <w:ind w:left="1920" w:right="3220" w:hanging="1912"/>
        <w:spacing w:after="0" w:line="480" w:lineRule="auto"/>
        <w:tabs>
          <w:tab w:leader="none" w:pos="287"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Affiliates of one or more of the Persons referred to in clause (a), (b), (c) or (d) of this definition. “</w:t>
      </w:r>
      <w:r>
        <w:rPr>
          <w:rFonts w:ascii="Arial" w:cs="Arial" w:eastAsia="Arial" w:hAnsi="Arial"/>
          <w:sz w:val="19"/>
          <w:szCs w:val="19"/>
          <w:u w:val="single" w:color="auto"/>
          <w:color w:val="auto"/>
        </w:rPr>
        <w:t>Permitted Purpose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4.09</w:t>
      </w:r>
      <w:r>
        <w:rPr>
          <w:rFonts w:ascii="Arial" w:cs="Arial" w:eastAsia="Arial" w:hAnsi="Arial"/>
          <w:sz w:val="19"/>
          <w:szCs w:val="19"/>
          <w:color w:val="auto"/>
        </w:rPr>
        <w:t>.</w:t>
      </w:r>
    </w:p>
    <w:p>
      <w:pPr>
        <w:spacing w:after="0" w:line="1" w:lineRule="exact"/>
        <w:rPr>
          <w:sz w:val="20"/>
          <w:szCs w:val="20"/>
          <w:color w:val="auto"/>
        </w:rPr>
      </w:pPr>
    </w:p>
    <w:p>
      <w:pPr>
        <w:jc w:val="both"/>
        <w:ind w:right="20"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estate, corporation, partnership, limited liability company, joint venture, association, joint-stock company, trust, unincorporated organization, Governmental Authority or other entity.</w:t>
      </w:r>
    </w:p>
    <w:p>
      <w:pPr>
        <w:spacing w:after="0" w:line="17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5.04(c)</w:t>
      </w:r>
      <w:r>
        <w:rPr>
          <w:rFonts w:ascii="Arial" w:cs="Arial" w:eastAsia="Arial" w:hAnsi="Arial"/>
          <w:sz w:val="20"/>
          <w:szCs w:val="20"/>
          <w:color w:val="auto"/>
        </w:rPr>
        <w:t>.</w:t>
      </w:r>
    </w:p>
    <w:p>
      <w:pPr>
        <w:spacing w:after="0" w:line="216" w:lineRule="exact"/>
        <w:rPr>
          <w:sz w:val="20"/>
          <w:szCs w:val="20"/>
          <w:color w:val="auto"/>
        </w:rPr>
      </w:pPr>
    </w:p>
    <w:p>
      <w:pPr>
        <w:jc w:val="both"/>
        <w:ind w:firstLine="190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Investee</w:t>
      </w:r>
      <w:r>
        <w:rPr>
          <w:rFonts w:ascii="Arial" w:cs="Arial" w:eastAsia="Arial" w:hAnsi="Arial"/>
          <w:sz w:val="18"/>
          <w:szCs w:val="18"/>
          <w:color w:val="auto"/>
        </w:rPr>
        <w:t>” means the Persons (and Persons known by Investor to be Affiliates thereof) named as such on a list set forth in a letter, dated the date hereof, agreed to by the Company and Investor, which list may be updated in a writing delivered by the Company to Investor (each a "</w:t>
      </w:r>
      <w:r>
        <w:rPr>
          <w:rFonts w:ascii="Arial" w:cs="Arial" w:eastAsia="Arial" w:hAnsi="Arial"/>
          <w:sz w:val="18"/>
          <w:szCs w:val="18"/>
          <w:u w:val="single" w:color="auto"/>
          <w:color w:val="auto"/>
        </w:rPr>
        <w:t>Prohibited Investee Update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within five (5) Business Days of delivery of any Prohibited Investee Update, Investor shall have the right to object, in accordance with </w:t>
      </w:r>
      <w:r>
        <w:rPr>
          <w:rFonts w:ascii="Arial" w:cs="Arial" w:eastAsia="Arial" w:hAnsi="Arial"/>
          <w:sz w:val="18"/>
          <w:szCs w:val="18"/>
          <w:u w:val="single" w:color="auto"/>
          <w:color w:val="auto"/>
        </w:rPr>
        <w:t>Section 5.12</w:t>
      </w:r>
      <w:r>
        <w:rPr>
          <w:rFonts w:ascii="Arial" w:cs="Arial" w:eastAsia="Arial" w:hAnsi="Arial"/>
          <w:sz w:val="18"/>
          <w:szCs w:val="18"/>
          <w:color w:val="auto"/>
        </w:rPr>
        <w:t>, to inclusion of a Person (each an "</w:t>
      </w:r>
      <w:r>
        <w:rPr>
          <w:rFonts w:ascii="Arial" w:cs="Arial" w:eastAsia="Arial" w:hAnsi="Arial"/>
          <w:sz w:val="18"/>
          <w:szCs w:val="18"/>
          <w:u w:val="single" w:color="auto"/>
          <w:color w:val="auto"/>
        </w:rPr>
        <w:t>Objected Investee</w:t>
      </w:r>
      <w:r>
        <w:rPr>
          <w:rFonts w:ascii="Arial" w:cs="Arial" w:eastAsia="Arial" w:hAnsi="Arial"/>
          <w:sz w:val="18"/>
          <w:szCs w:val="18"/>
          <w:color w:val="auto"/>
        </w:rPr>
        <w:t>") on such Prohibited Investee Update on the basis that such Person is not a Competitor or that such Person is otherwise excluded from the definition of Prohibited Investee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Objected Investee shall not be a Prohibited Investee unless and until it is finally determined that such Objected Investee is a Prohibited Investee in accordance with the procedures set forth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(y) unless and until it is finally determined that such Objected Investee is or is not a Prohibited Investee in accordance with the procedures set forth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no Investor Party shall acquire any additional equity securities in such Objected Investee or designate or obtain the right to designate board member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a Prohibited Investee Update may not be delivered until the date that is six-months after the date of the Agreement or provided more frequently than one (1) time per 6-month period and (b) the Prohibited Investee list (as updated from time to time by any Prohibited Investee Update) shall not include more than two (2) Persons at any time (Affiliated Persons counting as one (1) Person for this purpose). A Prohibited Investee shall not include any Person (i) that Investor or any of its Affiliates own equity securities (or any securities exchangeable, convertible or exercisable for equity securities) representing 10% or more of the voting equity securities or equity thereof (on an as-exchanged, converted or exercised basis), or (ii) on whose board of directors (or similar managing body) Investor or any of its Affiliates have an employee or other designee serving as a director (or similar manager) or have a contractual right to a director designee (or similar manager) that has not been irrevocably waived by Investor or such Affiliates, in each case as of the date of the Prohibited Investee Update naming such Person.</w:t>
      </w:r>
    </w:p>
    <w:p>
      <w:pPr>
        <w:spacing w:after="0" w:line="173"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Prohibited Investee Update</w:t>
      </w:r>
      <w:r>
        <w:rPr>
          <w:rFonts w:ascii="Arial" w:cs="Arial" w:eastAsia="Arial" w:hAnsi="Arial"/>
          <w:sz w:val="20"/>
          <w:szCs w:val="20"/>
          <w:color w:val="auto"/>
        </w:rPr>
        <w:t>" has the meaning set forth in the definition of "Prohibited Investee."</w:t>
      </w:r>
    </w:p>
    <w:p>
      <w:pPr>
        <w:spacing w:after="0" w:line="216" w:lineRule="exact"/>
        <w:rPr>
          <w:sz w:val="20"/>
          <w:szCs w:val="20"/>
          <w:color w:val="auto"/>
        </w:rPr>
      </w:pPr>
    </w:p>
    <w:p>
      <w:pPr>
        <w:jc w:val="both"/>
        <w:ind w:firstLine="1902"/>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Prohibited Transferee</w:t>
      </w:r>
      <w:r>
        <w:rPr>
          <w:rFonts w:ascii="Arial" w:cs="Arial" w:eastAsia="Arial" w:hAnsi="Arial"/>
          <w:sz w:val="20"/>
          <w:szCs w:val="20"/>
          <w:color w:val="auto"/>
        </w:rPr>
        <w:t>” means the Persons (and Persons known by Investor to be Affiliates thereof) named as such on a list set forth in a letter, dated the date hereof, agreed to by the Company and Investor, which list may be updated in a writing delivered by the Company to Investor (each a "</w:t>
      </w:r>
      <w:r>
        <w:rPr>
          <w:rFonts w:ascii="Arial" w:cs="Arial" w:eastAsia="Arial" w:hAnsi="Arial"/>
          <w:sz w:val="20"/>
          <w:szCs w:val="20"/>
          <w:u w:val="single" w:color="auto"/>
          <w:color w:val="auto"/>
        </w:rPr>
        <w:t>Prohibited Transferee Update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within 5 Business Days of delivery of any Prohibited Transferee Update, Investor shall have the right to object, in accordance with </w:t>
      </w:r>
      <w:r>
        <w:rPr>
          <w:rFonts w:ascii="Arial" w:cs="Arial" w:eastAsia="Arial" w:hAnsi="Arial"/>
          <w:sz w:val="20"/>
          <w:szCs w:val="20"/>
          <w:u w:val="single" w:color="auto"/>
          <w:color w:val="auto"/>
        </w:rPr>
        <w:t>Section 5.12</w:t>
      </w:r>
      <w:r>
        <w:rPr>
          <w:rFonts w:ascii="Arial" w:cs="Arial" w:eastAsia="Arial" w:hAnsi="Arial"/>
          <w:sz w:val="20"/>
          <w:szCs w:val="20"/>
          <w:color w:val="auto"/>
        </w:rPr>
        <w:t>, to inclusion of a Person on such Prohibited Transferee Update (each an "</w:t>
      </w:r>
      <w:r>
        <w:rPr>
          <w:rFonts w:ascii="Arial" w:cs="Arial" w:eastAsia="Arial" w:hAnsi="Arial"/>
          <w:sz w:val="20"/>
          <w:szCs w:val="20"/>
          <w:u w:val="single" w:color="auto"/>
          <w:color w:val="auto"/>
        </w:rPr>
        <w:t>Objected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 w:name="page13"/>
    <w:bookmarkEnd w:id="12"/>
    <w:p>
      <w:pPr>
        <w:jc w:val="both"/>
        <w:spacing w:after="0" w:line="243" w:lineRule="auto"/>
        <w:rPr>
          <w:sz w:val="20"/>
          <w:szCs w:val="20"/>
          <w:color w:val="auto"/>
        </w:rPr>
      </w:pPr>
      <w:r>
        <w:rPr>
          <w:rFonts w:ascii="Arial" w:cs="Arial" w:eastAsia="Arial" w:hAnsi="Arial"/>
          <w:sz w:val="20"/>
          <w:szCs w:val="20"/>
          <w:u w:val="single" w:color="auto"/>
          <w:color w:val="auto"/>
        </w:rPr>
        <w:t>Transferee</w:t>
      </w:r>
      <w:r>
        <w:rPr>
          <w:rFonts w:ascii="Arial" w:cs="Arial" w:eastAsia="Arial" w:hAnsi="Arial"/>
          <w:sz w:val="20"/>
          <w:szCs w:val="20"/>
          <w:color w:val="auto"/>
        </w:rPr>
        <w:t>") on the basis that such Person is not a Competitor or that such Person is otherwise excluded from the definition of Prohibited Transferee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Objected Transferee shall not be a Prohibited Transferee unless and until it is finally determined that such Objected Transferee is a Prohibited Transferee in accordance with the procedures set forth in </w:t>
      </w:r>
      <w:r>
        <w:rPr>
          <w:rFonts w:ascii="Arial" w:cs="Arial" w:eastAsia="Arial" w:hAnsi="Arial"/>
          <w:sz w:val="20"/>
          <w:szCs w:val="20"/>
          <w:u w:val="single" w:color="auto"/>
          <w:color w:val="auto"/>
        </w:rPr>
        <w:t>Section 5.12</w:t>
      </w:r>
      <w:r>
        <w:rPr>
          <w:rFonts w:ascii="Arial" w:cs="Arial" w:eastAsia="Arial" w:hAnsi="Arial"/>
          <w:sz w:val="20"/>
          <w:szCs w:val="20"/>
          <w:color w:val="auto"/>
        </w:rPr>
        <w:t xml:space="preserve">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(a) a Prohibited Transferee Update may not be provided before the date that is six (6) months after the date hereof, or more frequently than one (1) time per 6-month period, beginning six months following the date hereof, and (b) the Prohibited Transferee list (as updated from time to time by any Prohibited Transferee Update) shall not include more than two (2) Persons at any time (Affiliated Persons counting as one (1) Person for this purpose).</w:t>
      </w:r>
    </w:p>
    <w:p>
      <w:pPr>
        <w:spacing w:after="0" w:line="193"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Prohibited Transferee Update</w:t>
      </w:r>
      <w:r>
        <w:rPr>
          <w:rFonts w:ascii="Arial" w:cs="Arial" w:eastAsia="Arial" w:hAnsi="Arial"/>
          <w:sz w:val="20"/>
          <w:szCs w:val="20"/>
          <w:color w:val="auto"/>
        </w:rPr>
        <w:t>" has the meaning set forth in the definition of "Prohibited Transferee."</w:t>
      </w:r>
    </w:p>
    <w:p>
      <w:pPr>
        <w:spacing w:after="0" w:line="216" w:lineRule="exact"/>
        <w:rPr>
          <w:sz w:val="20"/>
          <w:szCs w:val="20"/>
          <w:color w:val="auto"/>
        </w:rPr>
      </w:pPr>
    </w:p>
    <w:p>
      <w:pPr>
        <w:jc w:val="both"/>
        <w:ind w:firstLine="1902"/>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means, at any particular time, the actual aggregate gross amount in cash paid by the Investor Parties in respect of the acquisition of Common Stock (including all bona fide amounts paid to third parties in respect of commissions and brokers’ fees in connection with such acquisition) from and after the date of this Agreement and through the acquisition upon which the Investor Parties acquire the Minimum Stock Ownership Threshold (it being understood that Investor shall provide reasonable documentation evidencing the payment of the Purchase Price to the Company upon reasonable request).</w:t>
      </w:r>
    </w:p>
    <w:p>
      <w:pPr>
        <w:spacing w:after="0" w:line="181" w:lineRule="exact"/>
        <w:rPr>
          <w:sz w:val="20"/>
          <w:szCs w:val="20"/>
          <w:color w:val="auto"/>
        </w:rPr>
      </w:pPr>
    </w:p>
    <w:p>
      <w:pPr>
        <w:jc w:val="both"/>
        <w:ind w:right="20" w:firstLine="1902"/>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directors, officers, employees, investment bankers, financial advisors, attorneys, accountants, consultants or other advisors, agents or representatives of such Person and their respective Affiliates.</w:t>
      </w:r>
    </w:p>
    <w:p>
      <w:pPr>
        <w:spacing w:after="0" w:line="130"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16" w:lineRule="exact"/>
        <w:rPr>
          <w:sz w:val="20"/>
          <w:szCs w:val="20"/>
          <w:color w:val="auto"/>
        </w:rPr>
      </w:pPr>
    </w:p>
    <w:p>
      <w:pPr>
        <w:jc w:val="both"/>
        <w:ind w:firstLine="1902"/>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another Person, an amount of the voting securities, other voting rights or voting partnership interests of which is sufficient to elect at least a majority of its board of directors or other governing body (or if there are no such voting interests, more than 50% of the equity interests of which) is owned directly or indirectly by such first Person.</w:t>
      </w:r>
    </w:p>
    <w:p>
      <w:pPr>
        <w:spacing w:after="0" w:line="170" w:lineRule="exact"/>
        <w:rPr>
          <w:sz w:val="20"/>
          <w:szCs w:val="20"/>
          <w:color w:val="auto"/>
        </w:rPr>
      </w:pPr>
    </w:p>
    <w:p>
      <w:pPr>
        <w:jc w:val="both"/>
        <w:ind w:right="20"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xml:space="preserve">” means the (i) designation by Investor of its designee for election to the Board pursuant to </w:t>
      </w:r>
      <w:r>
        <w:rPr>
          <w:rFonts w:ascii="Arial" w:cs="Arial" w:eastAsia="Arial" w:hAnsi="Arial"/>
          <w:sz w:val="20"/>
          <w:szCs w:val="20"/>
          <w:u w:val="single" w:color="auto"/>
          <w:color w:val="auto"/>
        </w:rPr>
        <w:t>Section 4.07</w:t>
      </w:r>
      <w:r>
        <w:rPr>
          <w:rFonts w:ascii="Arial" w:cs="Arial" w:eastAsia="Arial" w:hAnsi="Arial"/>
          <w:sz w:val="20"/>
          <w:szCs w:val="20"/>
          <w:color w:val="auto"/>
        </w:rPr>
        <w:t xml:space="preserve"> and (ii) the acquisition by Investor of the Minimum Stock Ownership Threshold.</w:t>
      </w:r>
    </w:p>
    <w:p>
      <w:pPr>
        <w:spacing w:after="0" w:line="177" w:lineRule="exact"/>
        <w:rPr>
          <w:sz w:val="20"/>
          <w:szCs w:val="20"/>
          <w:color w:val="auto"/>
        </w:rPr>
      </w:pPr>
    </w:p>
    <w:p>
      <w:pPr>
        <w:jc w:val="both"/>
        <w:ind w:firstLine="19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by any Person means,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interest in any equity securities beneficially owned by such Person.</w:t>
      </w:r>
    </w:p>
    <w:p>
      <w:pPr>
        <w:spacing w:after="0" w:line="162" w:lineRule="exact"/>
        <w:rPr>
          <w:sz w:val="20"/>
          <w:szCs w:val="20"/>
          <w:color w:val="auto"/>
        </w:rPr>
      </w:pPr>
    </w:p>
    <w:p>
      <w:pPr>
        <w:jc w:val="both"/>
        <w:ind w:firstLine="19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VC Entity</w:t>
      </w:r>
      <w:r>
        <w:rPr>
          <w:rFonts w:ascii="Arial" w:cs="Arial" w:eastAsia="Arial" w:hAnsi="Arial"/>
          <w:sz w:val="20"/>
          <w:szCs w:val="20"/>
          <w:color w:val="auto"/>
        </w:rPr>
        <w:t>" means an entity that has an enterprise value at the time that Investor or an Affiliate thereof makes an investment therein of less than $250 million.</w:t>
      </w:r>
    </w:p>
    <w:p>
      <w:pPr>
        <w:spacing w:after="0" w:line="177"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Update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5.12(a)</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 of the Company</w:t>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The Company represents and warrants to Investor as of the date hereof:</w:t>
      </w:r>
    </w:p>
    <w:p>
      <w:pPr>
        <w:spacing w:after="0" w:line="211" w:lineRule="exact"/>
        <w:rPr>
          <w:sz w:val="20"/>
          <w:szCs w:val="20"/>
          <w:color w:val="auto"/>
        </w:rPr>
      </w:pPr>
    </w:p>
    <w:p>
      <w:pPr>
        <w:jc w:val="both"/>
        <w:ind w:firstLine="1902"/>
        <w:spacing w:after="0" w:line="236" w:lineRule="auto"/>
        <w:rPr>
          <w:sz w:val="20"/>
          <w:szCs w:val="20"/>
          <w:color w:val="auto"/>
        </w:rPr>
      </w:pP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w:t>
      </w:r>
      <w:r>
        <w:rPr>
          <w:rFonts w:ascii="Arial" w:cs="Arial" w:eastAsia="Arial" w:hAnsi="Arial"/>
          <w:sz w:val="19"/>
          <w:szCs w:val="19"/>
          <w:u w:val="single" w:color="auto"/>
          <w:color w:val="auto"/>
        </w:rPr>
        <w:t>Organization; Standing</w:t>
      </w:r>
      <w:r>
        <w:rPr>
          <w:rFonts w:ascii="Arial" w:cs="Arial" w:eastAsia="Arial" w:hAnsi="Arial"/>
          <w:sz w:val="19"/>
          <w:szCs w:val="19"/>
          <w:color w:val="auto"/>
        </w:rPr>
        <w:t>. The Company is a corporation duly organized, validly existing and in</w:t>
      </w:r>
      <w:r>
        <w:rPr>
          <w:rFonts w:ascii="Arial" w:cs="Arial" w:eastAsia="Arial" w:hAnsi="Arial"/>
          <w:sz w:val="22"/>
          <w:szCs w:val="22"/>
          <w:color w:val="auto"/>
        </w:rPr>
        <w:t xml:space="preserve"> </w:t>
      </w:r>
      <w:r>
        <w:rPr>
          <w:rFonts w:ascii="Arial" w:cs="Arial" w:eastAsia="Arial" w:hAnsi="Arial"/>
          <w:sz w:val="19"/>
          <w:szCs w:val="19"/>
          <w:color w:val="auto"/>
        </w:rPr>
        <w:t>good standing under the Laws of the State of Delaware.</w:t>
      </w:r>
    </w:p>
    <w:p>
      <w:pPr>
        <w:spacing w:after="0" w:line="191" w:lineRule="exact"/>
        <w:rPr>
          <w:sz w:val="20"/>
          <w:szCs w:val="20"/>
          <w:color w:val="auto"/>
        </w:rPr>
      </w:pPr>
    </w:p>
    <w:p>
      <w:pPr>
        <w:jc w:val="both"/>
        <w:ind w:firstLine="1902"/>
        <w:spacing w:after="0" w:line="249" w:lineRule="auto"/>
        <w:rPr>
          <w:sz w:val="20"/>
          <w:szCs w:val="20"/>
          <w:color w:val="auto"/>
        </w:rPr>
      </w:pP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w:t>
      </w:r>
      <w:r>
        <w:rPr>
          <w:rFonts w:ascii="Arial" w:cs="Arial" w:eastAsia="Arial" w:hAnsi="Arial"/>
          <w:sz w:val="19"/>
          <w:szCs w:val="19"/>
          <w:u w:val="single" w:color="auto"/>
          <w:color w:val="auto"/>
        </w:rPr>
        <w:t>Authority; Noncontravention</w:t>
      </w:r>
      <w:r>
        <w:rPr>
          <w:rFonts w:ascii="Arial" w:cs="Arial" w:eastAsia="Arial" w:hAnsi="Arial"/>
          <w:sz w:val="19"/>
          <w:szCs w:val="19"/>
          <w:color w:val="auto"/>
        </w:rPr>
        <w:t>. (a) The Company has all necessary corporate power and corporate</w:t>
      </w:r>
      <w:r>
        <w:rPr>
          <w:rFonts w:ascii="Arial" w:cs="Arial" w:eastAsia="Arial" w:hAnsi="Arial"/>
          <w:sz w:val="22"/>
          <w:szCs w:val="22"/>
          <w:color w:val="auto"/>
        </w:rPr>
        <w:t xml:space="preserve"> </w:t>
      </w:r>
      <w:r>
        <w:rPr>
          <w:rFonts w:ascii="Arial" w:cs="Arial" w:eastAsia="Arial" w:hAnsi="Arial"/>
          <w:sz w:val="19"/>
          <w:szCs w:val="19"/>
          <w:color w:val="auto"/>
        </w:rPr>
        <w:t>authority to execute and deliver this Agreement and to perform its obligations hereunder. The execution, delivery and performance by the Company of this Agreement have been duly authorized by the Board and no other corporate action on the part of the Company is necessary to authorize the execution, delivery and performance by the Company of this Agreement. This Agreement has been duly executed and delivered by the Company and, assuming due authorization, execution and delivery hereof by the Investor,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Arial" w:cs="Arial" w:eastAsia="Arial" w:hAnsi="Arial"/>
          <w:sz w:val="19"/>
          <w:szCs w:val="19"/>
          <w:u w:val="single" w:color="auto"/>
          <w:color w:val="auto"/>
        </w:rPr>
        <w:t>Bankruptcy and Equity Exception</w:t>
      </w:r>
      <w:r>
        <w:rPr>
          <w:rFonts w:ascii="Arial" w:cs="Arial" w:eastAsia="Arial" w:hAnsi="Arial"/>
          <w:sz w:val="19"/>
          <w:szCs w:val="19"/>
          <w:color w:val="auto"/>
        </w:rPr>
        <w:t>”).</w:t>
      </w:r>
    </w:p>
    <w:p>
      <w:pPr>
        <w:spacing w:after="0" w:line="202" w:lineRule="exact"/>
        <w:rPr>
          <w:sz w:val="20"/>
          <w:szCs w:val="20"/>
          <w:color w:val="auto"/>
        </w:rPr>
      </w:pPr>
    </w:p>
    <w:p>
      <w:pPr>
        <w:jc w:val="both"/>
        <w:ind w:firstLine="1910"/>
        <w:spacing w:after="0" w:line="267" w:lineRule="auto"/>
        <w:tabs>
          <w:tab w:leader="none" w:pos="2803" w:val="left"/>
        </w:tabs>
        <w:numPr>
          <w:ilvl w:val="1"/>
          <w:numId w:val="4"/>
        </w:numPr>
        <w:rPr>
          <w:rFonts w:ascii="Arial" w:cs="Arial" w:eastAsia="Arial" w:hAnsi="Arial"/>
          <w:sz w:val="19"/>
          <w:szCs w:val="19"/>
          <w:color w:val="auto"/>
        </w:rPr>
      </w:pPr>
      <w:r>
        <w:rPr>
          <w:rFonts w:ascii="Arial" w:cs="Arial" w:eastAsia="Arial" w:hAnsi="Arial"/>
          <w:sz w:val="18"/>
          <w:szCs w:val="18"/>
          <w:color w:val="auto"/>
        </w:rPr>
        <w:t xml:space="preserve">Neither the execution and delivery of this Agreement by the Company, nor the performance by the Company with any of the terms or provisions hereof, will (i) conflict with or violate any provision of the Company Charter Documents or (ii) assuming that the authorizations, consents and approvals referred to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are obtained prior to the Nomination Start Date and the filings referred to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are made and any waiting periods thereunder have terminated or expired prior to the Nomination Start Date,</w:t>
      </w:r>
    </w:p>
    <w:p>
      <w:pPr>
        <w:jc w:val="both"/>
        <w:ind w:firstLine="8"/>
        <w:spacing w:after="0" w:line="254" w:lineRule="auto"/>
        <w:tabs>
          <w:tab w:leader="none" w:pos="298" w:val="left"/>
        </w:tabs>
        <w:numPr>
          <w:ilvl w:val="0"/>
          <w:numId w:val="5"/>
        </w:numPr>
        <w:rPr>
          <w:rFonts w:ascii="Arial" w:cs="Arial" w:eastAsia="Arial" w:hAnsi="Arial"/>
          <w:sz w:val="19"/>
          <w:szCs w:val="19"/>
          <w:color w:val="auto"/>
        </w:rPr>
      </w:pPr>
      <w:r>
        <w:rPr>
          <w:rFonts w:ascii="Arial" w:cs="Arial" w:eastAsia="Arial" w:hAnsi="Arial"/>
          <w:sz w:val="19"/>
          <w:szCs w:val="19"/>
          <w:color w:val="auto"/>
        </w:rPr>
        <w:t>violate any Law or Judgment applicable to the Company or any of its Subsidiaries or (y) violate or constitute a default (or constitute an event which, with notice or lapse of time or both, would violate or constitute a default) under any of the terms or provisions of any loan or credit agreement, indenture, debenture, note, bond, mortgage, deed of trust, lease, sublease, license, contract or other agreement (each, a “</w:t>
      </w:r>
      <w:r>
        <w:rPr>
          <w:rFonts w:ascii="Arial" w:cs="Arial" w:eastAsia="Arial" w:hAnsi="Arial"/>
          <w:sz w:val="19"/>
          <w:szCs w:val="19"/>
          <w:u w:val="single" w:color="auto"/>
          <w:color w:val="auto"/>
        </w:rPr>
        <w:t>Contract</w:t>
      </w:r>
      <w:r>
        <w:rPr>
          <w:rFonts w:ascii="Arial" w:cs="Arial" w:eastAsia="Arial" w:hAnsi="Arial"/>
          <w:sz w:val="19"/>
          <w:szCs w:val="19"/>
          <w:color w:val="auto"/>
        </w:rPr>
        <w:t>”) to which the Company or any of its Subsidiaries is a party or accelerate the Company’s or, if applicable, any of its Subsidiaries’ obligations under any such Contract, except in the case of clause (ii), for such violations or defaults as would not, individually or in the aggregate, reasonably be expected to (1) have a material adverse effect on the results of operations, business or financial condition of the Company and its Subsidiaries, taken as a whole or (2) prevent or materially delay, interfere with, hinder or impair the compliance by the Company with its obligations under this Agreement.</w:t>
      </w:r>
    </w:p>
    <w:p>
      <w:pPr>
        <w:spacing w:after="0" w:line="182" w:lineRule="exact"/>
        <w:rPr>
          <w:sz w:val="20"/>
          <w:szCs w:val="20"/>
          <w:color w:val="auto"/>
        </w:rPr>
      </w:pPr>
    </w:p>
    <w:p>
      <w:pPr>
        <w:jc w:val="both"/>
        <w:ind w:firstLine="1902"/>
        <w:spacing w:after="0" w:line="262" w:lineRule="auto"/>
        <w:rPr>
          <w:sz w:val="20"/>
          <w:szCs w:val="20"/>
          <w:color w:val="auto"/>
        </w:rPr>
      </w:pP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Except for (a) the filing with the SEC of such current reports and other</w:t>
      </w:r>
      <w:r>
        <w:rPr>
          <w:rFonts w:ascii="Arial" w:cs="Arial" w:eastAsia="Arial" w:hAnsi="Arial"/>
          <w:sz w:val="21"/>
          <w:szCs w:val="21"/>
          <w:color w:val="auto"/>
        </w:rPr>
        <w:t xml:space="preserve"> </w:t>
      </w:r>
      <w:r>
        <w:rPr>
          <w:rFonts w:ascii="Arial" w:cs="Arial" w:eastAsia="Arial" w:hAnsi="Arial"/>
          <w:sz w:val="18"/>
          <w:szCs w:val="18"/>
          <w:color w:val="auto"/>
        </w:rPr>
        <w:t>documents, if any required to be filed with the SEC under the Exchange Act in connection with the transactions, (b) filings required under, and compliance with other applicable requirements of the HSR Act and (c) filings required under the DPA (with respect to the filing of the CFIUS Notice and satisfaction of the CFIUS Approval Condition), no consent or approval of, or filing, license, permit or authorization, declaration or registration with, any Governmental Authority is necessary for the execution, delivery and performance of this Agreement by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 of the Investor</w:t>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Investor represents and warrants to the Company as of the date hereof:</w:t>
      </w:r>
    </w:p>
    <w:p>
      <w:pPr>
        <w:spacing w:after="0" w:line="211" w:lineRule="exact"/>
        <w:rPr>
          <w:sz w:val="20"/>
          <w:szCs w:val="20"/>
          <w:color w:val="auto"/>
        </w:rPr>
      </w:pPr>
    </w:p>
    <w:p>
      <w:pPr>
        <w:jc w:val="both"/>
        <w:ind w:firstLine="1902"/>
        <w:spacing w:after="0" w:line="236" w:lineRule="auto"/>
        <w:rPr>
          <w:sz w:val="20"/>
          <w:szCs w:val="20"/>
          <w:color w:val="auto"/>
        </w:rPr>
      </w:pP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w:t>
      </w:r>
      <w:r>
        <w:rPr>
          <w:rFonts w:ascii="Arial" w:cs="Arial" w:eastAsia="Arial" w:hAnsi="Arial"/>
          <w:sz w:val="19"/>
          <w:szCs w:val="19"/>
          <w:u w:val="single" w:color="auto"/>
          <w:color w:val="auto"/>
        </w:rPr>
        <w:t>Organization; Standing</w:t>
      </w:r>
      <w:r>
        <w:rPr>
          <w:rFonts w:ascii="Arial" w:cs="Arial" w:eastAsia="Arial" w:hAnsi="Arial"/>
          <w:sz w:val="19"/>
          <w:szCs w:val="19"/>
          <w:color w:val="auto"/>
        </w:rPr>
        <w:t>. Investor is an exempt company duly organized, validly existing and in</w:t>
      </w:r>
      <w:r>
        <w:rPr>
          <w:rFonts w:ascii="Arial" w:cs="Arial" w:eastAsia="Arial" w:hAnsi="Arial"/>
          <w:sz w:val="22"/>
          <w:szCs w:val="22"/>
          <w:color w:val="auto"/>
        </w:rPr>
        <w:t xml:space="preserve"> </w:t>
      </w:r>
      <w:r>
        <w:rPr>
          <w:rFonts w:ascii="Arial" w:cs="Arial" w:eastAsia="Arial" w:hAnsi="Arial"/>
          <w:sz w:val="19"/>
          <w:szCs w:val="19"/>
          <w:color w:val="auto"/>
        </w:rPr>
        <w:t>good standing under the Laws of the Cayman Islands.</w:t>
      </w:r>
    </w:p>
    <w:p>
      <w:pPr>
        <w:spacing w:after="0" w:line="191" w:lineRule="exact"/>
        <w:rPr>
          <w:sz w:val="20"/>
          <w:szCs w:val="20"/>
          <w:color w:val="auto"/>
        </w:rPr>
      </w:pPr>
    </w:p>
    <w:p>
      <w:pPr>
        <w:jc w:val="both"/>
        <w:ind w:firstLine="1902"/>
        <w:spacing w:after="0" w:line="270" w:lineRule="auto"/>
        <w:rPr>
          <w:sz w:val="20"/>
          <w:szCs w:val="20"/>
          <w:color w:val="auto"/>
        </w:rPr>
      </w:pP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w:t>
      </w:r>
      <w:r>
        <w:rPr>
          <w:rFonts w:ascii="Arial" w:cs="Arial" w:eastAsia="Arial" w:hAnsi="Arial"/>
          <w:sz w:val="18"/>
          <w:szCs w:val="18"/>
          <w:u w:val="single" w:color="auto"/>
          <w:color w:val="auto"/>
        </w:rPr>
        <w:t>Authority; Noncontravention</w:t>
      </w:r>
      <w:r>
        <w:rPr>
          <w:rFonts w:ascii="Arial" w:cs="Arial" w:eastAsia="Arial" w:hAnsi="Arial"/>
          <w:sz w:val="18"/>
          <w:szCs w:val="18"/>
          <w:color w:val="auto"/>
        </w:rPr>
        <w:t>. (a) Investor has all necessary corporate power and corporate</w:t>
      </w:r>
      <w:r>
        <w:rPr>
          <w:rFonts w:ascii="Arial" w:cs="Arial" w:eastAsia="Arial" w:hAnsi="Arial"/>
          <w:sz w:val="21"/>
          <w:szCs w:val="21"/>
          <w:color w:val="auto"/>
        </w:rPr>
        <w:t xml:space="preserve"> </w:t>
      </w:r>
      <w:r>
        <w:rPr>
          <w:rFonts w:ascii="Arial" w:cs="Arial" w:eastAsia="Arial" w:hAnsi="Arial"/>
          <w:sz w:val="18"/>
          <w:szCs w:val="18"/>
          <w:color w:val="auto"/>
        </w:rPr>
        <w:t>authority to execute and deliver this Agreement and to perform its obligations hereunder. The execution, delivery and performance by Investor of this Agreement have been duly authorized and approved by all necessary corporate action on the part of Investor, and no further action, approval or authorization on the part of Investor or by any of its stockholders, partners, members or other equity owners, as the case may be, is necessary to authorize the execution, delivery and performance by Investor of this Agreement. This Agreement has been duly executed and delivered by Investor and, assuming due authorization, execution and delivery hereof by the Company, constitutes a legal, valid and binding obligation of Investor, enforceable against it in accordance with its terms, subject to the Bankruptcy and Equity Exception.</w:t>
      </w:r>
    </w:p>
    <w:p>
      <w:pPr>
        <w:spacing w:after="0" w:line="186" w:lineRule="exact"/>
        <w:rPr>
          <w:sz w:val="20"/>
          <w:szCs w:val="20"/>
          <w:color w:val="auto"/>
        </w:rPr>
      </w:pPr>
    </w:p>
    <w:p>
      <w:pPr>
        <w:jc w:val="both"/>
        <w:ind w:firstLine="1910"/>
        <w:spacing w:after="0" w:line="253" w:lineRule="auto"/>
        <w:tabs>
          <w:tab w:leader="none" w:pos="2803" w:val="left"/>
        </w:tabs>
        <w:numPr>
          <w:ilvl w:val="0"/>
          <w:numId w:val="6"/>
        </w:numPr>
        <w:rPr>
          <w:rFonts w:ascii="Arial" w:cs="Arial" w:eastAsia="Arial" w:hAnsi="Arial"/>
          <w:sz w:val="21"/>
          <w:szCs w:val="21"/>
          <w:color w:val="auto"/>
        </w:rPr>
      </w:pPr>
      <w:r>
        <w:rPr>
          <w:rFonts w:ascii="Arial" w:cs="Arial" w:eastAsia="Arial" w:hAnsi="Arial"/>
          <w:sz w:val="19"/>
          <w:szCs w:val="19"/>
          <w:color w:val="auto"/>
        </w:rPr>
        <w:t xml:space="preserve">Neither the execution and delivery of this Agreement by Investor, nor the performance by Investor with any of the terms or provisions hereof, will (i) conflict with or violate any provision of the certificate or articles of incorporation, bylaws or other comparable charter or organizational documents of Investor or (ii) assuming that the authorizations, consents and approvals referred to in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are obtained prior to the filings referred to in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are made and any waiting periods with respect to such filings have terminated or expired (x) violate any Law or Judgment applicable to Investor or any of its Subsidiaries or (y) violate or constitute a default (or constitute an event which, with notice or lapse of time or both, would violate or constitute a default) under any of the terms, conditions or provisions of any Contract to which Investor or any of its Subsidiaries is a party or accelerate Investor’s or any of its Subsidiaries’, if applicable, obligations under any such Contract, except in the case of clause (ii), for such violations or defaults as would not, individually or in the aggregate, reasonably be expected to (1) have a material adverse effect on the results of operations, business or financial condition of Investor and its Subsidiaries, taken as a whole or (2) prevent or materially delay, interfere with, hinder or impair the compliance by Investor with its obligations under this Agreement.</w:t>
      </w:r>
    </w:p>
    <w:p>
      <w:pPr>
        <w:spacing w:after="0" w:line="179" w:lineRule="exact"/>
        <w:rPr>
          <w:sz w:val="20"/>
          <w:szCs w:val="20"/>
          <w:color w:val="auto"/>
        </w:rPr>
      </w:pPr>
    </w:p>
    <w:p>
      <w:pPr>
        <w:jc w:val="both"/>
        <w:ind w:firstLine="1902"/>
        <w:spacing w:after="0" w:line="262" w:lineRule="auto"/>
        <w:rPr>
          <w:sz w:val="20"/>
          <w:szCs w:val="20"/>
          <w:color w:val="auto"/>
        </w:rPr>
      </w:pPr>
      <w:r>
        <w:rPr>
          <w:rFonts w:ascii="Arial" w:cs="Arial" w:eastAsia="Arial" w:hAnsi="Arial"/>
          <w:sz w:val="21"/>
          <w:szCs w:val="21"/>
          <w:u w:val="single" w:color="auto"/>
          <w:color w:val="auto"/>
        </w:rPr>
        <w:t>Section 3.03</w:t>
      </w:r>
      <w:r>
        <w:rPr>
          <w:rFonts w:ascii="Arial" w:cs="Arial" w:eastAsia="Arial" w:hAnsi="Arial"/>
          <w:sz w:val="21"/>
          <w:szCs w:val="21"/>
          <w:color w:val="auto"/>
        </w:rPr>
        <w:t xml:space="preserve"> </w:t>
      </w:r>
      <w:r>
        <w:rPr>
          <w:rFonts w:ascii="Arial" w:cs="Arial" w:eastAsia="Arial" w:hAnsi="Arial"/>
          <w:sz w:val="18"/>
          <w:szCs w:val="18"/>
          <w:u w:val="single" w:color="auto"/>
          <w:color w:val="auto"/>
        </w:rPr>
        <w:t>Governmental Approvals.</w:t>
      </w:r>
      <w:r>
        <w:rPr>
          <w:rFonts w:ascii="Arial" w:cs="Arial" w:eastAsia="Arial" w:hAnsi="Arial"/>
          <w:sz w:val="21"/>
          <w:szCs w:val="21"/>
          <w:color w:val="auto"/>
        </w:rPr>
        <w:t xml:space="preserve"> </w:t>
      </w:r>
      <w:r>
        <w:rPr>
          <w:rFonts w:ascii="Arial" w:cs="Arial" w:eastAsia="Arial" w:hAnsi="Arial"/>
          <w:sz w:val="18"/>
          <w:szCs w:val="18"/>
          <w:color w:val="auto"/>
        </w:rPr>
        <w:t>Except for (a) the filing with the SEC of such current reports and other</w:t>
      </w:r>
      <w:r>
        <w:rPr>
          <w:rFonts w:ascii="Arial" w:cs="Arial" w:eastAsia="Arial" w:hAnsi="Arial"/>
          <w:sz w:val="21"/>
          <w:szCs w:val="21"/>
          <w:color w:val="auto"/>
        </w:rPr>
        <w:t xml:space="preserve"> </w:t>
      </w:r>
      <w:r>
        <w:rPr>
          <w:rFonts w:ascii="Arial" w:cs="Arial" w:eastAsia="Arial" w:hAnsi="Arial"/>
          <w:sz w:val="18"/>
          <w:szCs w:val="18"/>
          <w:color w:val="auto"/>
        </w:rPr>
        <w:t>documents, if any required to be filed with the SEC under the Exchange Act in connection with the transactions, (b) filings required under, and compliance with other applicable requirements of the HSR Act and (c) filings required under the DPA (with respect to the filing of the CFIUS Notice and satisfaction of the CFIUS Approval Condition), no consent or approval of, or filing, license, permit or authorization, declaration or registration with, any Governmental Authority is necessary for the execution, delivery and performance of this Agreement by the Investor.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Additional Agreements</w:t>
      </w:r>
    </w:p>
    <w:p>
      <w:pPr>
        <w:spacing w:after="0" w:line="211" w:lineRule="exact"/>
        <w:rPr>
          <w:sz w:val="20"/>
          <w:szCs w:val="20"/>
          <w:color w:val="auto"/>
        </w:rPr>
      </w:pPr>
    </w:p>
    <w:p>
      <w:pPr>
        <w:ind w:left="1920"/>
        <w:spacing w:after="0"/>
        <w:tabs>
          <w:tab w:leader="none" w:pos="3620" w:val="left"/>
        </w:tabs>
        <w:rPr>
          <w:sz w:val="20"/>
          <w:szCs w:val="20"/>
          <w:color w:val="auto"/>
        </w:rPr>
      </w:pPr>
      <w:r>
        <w:rPr>
          <w:rFonts w:ascii="Arial" w:cs="Arial" w:eastAsia="Arial" w:hAnsi="Arial"/>
          <w:sz w:val="22"/>
          <w:szCs w:val="22"/>
          <w:u w:val="single" w:color="auto"/>
          <w:color w:val="auto"/>
        </w:rPr>
        <w:t>Section 4.01</w:t>
      </w:r>
      <w:r>
        <w:rPr>
          <w:sz w:val="20"/>
          <w:szCs w:val="20"/>
          <w:color w:val="auto"/>
        </w:rPr>
        <w:tab/>
      </w:r>
      <w:r>
        <w:rPr>
          <w:rFonts w:ascii="Arial" w:cs="Arial" w:eastAsia="Arial" w:hAnsi="Arial"/>
          <w:sz w:val="18"/>
          <w:szCs w:val="18"/>
          <w:u w:val="single" w:color="auto"/>
          <w:color w:val="auto"/>
        </w:rPr>
        <w:t>HSR; CFIUS</w:t>
      </w:r>
      <w:r>
        <w:rPr>
          <w:rFonts w:ascii="Arial" w:cs="Arial" w:eastAsia="Arial" w:hAnsi="Arial"/>
          <w:sz w:val="18"/>
          <w:szCs w:val="18"/>
          <w:color w:val="auto"/>
        </w:rPr>
        <w:t>.</w:t>
      </w:r>
    </w:p>
    <w:p>
      <w:pPr>
        <w:spacing w:after="0" w:line="224" w:lineRule="exact"/>
        <w:rPr>
          <w:sz w:val="20"/>
          <w:szCs w:val="20"/>
          <w:color w:val="auto"/>
        </w:rPr>
      </w:pPr>
    </w:p>
    <w:p>
      <w:pPr>
        <w:jc w:val="both"/>
        <w:ind w:firstLine="1910"/>
        <w:spacing w:after="0" w:line="268" w:lineRule="auto"/>
        <w:tabs>
          <w:tab w:leader="none" w:pos="2790" w:val="left"/>
        </w:tabs>
        <w:numPr>
          <w:ilvl w:val="0"/>
          <w:numId w:val="7"/>
        </w:numPr>
        <w:rPr>
          <w:rFonts w:ascii="Arial" w:cs="Arial" w:eastAsia="Arial" w:hAnsi="Arial"/>
          <w:sz w:val="19"/>
          <w:szCs w:val="19"/>
          <w:color w:val="auto"/>
        </w:rPr>
      </w:pPr>
      <w:r>
        <w:rPr>
          <w:rFonts w:ascii="Arial" w:cs="Arial" w:eastAsia="Arial" w:hAnsi="Arial"/>
          <w:sz w:val="18"/>
          <w:szCs w:val="18"/>
          <w:color w:val="auto"/>
        </w:rPr>
        <w:t>The Company and Investor have made, or agree to make, an appropriate filing of a Notification and Report Form (“</w:t>
      </w:r>
      <w:r>
        <w:rPr>
          <w:rFonts w:ascii="Arial" w:cs="Arial" w:eastAsia="Arial" w:hAnsi="Arial"/>
          <w:sz w:val="18"/>
          <w:szCs w:val="18"/>
          <w:u w:val="single" w:color="auto"/>
          <w:color w:val="auto"/>
        </w:rPr>
        <w:t>HSR Form</w:t>
      </w:r>
      <w:r>
        <w:rPr>
          <w:rFonts w:ascii="Arial" w:cs="Arial" w:eastAsia="Arial" w:hAnsi="Arial"/>
          <w:sz w:val="18"/>
          <w:szCs w:val="18"/>
          <w:color w:val="auto"/>
        </w:rPr>
        <w:t xml:space="preserve">”) pursuant to the HSR Act with respect to the Transactions as promptly as reasonably practicable following the date of this Agreement (to the extent such a filing has not already been made), and to use commercially reasonable best efforts to make an appropriate response as promptly as reasonably practicable to any requests for additional information and documentary material that may be made pursuant to the HSR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anything to the contrary in this Agreement, nothing in this Agreement shall require, or be construed to require, the Company or Investor (or any Affiliate of either the Company or Investor) to proffer or agree to (i) enter into any settlement, undertaking, consent decree, stipulation or agreement, or engaging in any litigation, administrative, or judicial proceeding, with any Governmental Authority in connection with this Agreement, (ii) sell, divest, lease, license, transfer, dispose of or otherwise encumber, or hold separate and agree to sell, divest, lease, license, transfer, dispose of or otherwise encumber, any of its assets, licenses, operations, rights, product lines, businesses or other interests or (iii) make any or agree to make any changes (including through a licensing arrangement) or restriction on, or other impairment of, its ability to own or operate, any of its assets, licenses, operations, rights, product lines, businesses or other interests. The Company and Investor will each be liable solely for its own respective filing fees in connection with filings made under the HSR Act. The Company and Investor will each be liable for 50% of any other filing fees required to be paid in connection with any other filings to be made under any Laws (other than the HSR Act) in connection with this Agreement or the transactions contemplated hereby.</w:t>
      </w:r>
    </w:p>
    <w:p>
      <w:pPr>
        <w:spacing w:after="0" w:line="195" w:lineRule="exact"/>
        <w:rPr>
          <w:rFonts w:ascii="Arial" w:cs="Arial" w:eastAsia="Arial" w:hAnsi="Arial"/>
          <w:sz w:val="19"/>
          <w:szCs w:val="19"/>
          <w:color w:val="auto"/>
        </w:rPr>
      </w:pPr>
    </w:p>
    <w:p>
      <w:pPr>
        <w:jc w:val="both"/>
        <w:ind w:firstLine="1910"/>
        <w:spacing w:after="0" w:line="270" w:lineRule="auto"/>
        <w:tabs>
          <w:tab w:leader="none" w:pos="2803" w:val="left"/>
        </w:tabs>
        <w:numPr>
          <w:ilvl w:val="0"/>
          <w:numId w:val="7"/>
        </w:numPr>
        <w:rPr>
          <w:rFonts w:ascii="Arial" w:cs="Arial" w:eastAsia="Arial" w:hAnsi="Arial"/>
          <w:sz w:val="19"/>
          <w:szCs w:val="19"/>
          <w:color w:val="auto"/>
        </w:rPr>
      </w:pPr>
      <w:r>
        <w:rPr>
          <w:rFonts w:ascii="Arial" w:cs="Arial" w:eastAsia="Arial" w:hAnsi="Arial"/>
          <w:sz w:val="18"/>
          <w:szCs w:val="18"/>
          <w:color w:val="auto"/>
        </w:rPr>
        <w:t>Each of the Company and Investor shall use its commercially reasonable best efforts to (i) keep the other party informed in all material respects and on a reasonably timely basis of any material communication received by the Company or Investor, as the case may be, from or given by the Company or Investor, as the case may be, to the Federal Trade Commission (“</w:t>
      </w:r>
      <w:r>
        <w:rPr>
          <w:rFonts w:ascii="Arial" w:cs="Arial" w:eastAsia="Arial" w:hAnsi="Arial"/>
          <w:sz w:val="18"/>
          <w:szCs w:val="18"/>
          <w:u w:val="single" w:color="auto"/>
          <w:color w:val="auto"/>
        </w:rPr>
        <w:t>FTC</w:t>
      </w:r>
      <w:r>
        <w:rPr>
          <w:rFonts w:ascii="Arial" w:cs="Arial" w:eastAsia="Arial" w:hAnsi="Arial"/>
          <w:sz w:val="18"/>
          <w:szCs w:val="18"/>
          <w:color w:val="auto"/>
        </w:rPr>
        <w:t>”) or the Department of Justice (“</w:t>
      </w:r>
      <w:r>
        <w:rPr>
          <w:rFonts w:ascii="Arial" w:cs="Arial" w:eastAsia="Arial" w:hAnsi="Arial"/>
          <w:sz w:val="18"/>
          <w:szCs w:val="18"/>
          <w:u w:val="single" w:color="auto"/>
          <w:color w:val="auto"/>
        </w:rPr>
        <w:t>DOJ</w:t>
      </w:r>
      <w:r>
        <w:rPr>
          <w:rFonts w:ascii="Arial" w:cs="Arial" w:eastAsia="Arial" w:hAnsi="Arial"/>
          <w:sz w:val="18"/>
          <w:szCs w:val="18"/>
          <w:color w:val="auto"/>
        </w:rPr>
        <w:t>”) regarding the Transactions, (ii) subject to applicable Laws relating to the exchange of information, and to the extent reasonably practicable, consult with the other party, and consider in good faith the views of the other party, prior to the submission or transmission of any substantive information relating to such party and its respective Affiliates, as the case may be, that appears in any filing made with, or any analyses, appearances, presentations, memoranda, briefs, white papers, arguments, opinions and proposals submitted or presented to, the FTC or the DOJ in connection with the Transactions, other than “4(c) and 4(d) documents” as that term is used in the rules and regulations under the HSR Act and other confidential information contained in the HSR Form, and (iii) to the extent permitted by the FTC or the DOJ, give the other party the opportunity to attend and participate in such meetings and conferences.</w:t>
      </w:r>
    </w:p>
    <w:p>
      <w:pPr>
        <w:spacing w:after="0" w:line="183" w:lineRule="exact"/>
        <w:rPr>
          <w:rFonts w:ascii="Arial" w:cs="Arial" w:eastAsia="Arial" w:hAnsi="Arial"/>
          <w:sz w:val="19"/>
          <w:szCs w:val="19"/>
          <w:color w:val="auto"/>
        </w:rPr>
      </w:pPr>
    </w:p>
    <w:p>
      <w:pPr>
        <w:jc w:val="both"/>
        <w:ind w:firstLine="1910"/>
        <w:spacing w:after="0" w:line="253" w:lineRule="auto"/>
        <w:tabs>
          <w:tab w:leader="none" w:pos="2790" w:val="left"/>
        </w:tabs>
        <w:numPr>
          <w:ilvl w:val="0"/>
          <w:numId w:val="7"/>
        </w:numPr>
        <w:rPr>
          <w:rFonts w:ascii="Arial" w:cs="Arial" w:eastAsia="Arial" w:hAnsi="Arial"/>
          <w:sz w:val="21"/>
          <w:szCs w:val="21"/>
          <w:color w:val="auto"/>
        </w:rPr>
      </w:pPr>
      <w:r>
        <w:rPr>
          <w:rFonts w:ascii="Arial" w:cs="Arial" w:eastAsia="Arial" w:hAnsi="Arial"/>
          <w:sz w:val="19"/>
          <w:szCs w:val="19"/>
          <w:color w:val="auto"/>
        </w:rPr>
        <w:t xml:space="preserve">The Company and Investor agree to prepare and submit a draft CFIUS Notice within 10 Business Days following the date hereof, and subject to the following provisions of this </w:t>
      </w:r>
      <w:r>
        <w:rPr>
          <w:rFonts w:ascii="Arial" w:cs="Arial" w:eastAsia="Arial" w:hAnsi="Arial"/>
          <w:sz w:val="19"/>
          <w:szCs w:val="19"/>
          <w:u w:val="single" w:color="auto"/>
          <w:color w:val="auto"/>
        </w:rPr>
        <w:t>Section 4.01(c)</w:t>
      </w:r>
      <w:r>
        <w:rPr>
          <w:rFonts w:ascii="Arial" w:cs="Arial" w:eastAsia="Arial" w:hAnsi="Arial"/>
          <w:sz w:val="19"/>
          <w:szCs w:val="19"/>
          <w:color w:val="auto"/>
        </w:rPr>
        <w:t>, use their respective commercially reasonable best efforts to satisfy the CFIUS Approval Condition. Each of the Company and Investor shall use its commercially reasonable best efforts to (i) supply as promptly as reasonably practicable (and in any event, within the timelines specified by CFIUS) any additional information and documentary material that may be requested by CFIUS; (ii) cooperate in all respects and consult with each other in connection with the CFIUS Notice, including by allowing the other parties to have a reasonable opportunity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8"/>
          <w:szCs w:val="18"/>
          <w:color w:val="auto"/>
        </w:rPr>
        <w:t xml:space="preserve">review in advance and comment on drafts of filings and submissions, except for any confidential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information that is reasonably deemed “business confidential” shall be shared with each party’s counsel on an outside counsel only basis; (iii) promptly inform the other party of any communication received by such party (or its controlled Affiliates) from, or proposed to be given by such party (or its controlled Affiliates) to, CFIUS, by promptly providing copies to the other party of any such written communications, except for any exhibits to such communications providing the personal identifying information required by 31 C.F.R. §800.402(c)(6)(vi), or any other business confidential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information that is reasonably deemed “business confidential” shall be shared with each party’s counsel on an outside counsel only basis; (iv) permit the other party to review in advance any communication that it gives to, and consult with each other in advance of any meeting, telephone call or conference with, CFIUS, and to the extent not prohibited by CFIUS, give the other party the opportunity to attend and participate in any telephonic conferences or in-person meetings with CFIUS, in each of clauses “(ii),” “(iii)” and “(iv)” of this </w:t>
      </w:r>
      <w:r>
        <w:rPr>
          <w:rFonts w:ascii="Arial" w:cs="Arial" w:eastAsia="Arial" w:hAnsi="Arial"/>
          <w:sz w:val="18"/>
          <w:szCs w:val="18"/>
          <w:u w:val="single" w:color="auto"/>
          <w:color w:val="auto"/>
        </w:rPr>
        <w:t>Section 4.01(c)</w:t>
      </w:r>
      <w:r>
        <w:rPr>
          <w:rFonts w:ascii="Arial" w:cs="Arial" w:eastAsia="Arial" w:hAnsi="Arial"/>
          <w:sz w:val="18"/>
          <w:szCs w:val="18"/>
          <w:color w:val="auto"/>
          <w:highlight w:val="white"/>
        </w:rPr>
        <w:t>, subject to confidentiality considerations contemplated by the DPA, required by CFIUS or provided for in clauses</w:t>
      </w:r>
      <w:r>
        <w:rPr>
          <w:rFonts w:ascii="Arial" w:cs="Arial" w:eastAsia="Arial" w:hAnsi="Arial"/>
          <w:sz w:val="18"/>
          <w:szCs w:val="18"/>
          <w:color w:val="auto"/>
        </w:rPr>
        <w:t xml:space="preserve"> “(ii)” and “(iii)” of this </w:t>
      </w:r>
      <w:r>
        <w:rPr>
          <w:rFonts w:ascii="Arial" w:cs="Arial" w:eastAsia="Arial" w:hAnsi="Arial"/>
          <w:sz w:val="18"/>
          <w:szCs w:val="18"/>
          <w:u w:val="single" w:color="auto"/>
          <w:color w:val="auto"/>
        </w:rPr>
        <w:t>Section 4.01(c)</w:t>
      </w:r>
      <w:r>
        <w:rPr>
          <w:rFonts w:ascii="Arial" w:cs="Arial" w:eastAsia="Arial" w:hAnsi="Arial"/>
          <w:sz w:val="18"/>
          <w:szCs w:val="18"/>
          <w:color w:val="auto"/>
          <w:highlight w:val="white"/>
        </w:rPr>
        <w:t>;</w:t>
      </w:r>
      <w:r>
        <w:rPr>
          <w:rFonts w:ascii="Arial" w:cs="Arial" w:eastAsia="Arial" w:hAnsi="Arial"/>
          <w:sz w:val="18"/>
          <w:szCs w:val="18"/>
          <w:color w:val="auto"/>
        </w:rPr>
        <w:t xml:space="preserve"> and (v) address or resolve, and take reasonable steps to mitigate, any issues or concerns raised by CFIUS so as to enable the parties hereto to consummate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require, or be construed to require, the Company or Investor (or any Affiliate of either the Company or Investor) to proffer or agree to (A) engage in any litigation, administrative, or judicial proceeding with any Governmental Authority in connection with this Agreement, (B) sell, divest, lease, license, transfer, dispose of or otherwise encumber, or hold separate and agree to sell, divest, lease, license, transfer, dispose of or otherwise encumber, any of its assets, licenses, operations, rights, product lines, businesses or other interests or (C) make any or agree to make any changes (including through a licensing arrangement) or restriction on, or other impairment of, its ability to own or operate, any of its assets, licenses, operations, rights, product lines, businesses or other interests,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require, or be construed to require, the Company or Investor (or any Affiliate of either the Company or Investor) to agree to any conditions or restrictions, as a condition of CFIUS approval, that has a material effect on, in the case of the Company, the Company or any of its Affiliates, or, in the case of Investor, Investor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-2924175</wp:posOffset>
            </wp:positionV>
            <wp:extent cx="12007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785" cy="137160"/>
                    </a:xfrm>
                    <a:prstGeom prst="rect">
                      <a:avLst/>
                    </a:prstGeom>
                    <a:noFill/>
                  </pic:spPr>
                </pic:pic>
              </a:graphicData>
            </a:graphic>
          </wp:anchor>
        </w:drawing>
      </w:r>
    </w:p>
    <w:p>
      <w:pPr>
        <w:spacing w:after="0" w:line="390" w:lineRule="exact"/>
        <w:rPr>
          <w:sz w:val="20"/>
          <w:szCs w:val="20"/>
          <w:color w:val="auto"/>
        </w:rPr>
      </w:pPr>
    </w:p>
    <w:p>
      <w:pPr>
        <w:jc w:val="both"/>
        <w:ind w:firstLine="1902"/>
        <w:spacing w:after="0" w:line="268" w:lineRule="auto"/>
        <w:rPr>
          <w:sz w:val="20"/>
          <w:szCs w:val="20"/>
          <w:color w:val="auto"/>
        </w:rPr>
      </w:pP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w:t>
      </w:r>
      <w:r>
        <w:rPr>
          <w:rFonts w:ascii="Arial" w:cs="Arial" w:eastAsia="Arial" w:hAnsi="Arial"/>
          <w:sz w:val="18"/>
          <w:szCs w:val="18"/>
          <w:u w:val="single" w:color="auto"/>
          <w:color w:val="auto"/>
        </w:rPr>
        <w:t>Public Disclosure</w:t>
      </w:r>
      <w:r>
        <w:rPr>
          <w:rFonts w:ascii="Arial" w:cs="Arial" w:eastAsia="Arial" w:hAnsi="Arial"/>
          <w:sz w:val="18"/>
          <w:szCs w:val="18"/>
          <w:color w:val="auto"/>
        </w:rPr>
        <w:t>. Subject to the following terms of this</w:t>
      </w:r>
      <w:r>
        <w:rPr>
          <w:rFonts w:ascii="Arial" w:cs="Arial" w:eastAsia="Arial" w:hAnsi="Arial"/>
          <w:sz w:val="21"/>
          <w:szCs w:val="21"/>
          <w:color w:val="auto"/>
        </w:rPr>
        <w:t xml:space="preserve"> </w:t>
      </w:r>
      <w:r>
        <w:rPr>
          <w:rFonts w:ascii="Arial" w:cs="Arial" w:eastAsia="Arial" w:hAnsi="Arial"/>
          <w:sz w:val="18"/>
          <w:szCs w:val="18"/>
          <w:u w:val="single" w:color="auto"/>
          <w:color w:val="auto"/>
        </w:rPr>
        <w:t>Section 4.02</w:t>
      </w:r>
      <w:r>
        <w:rPr>
          <w:rFonts w:ascii="Arial" w:cs="Arial" w:eastAsia="Arial" w:hAnsi="Arial"/>
          <w:sz w:val="18"/>
          <w:szCs w:val="18"/>
          <w:color w:val="auto"/>
        </w:rPr>
        <w:t>, Investor and the Company</w:t>
      </w:r>
      <w:r>
        <w:rPr>
          <w:rFonts w:ascii="Arial" w:cs="Arial" w:eastAsia="Arial" w:hAnsi="Arial"/>
          <w:sz w:val="21"/>
          <w:szCs w:val="21"/>
          <w:color w:val="auto"/>
        </w:rPr>
        <w:t xml:space="preserve"> </w:t>
      </w:r>
      <w:r>
        <w:rPr>
          <w:rFonts w:ascii="Arial" w:cs="Arial" w:eastAsia="Arial" w:hAnsi="Arial"/>
          <w:sz w:val="18"/>
          <w:szCs w:val="18"/>
          <w:color w:val="auto"/>
        </w:rPr>
        <w:t xml:space="preserve">shall consult with each other before issuing, and give each other the opportunity to review and comment upon, any press release or other public statements with respect to this Agreement and shall not issue any such press release or make any such public statement prior to such consultation, except, subject to the opportunity for prior review by the other party, as may be required by applicable Law, Judgment, court process or the rules and regulations of any National Securities Exchange or national securities quotation system on which securities of Investor or the Company are then listed. Until the CFIUS Cure Failure, Investor will also provide the Company with a draft of any proposed Schedule 13D or Schedule 13G (or amendments thereto) or Form 3 under Section 16 of the Exchange Act required to be filed with the SEC relating to the Investor Parties’ investment in the Company (or the Investor Director Designee’s directorship) at least 24 hours prior to filing and will consider in good faith the Company’s comments on the filings;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not apply to any Form 4 filings to be made by Investor (or any of its Affiliates, including for this purpose any Investor Director Designee) with the SEC under Section 16 of the Exchange Act. Notwithstanding the foregoing,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not apply to any press release or other public statement made by the Company or Investor which is made in the ordinary course of business and does not relate specifically to the signing of this Agreement or the Transactions or that is limited to information previously publicly released by the parties hereto in accordance with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7" w:name="page18"/>
    <w:bookmarkEnd w:id="17"/>
    <w:p>
      <w:pPr>
        <w:ind w:firstLine="1902"/>
        <w:spacing w:after="0" w:line="236" w:lineRule="auto"/>
        <w:rPr>
          <w:sz w:val="20"/>
          <w:szCs w:val="20"/>
          <w:color w:val="auto"/>
        </w:rPr>
      </w:pP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w:t>
      </w:r>
      <w:r>
        <w:rPr>
          <w:rFonts w:ascii="Arial" w:cs="Arial" w:eastAsia="Arial" w:hAnsi="Arial"/>
          <w:sz w:val="19"/>
          <w:szCs w:val="19"/>
          <w:u w:val="single" w:color="auto"/>
          <w:color w:val="auto"/>
        </w:rPr>
        <w:t>Information and Access</w:t>
      </w:r>
      <w:r>
        <w:rPr>
          <w:rFonts w:ascii="Arial" w:cs="Arial" w:eastAsia="Arial" w:hAnsi="Arial"/>
          <w:sz w:val="19"/>
          <w:szCs w:val="19"/>
          <w:color w:val="auto"/>
        </w:rPr>
        <w:t>. Following the First Seat Date and until the Fall-Away of Investor Board</w:t>
      </w:r>
      <w:r>
        <w:rPr>
          <w:rFonts w:ascii="Arial" w:cs="Arial" w:eastAsia="Arial" w:hAnsi="Arial"/>
          <w:sz w:val="22"/>
          <w:szCs w:val="22"/>
          <w:color w:val="auto"/>
        </w:rPr>
        <w:t xml:space="preserve"> </w:t>
      </w:r>
      <w:r>
        <w:rPr>
          <w:rFonts w:ascii="Arial" w:cs="Arial" w:eastAsia="Arial" w:hAnsi="Arial"/>
          <w:sz w:val="19"/>
          <w:szCs w:val="19"/>
          <w:color w:val="auto"/>
        </w:rPr>
        <w:t>Rights, the Company agrees to provide Investor with the following:</w:t>
      </w:r>
    </w:p>
    <w:p>
      <w:pPr>
        <w:spacing w:after="0" w:line="209" w:lineRule="exact"/>
        <w:rPr>
          <w:sz w:val="20"/>
          <w:szCs w:val="20"/>
          <w:color w:val="auto"/>
        </w:rPr>
      </w:pPr>
    </w:p>
    <w:p>
      <w:pPr>
        <w:jc w:val="both"/>
        <w:ind w:firstLine="1910"/>
        <w:spacing w:after="0" w:line="239" w:lineRule="auto"/>
        <w:tabs>
          <w:tab w:leader="none" w:pos="2790" w:val="left"/>
        </w:tabs>
        <w:numPr>
          <w:ilvl w:val="0"/>
          <w:numId w:val="8"/>
        </w:numPr>
        <w:rPr>
          <w:rFonts w:ascii="Arial" w:cs="Arial" w:eastAsia="Arial" w:hAnsi="Arial"/>
          <w:sz w:val="22"/>
          <w:szCs w:val="22"/>
          <w:color w:val="auto"/>
        </w:rPr>
      </w:pPr>
      <w:r>
        <w:rPr>
          <w:rFonts w:ascii="Arial" w:cs="Arial" w:eastAsia="Arial" w:hAnsi="Arial"/>
          <w:sz w:val="20"/>
          <w:szCs w:val="20"/>
          <w:color w:val="auto"/>
        </w:rPr>
        <w:t xml:space="preserve">within 90 days after the end of each fiscal year of the Company, (i) an audited, consolidated balance sheet of the Company and its Subsidiaries as of the end of such fiscal year and (ii) audited, consolidated statements of income, comprehensive income, cash flows and changes in shareholders’ equity of the Company and its Subsidiaries for such fiscal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requirement shall be deemed to have been satisfied if on or prior to such date the Company files its annual report on Form 10-K for the applicable fiscal year with the SEC;</w:t>
      </w:r>
    </w:p>
    <w:p>
      <w:pPr>
        <w:spacing w:after="0" w:line="209" w:lineRule="exact"/>
        <w:rPr>
          <w:rFonts w:ascii="Arial" w:cs="Arial" w:eastAsia="Arial" w:hAnsi="Arial"/>
          <w:sz w:val="22"/>
          <w:szCs w:val="22"/>
          <w:color w:val="auto"/>
        </w:rPr>
      </w:pPr>
    </w:p>
    <w:p>
      <w:pPr>
        <w:jc w:val="both"/>
        <w:ind w:firstLine="1910"/>
        <w:spacing w:after="0" w:line="239" w:lineRule="auto"/>
        <w:tabs>
          <w:tab w:leader="none" w:pos="2803" w:val="left"/>
        </w:tabs>
        <w:numPr>
          <w:ilvl w:val="0"/>
          <w:numId w:val="8"/>
        </w:numPr>
        <w:rPr>
          <w:rFonts w:ascii="Arial" w:cs="Arial" w:eastAsia="Arial" w:hAnsi="Arial"/>
          <w:sz w:val="22"/>
          <w:szCs w:val="22"/>
          <w:color w:val="auto"/>
        </w:rPr>
      </w:pPr>
      <w:r>
        <w:rPr>
          <w:rFonts w:ascii="Arial" w:cs="Arial" w:eastAsia="Arial" w:hAnsi="Arial"/>
          <w:sz w:val="20"/>
          <w:szCs w:val="20"/>
          <w:color w:val="auto"/>
        </w:rPr>
        <w:t xml:space="preserve">within 55 days after the end of each of the first three quarters of each fiscal year of the Company, (i) an unaudited, consolidated balance sheet of the Company and its Subsidiaries as of the end of such fiscal quarter and (ii) consolidated statements of income, comprehensive income and cash flows of the Company and its Subsidiaries for such fiscal quarter;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requirement shall be deemed to have been satisfied if on or prior to such date the Company files its quarterly report on Form 10-Q for the applicable fiscal quarter with the SEC; and</w:t>
      </w:r>
    </w:p>
    <w:p>
      <w:pPr>
        <w:spacing w:after="0" w:line="209" w:lineRule="exact"/>
        <w:rPr>
          <w:rFonts w:ascii="Arial" w:cs="Arial" w:eastAsia="Arial" w:hAnsi="Arial"/>
          <w:sz w:val="22"/>
          <w:szCs w:val="22"/>
          <w:color w:val="auto"/>
        </w:rPr>
      </w:pPr>
    </w:p>
    <w:p>
      <w:pPr>
        <w:jc w:val="both"/>
        <w:ind w:firstLine="1910"/>
        <w:spacing w:after="0" w:line="277" w:lineRule="auto"/>
        <w:tabs>
          <w:tab w:leader="none" w:pos="2790" w:val="left"/>
        </w:tabs>
        <w:numPr>
          <w:ilvl w:val="0"/>
          <w:numId w:val="8"/>
        </w:numPr>
        <w:rPr>
          <w:rFonts w:ascii="Arial" w:cs="Arial" w:eastAsia="Arial" w:hAnsi="Arial"/>
          <w:sz w:val="19"/>
          <w:szCs w:val="19"/>
          <w:color w:val="auto"/>
        </w:rPr>
      </w:pPr>
      <w:r>
        <w:rPr>
          <w:rFonts w:ascii="Arial" w:cs="Arial" w:eastAsia="Arial" w:hAnsi="Arial"/>
          <w:sz w:val="18"/>
          <w:szCs w:val="18"/>
          <w:color w:val="auto"/>
        </w:rPr>
        <w:t>an opportunity to discuss with senior management of the Company on a regular basis (it being the expectation that such discussions will occur on no more than a quarterly basis), during normal business hours and without unduly interfering with the operation of the Company’s business, matters relating to the Joint Venture Agreement and License Agreement as well as such other financial, operating and strategic matters as may be mutually acceptable to management of the Company and the Investor;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obligated to provide such materials or access to Investor to the extent the Company determines, in its reasonable judgment, that doing so would (A) result in the disclosure of trade secrets or competitively sensitive information to third parties; (B) violate any applicable Law, Judgment or contract or obligation of confidentiality owing to a third party; (C) jeopardize the protection of an attorney-client privilege, attorney work product protection or other similar legal privilege; (D) be materially adverse to the interests of the Company or any of its Subsidiaries in any pending or threatened Proceeding; (E) expose the Company to risk of liability for disclosure of personal information; or (F) violate the rights of the Company’s customers;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the Company shall use reasonable best efforts to provide the maximum access such that clauses (A) through (F) do not apply. In addition, notwithstanding anything to the contrary contained herein, neither the Company nor any of its Subsidiaries will be required to provide any information or materials that relate to, contain or reflect any analyses, studies, notes, memoranda and other information related to or prepared in connection with this Agreement, the Joint Venture Agreement or the License Agreement or any of the transactions contemplated hereby or thereby or any matters relating hereto or thereto or any transactions with or matters relating to Investor or any of its respective Affiliates.</w:t>
      </w:r>
    </w:p>
    <w:p>
      <w:pPr>
        <w:spacing w:after="0" w:line="171" w:lineRule="exact"/>
        <w:rPr>
          <w:sz w:val="20"/>
          <w:szCs w:val="20"/>
          <w:color w:val="auto"/>
        </w:rPr>
      </w:pPr>
    </w:p>
    <w:p>
      <w:pPr>
        <w:jc w:val="both"/>
        <w:ind w:firstLine="1902"/>
        <w:spacing w:after="0" w:line="246" w:lineRule="auto"/>
        <w:rPr>
          <w:sz w:val="20"/>
          <w:szCs w:val="20"/>
          <w:color w:val="auto"/>
        </w:rPr>
      </w:pPr>
      <w:r>
        <w:rPr>
          <w:rFonts w:ascii="Arial" w:cs="Arial" w:eastAsia="Arial" w:hAnsi="Arial"/>
          <w:sz w:val="20"/>
          <w:szCs w:val="20"/>
          <w:color w:val="auto"/>
        </w:rPr>
        <w:t xml:space="preserve">Notwithstanding anything to the contrary in this </w:t>
      </w:r>
      <w:r>
        <w:rPr>
          <w:rFonts w:ascii="Arial" w:cs="Arial" w:eastAsia="Arial" w:hAnsi="Arial"/>
          <w:sz w:val="20"/>
          <w:szCs w:val="20"/>
          <w:u w:val="single" w:color="auto"/>
          <w:color w:val="auto"/>
        </w:rPr>
        <w:t>Section 4.03</w:t>
      </w:r>
      <w:r>
        <w:rPr>
          <w:rFonts w:ascii="Arial" w:cs="Arial" w:eastAsia="Arial" w:hAnsi="Arial"/>
          <w:sz w:val="20"/>
          <w:szCs w:val="20"/>
          <w:color w:val="auto"/>
        </w:rPr>
        <w:t xml:space="preserve">, Investor shall have the right to waive its right to receive information or access under this </w:t>
      </w:r>
      <w:r>
        <w:rPr>
          <w:rFonts w:ascii="Arial" w:cs="Arial" w:eastAsia="Arial" w:hAnsi="Arial"/>
          <w:sz w:val="20"/>
          <w:szCs w:val="20"/>
          <w:u w:val="single" w:color="auto"/>
          <w:color w:val="auto"/>
        </w:rPr>
        <w:t>Section 4.03</w:t>
      </w:r>
      <w:r>
        <w:rPr>
          <w:rFonts w:ascii="Arial" w:cs="Arial" w:eastAsia="Arial" w:hAnsi="Arial"/>
          <w:sz w:val="20"/>
          <w:szCs w:val="20"/>
          <w:color w:val="auto"/>
        </w:rPr>
        <w:t xml:space="preserve"> for such period of time as Investor may specify and, upon receipt of written notice of such waiver, the Company agrees to no longer provide Investor with information or access for the duration of the period so specified (it being understood that Investor will have access to materials publicly released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 w:name="page19"/>
    <w:bookmarkEnd w:id="18"/>
    <w:p>
      <w:pPr>
        <w:jc w:val="both"/>
        <w:ind w:firstLine="1902"/>
        <w:spacing w:after="0" w:line="248" w:lineRule="auto"/>
        <w:rPr>
          <w:sz w:val="20"/>
          <w:szCs w:val="20"/>
          <w:color w:val="auto"/>
        </w:rPr>
      </w:pPr>
      <w:r>
        <w:rPr>
          <w:rFonts w:ascii="Arial" w:cs="Arial" w:eastAsia="Arial" w:hAnsi="Arial"/>
          <w:sz w:val="22"/>
          <w:szCs w:val="22"/>
          <w:u w:val="single" w:color="auto"/>
          <w:color w:val="auto"/>
        </w:rPr>
        <w:t>Section 4.04</w:t>
      </w:r>
      <w:r>
        <w:rPr>
          <w:rFonts w:ascii="Arial" w:cs="Arial" w:eastAsia="Arial" w:hAnsi="Arial"/>
          <w:sz w:val="22"/>
          <w:szCs w:val="22"/>
          <w:color w:val="auto"/>
        </w:rPr>
        <w:t xml:space="preserve"> </w:t>
      </w:r>
      <w:r>
        <w:rPr>
          <w:rFonts w:ascii="Arial" w:cs="Arial" w:eastAsia="Arial" w:hAnsi="Arial"/>
          <w:sz w:val="19"/>
          <w:szCs w:val="19"/>
          <w:u w:val="single" w:color="auto"/>
          <w:color w:val="auto"/>
        </w:rPr>
        <w:t>Investor Information</w:t>
      </w:r>
      <w:r>
        <w:rPr>
          <w:rFonts w:ascii="Arial" w:cs="Arial" w:eastAsia="Arial" w:hAnsi="Arial"/>
          <w:sz w:val="19"/>
          <w:szCs w:val="19"/>
          <w:color w:val="auto"/>
        </w:rPr>
        <w:t>. From the date of this Agreement through the earlier of (x) the CFIUS Cure</w:t>
      </w:r>
      <w:r>
        <w:rPr>
          <w:rFonts w:ascii="Arial" w:cs="Arial" w:eastAsia="Arial" w:hAnsi="Arial"/>
          <w:sz w:val="22"/>
          <w:szCs w:val="22"/>
          <w:color w:val="auto"/>
        </w:rPr>
        <w:t xml:space="preserve"> </w:t>
      </w:r>
      <w:r>
        <w:rPr>
          <w:rFonts w:ascii="Arial" w:cs="Arial" w:eastAsia="Arial" w:hAnsi="Arial"/>
          <w:sz w:val="19"/>
          <w:szCs w:val="19"/>
          <w:color w:val="auto"/>
        </w:rPr>
        <w:t xml:space="preserve">Failure and (y) the later of (a) the first day on which no Investor Director Designee serves on the Board and (b) the earlier of (i) the Fall-Away of Investor Board Rights and (ii) the date on which Investor has expressly irrevocably waived its rights under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Investor shall provide prompt written notice to the Company, and in any event within one Business Day thereof, following (1) the Investor Parties acquiring the Minimum Stock Ownership Threshold; (2) the Investor Parties or their respective Affiliates acquiring or disposing of Common Stock representing 1% or more of the outstanding Common Stock of the Company since the prior notice to the Company under this </w:t>
      </w:r>
      <w:r>
        <w:rPr>
          <w:rFonts w:ascii="Arial" w:cs="Arial" w:eastAsia="Arial" w:hAnsi="Arial"/>
          <w:sz w:val="19"/>
          <w:szCs w:val="19"/>
          <w:u w:val="single" w:color="auto"/>
          <w:color w:val="auto"/>
        </w:rPr>
        <w:t>Section 4.04</w:t>
      </w:r>
      <w:r>
        <w:rPr>
          <w:rFonts w:ascii="Arial" w:cs="Arial" w:eastAsia="Arial" w:hAnsi="Arial"/>
          <w:sz w:val="19"/>
          <w:szCs w:val="19"/>
          <w:color w:val="auto"/>
        </w:rPr>
        <w:t>; (3) upon the occurrence of the disposition of all the Investor Parties’ Common Stock; and (4) the occurrence of a Fall-Away of Investor Board Rights.</w:t>
      </w:r>
    </w:p>
    <w:p>
      <w:pPr>
        <w:spacing w:after="0" w:line="189" w:lineRule="exact"/>
        <w:rPr>
          <w:sz w:val="20"/>
          <w:szCs w:val="20"/>
          <w:color w:val="auto"/>
        </w:rPr>
      </w:pPr>
    </w:p>
    <w:p>
      <w:pPr>
        <w:ind w:left="1920"/>
        <w:spacing w:after="0"/>
        <w:tabs>
          <w:tab w:leader="none" w:pos="3620" w:val="left"/>
        </w:tabs>
        <w:rPr>
          <w:sz w:val="20"/>
          <w:szCs w:val="20"/>
          <w:color w:val="auto"/>
        </w:rPr>
      </w:pPr>
      <w:r>
        <w:rPr>
          <w:rFonts w:ascii="Arial" w:cs="Arial" w:eastAsia="Arial" w:hAnsi="Arial"/>
          <w:sz w:val="22"/>
          <w:szCs w:val="22"/>
          <w:u w:val="single" w:color="auto"/>
          <w:color w:val="auto"/>
        </w:rPr>
        <w:t>Section 4.05</w:t>
      </w:r>
      <w:r>
        <w:rPr>
          <w:sz w:val="20"/>
          <w:szCs w:val="20"/>
          <w:color w:val="auto"/>
        </w:rPr>
        <w:tab/>
      </w:r>
      <w:r>
        <w:rPr>
          <w:rFonts w:ascii="Arial" w:cs="Arial" w:eastAsia="Arial" w:hAnsi="Arial"/>
          <w:sz w:val="18"/>
          <w:szCs w:val="18"/>
          <w:u w:val="single" w:color="auto"/>
          <w:color w:val="auto"/>
        </w:rPr>
        <w:t>Standstill</w:t>
      </w:r>
      <w:r>
        <w:rPr>
          <w:rFonts w:ascii="Arial" w:cs="Arial" w:eastAsia="Arial" w:hAnsi="Arial"/>
          <w:sz w:val="18"/>
          <w:szCs w:val="18"/>
          <w:color w:val="auto"/>
        </w:rPr>
        <w:t>.</w:t>
      </w:r>
    </w:p>
    <w:p>
      <w:pPr>
        <w:spacing w:after="0" w:line="224" w:lineRule="exact"/>
        <w:rPr>
          <w:sz w:val="20"/>
          <w:szCs w:val="20"/>
          <w:color w:val="auto"/>
        </w:rPr>
      </w:pPr>
    </w:p>
    <w:p>
      <w:pPr>
        <w:jc w:val="both"/>
        <w:ind w:firstLine="1910"/>
        <w:spacing w:after="0" w:line="239" w:lineRule="auto"/>
        <w:tabs>
          <w:tab w:leader="none" w:pos="2790" w:val="left"/>
        </w:tabs>
        <w:numPr>
          <w:ilvl w:val="1"/>
          <w:numId w:val="9"/>
        </w:numPr>
        <w:rPr>
          <w:rFonts w:ascii="Arial" w:cs="Arial" w:eastAsia="Arial" w:hAnsi="Arial"/>
          <w:sz w:val="22"/>
          <w:szCs w:val="22"/>
          <w:color w:val="auto"/>
        </w:rPr>
      </w:pPr>
      <w:r>
        <w:rPr>
          <w:rFonts w:ascii="Arial" w:cs="Arial" w:eastAsia="Arial" w:hAnsi="Arial"/>
          <w:sz w:val="20"/>
          <w:szCs w:val="20"/>
          <w:color w:val="auto"/>
        </w:rPr>
        <w:t xml:space="preserve">The Investor agrees that from the signing of this Agreement until the earlier of (A) six months after the later of (x) the first day on which no Investor Director Designee serves on the Board and (y) the earlier of (i) the Fall-Away of Investor Board Rights and (ii) the date on which Investor has expressly irrevocably waived its rights under </w:t>
      </w:r>
      <w:r>
        <w:rPr>
          <w:rFonts w:ascii="Arial" w:cs="Arial" w:eastAsia="Arial" w:hAnsi="Arial"/>
          <w:sz w:val="20"/>
          <w:szCs w:val="20"/>
          <w:u w:val="single" w:color="auto"/>
          <w:color w:val="auto"/>
        </w:rPr>
        <w:t>Section 4.07</w:t>
      </w:r>
      <w:r>
        <w:rPr>
          <w:rFonts w:ascii="Arial" w:cs="Arial" w:eastAsia="Arial" w:hAnsi="Arial"/>
          <w:sz w:val="20"/>
          <w:szCs w:val="20"/>
          <w:color w:val="auto"/>
        </w:rPr>
        <w:t>; (B) a Company Change of Control; and (C) the CFIUS Cure Failure, without the prior written approval of the Board, Investor will not, directly or indirectly, and will cause its Affiliates not to, directly or indirectly:</w:t>
      </w:r>
    </w:p>
    <w:p>
      <w:pPr>
        <w:spacing w:after="0" w:line="209" w:lineRule="exact"/>
        <w:rPr>
          <w:rFonts w:ascii="Arial" w:cs="Arial" w:eastAsia="Arial" w:hAnsi="Arial"/>
          <w:sz w:val="22"/>
          <w:szCs w:val="22"/>
          <w:color w:val="auto"/>
        </w:rPr>
      </w:pPr>
    </w:p>
    <w:p>
      <w:pPr>
        <w:jc w:val="both"/>
        <w:ind w:left="960" w:firstLine="1742"/>
        <w:spacing w:after="0" w:line="266" w:lineRule="auto"/>
        <w:tabs>
          <w:tab w:leader="none" w:pos="3556" w:val="left"/>
        </w:tabs>
        <w:numPr>
          <w:ilvl w:val="2"/>
          <w:numId w:val="9"/>
        </w:numPr>
        <w:rPr>
          <w:rFonts w:ascii="Arial" w:cs="Arial" w:eastAsia="Arial" w:hAnsi="Arial"/>
          <w:sz w:val="19"/>
          <w:szCs w:val="19"/>
          <w:color w:val="010000"/>
        </w:rPr>
      </w:pPr>
      <w:r>
        <w:rPr>
          <w:rFonts w:ascii="Arial" w:cs="Arial" w:eastAsia="Arial" w:hAnsi="Arial"/>
          <w:sz w:val="18"/>
          <w:szCs w:val="18"/>
          <w:color w:val="auto"/>
        </w:rPr>
        <w:t>acquire, offer or seek to acquire, agree to acquire or make a proposal to acquire, by purchase or otherwise, any securities or direct or indirect rights to acquire any securities of the Company or any of its Subsidiaries, any securities convertible into or exchangeable or exercisable for any such securities, any options or other derivative securities or contracts or instruments in any way related to the price of shares of Common Stock or any assets or property of the Company or any Subsidiary of the Company, but in any case excluding any issuance by the Company of shares of Common Stock or options, warrants or other rights to acquire Common Stock (or the exercise thereof) (x) pursuant to any stock dividend or distribution, stock split or other recapitalization or reclassification of the Common Stock or pursuant to any shareholder rights plan or similar plan, or</w:t>
      </w:r>
    </w:p>
    <w:p>
      <w:pPr>
        <w:spacing w:after="0" w:line="4" w:lineRule="exact"/>
        <w:rPr>
          <w:rFonts w:ascii="Arial" w:cs="Arial" w:eastAsia="Arial" w:hAnsi="Arial"/>
          <w:sz w:val="19"/>
          <w:szCs w:val="19"/>
          <w:color w:val="010000"/>
        </w:rPr>
      </w:pPr>
    </w:p>
    <w:p>
      <w:pPr>
        <w:jc w:val="both"/>
        <w:ind w:left="960" w:hanging="2"/>
        <w:spacing w:after="0"/>
        <w:tabs>
          <w:tab w:leader="none" w:pos="1253"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to the Investor Director Designee as compensation for his or her membership on the Board (including any shares of Common Stock acquired upon exercise of any options granted to the Investor Director Designee);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clause (i) shall not limit Investor or its Affiliates from acquiring, offering or seeking to acquire, agreeing to acquire or making a proposal to acquire Common Stock to the extent that, upon consummation of any such transaction, the Investor Parties would collectively beneficially own shares of Common Stock in an amount not to exceed 10.0% in the aggregate of the then-outstanding shares of Common Stock, plus any shares of Common Stock (or options or other rights to acquire such shares) awarded by the Company to any Investor Director Designee;</w:t>
      </w:r>
    </w:p>
    <w:p>
      <w:pPr>
        <w:spacing w:after="0" w:line="210" w:lineRule="exact"/>
        <w:rPr>
          <w:rFonts w:ascii="Arial" w:cs="Arial" w:eastAsia="Arial" w:hAnsi="Arial"/>
          <w:sz w:val="20"/>
          <w:szCs w:val="20"/>
          <w:color w:val="auto"/>
        </w:rPr>
      </w:pPr>
    </w:p>
    <w:p>
      <w:pPr>
        <w:jc w:val="both"/>
        <w:ind w:left="960" w:firstLine="1742"/>
        <w:spacing w:after="0" w:line="253" w:lineRule="auto"/>
        <w:tabs>
          <w:tab w:leader="none" w:pos="3616" w:val="left"/>
        </w:tabs>
        <w:numPr>
          <w:ilvl w:val="2"/>
          <w:numId w:val="10"/>
        </w:numPr>
        <w:rPr>
          <w:rFonts w:ascii="Arial" w:cs="Arial" w:eastAsia="Arial" w:hAnsi="Arial"/>
          <w:sz w:val="21"/>
          <w:szCs w:val="21"/>
          <w:color w:val="010000"/>
        </w:rPr>
      </w:pPr>
      <w:r>
        <w:rPr>
          <w:rFonts w:ascii="Arial" w:cs="Arial" w:eastAsia="Arial" w:hAnsi="Arial"/>
          <w:sz w:val="19"/>
          <w:szCs w:val="19"/>
          <w:color w:val="auto"/>
        </w:rPr>
        <w:t xml:space="preserve">make or in any way encourage or participate in any “solicitation” of “proxies” (whether or not relating to the election or removal of directors), as such terms are used in the rules of the SEC, to vote, or seek to advise or influence any Person with respect to voting of, any voting securities of the Company or any of its Subsidiaries, or call or seek to call a meeting of the Company’s stockholders or initiate any stockholder proposal for action by the Company’s stockholders, or seek election to or to place a representative on the Board, or seek the removal of any director from the Board (other than as expressly set forth in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with respect to an Investor Director Designee);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 w:name="page20"/>
    <w:bookmarkEnd w:id="19"/>
    <w:p>
      <w:pPr>
        <w:ind w:left="2720" w:hanging="978"/>
        <w:spacing w:after="0"/>
        <w:tabs>
          <w:tab w:leader="none" w:pos="2720" w:val="left"/>
        </w:tabs>
        <w:numPr>
          <w:ilvl w:val="0"/>
          <w:numId w:val="11"/>
        </w:numPr>
        <w:rPr>
          <w:rFonts w:ascii="Arial" w:cs="Arial" w:eastAsia="Arial" w:hAnsi="Arial"/>
          <w:sz w:val="21"/>
          <w:szCs w:val="21"/>
          <w:color w:val="010000"/>
        </w:rPr>
      </w:pPr>
      <w:r>
        <w:rPr>
          <w:rFonts w:ascii="Arial" w:cs="Arial" w:eastAsia="Arial" w:hAnsi="Arial"/>
          <w:sz w:val="19"/>
          <w:szCs w:val="19"/>
          <w:color w:val="auto"/>
        </w:rPr>
        <w:t>demand a copy of the stock ledger list of stockholders or any other books and records of the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13" w:lineRule="exact"/>
        <w:rPr>
          <w:sz w:val="20"/>
          <w:szCs w:val="20"/>
          <w:color w:val="auto"/>
        </w:rPr>
      </w:pPr>
    </w:p>
    <w:p>
      <w:pPr>
        <w:jc w:val="both"/>
        <w:ind w:firstLine="1742"/>
        <w:spacing w:after="0" w:line="253" w:lineRule="auto"/>
        <w:tabs>
          <w:tab w:leader="none" w:pos="2704" w:val="left"/>
        </w:tabs>
        <w:numPr>
          <w:ilvl w:val="0"/>
          <w:numId w:val="12"/>
        </w:numPr>
        <w:rPr>
          <w:rFonts w:ascii="Arial" w:cs="Arial" w:eastAsia="Arial" w:hAnsi="Arial"/>
          <w:sz w:val="21"/>
          <w:szCs w:val="21"/>
          <w:color w:val="010000"/>
        </w:rPr>
      </w:pPr>
      <w:r>
        <w:rPr>
          <w:rFonts w:ascii="Arial" w:cs="Arial" w:eastAsia="Arial" w:hAnsi="Arial"/>
          <w:sz w:val="19"/>
          <w:szCs w:val="19"/>
          <w:color w:val="auto"/>
        </w:rPr>
        <w:t xml:space="preserve">make any public announcement with respect to, or offer, seek, propose or indicate an interest in (in each case with or without conditions), any merger, consolidation, business combination, tender or exchange offer, recapitalization, reorganization or purchase of a material portion of the assets, properties or securities of the Company or any Subsidiary of the Company, or any other extraordinary transaction involving the Company or any Subsidiary of the Company or any of their respective securities (excluding, in compliance with </w:t>
      </w:r>
      <w:r>
        <w:rPr>
          <w:rFonts w:ascii="Arial" w:cs="Arial" w:eastAsia="Arial" w:hAnsi="Arial"/>
          <w:sz w:val="19"/>
          <w:szCs w:val="19"/>
          <w:u w:val="single" w:color="auto"/>
          <w:color w:val="auto"/>
        </w:rPr>
        <w:t>Section 4.02</w:t>
      </w:r>
      <w:r>
        <w:rPr>
          <w:rFonts w:ascii="Arial" w:cs="Arial" w:eastAsia="Arial" w:hAnsi="Arial"/>
          <w:sz w:val="19"/>
          <w:szCs w:val="19"/>
          <w:color w:val="auto"/>
        </w:rPr>
        <w:t>, the announcement of the transactions contemplated by this Agreement, the Joint Venture Agreement or the License Agreement);</w:t>
      </w:r>
    </w:p>
    <w:p>
      <w:pPr>
        <w:spacing w:after="0" w:line="200" w:lineRule="exact"/>
        <w:rPr>
          <w:rFonts w:ascii="Arial" w:cs="Arial" w:eastAsia="Arial" w:hAnsi="Arial"/>
          <w:sz w:val="21"/>
          <w:szCs w:val="21"/>
          <w:color w:val="010000"/>
        </w:rPr>
      </w:pPr>
    </w:p>
    <w:p>
      <w:pPr>
        <w:jc w:val="both"/>
        <w:ind w:firstLine="1742"/>
        <w:spacing w:after="0" w:line="238" w:lineRule="auto"/>
        <w:tabs>
          <w:tab w:leader="none" w:pos="2644" w:val="left"/>
        </w:tabs>
        <w:numPr>
          <w:ilvl w:val="0"/>
          <w:numId w:val="12"/>
        </w:numPr>
        <w:rPr>
          <w:rFonts w:ascii="Arial" w:cs="Arial" w:eastAsia="Arial" w:hAnsi="Arial"/>
          <w:sz w:val="22"/>
          <w:szCs w:val="22"/>
          <w:color w:val="010000"/>
        </w:rPr>
      </w:pPr>
      <w:r>
        <w:rPr>
          <w:rFonts w:ascii="Arial" w:cs="Arial" w:eastAsia="Arial" w:hAnsi="Arial"/>
          <w:sz w:val="20"/>
          <w:szCs w:val="20"/>
          <w:color w:val="auto"/>
        </w:rPr>
        <w:t>otherwise act, alone or in concert with others, other than the Investor Director Designee in its capacity as such, to seek to control or influence, in any manner, the management, board of directors or policies of the Company or any of its Subsidiaries;</w:t>
      </w:r>
    </w:p>
    <w:p>
      <w:pPr>
        <w:spacing w:after="0" w:line="211" w:lineRule="exact"/>
        <w:rPr>
          <w:rFonts w:ascii="Arial" w:cs="Arial" w:eastAsia="Arial" w:hAnsi="Arial"/>
          <w:sz w:val="22"/>
          <w:szCs w:val="22"/>
          <w:color w:val="010000"/>
        </w:rPr>
      </w:pPr>
    </w:p>
    <w:p>
      <w:pPr>
        <w:ind w:firstLine="1742"/>
        <w:spacing w:after="0" w:line="238" w:lineRule="auto"/>
        <w:tabs>
          <w:tab w:leader="none" w:pos="2704" w:val="left"/>
        </w:tabs>
        <w:numPr>
          <w:ilvl w:val="0"/>
          <w:numId w:val="12"/>
        </w:numPr>
        <w:rPr>
          <w:rFonts w:ascii="Arial" w:cs="Arial" w:eastAsia="Arial" w:hAnsi="Arial"/>
          <w:sz w:val="22"/>
          <w:szCs w:val="22"/>
          <w:color w:val="010000"/>
        </w:rPr>
      </w:pPr>
      <w:r>
        <w:rPr>
          <w:rFonts w:ascii="Arial" w:cs="Arial" w:eastAsia="Arial" w:hAnsi="Arial"/>
          <w:sz w:val="20"/>
          <w:szCs w:val="20"/>
          <w:color w:val="auto"/>
        </w:rPr>
        <w:t>make any proposal or statement of inquiry or disclose any intention, plan or arrangement inconsistent with any of the foregoing;</w:t>
      </w:r>
    </w:p>
    <w:p>
      <w:pPr>
        <w:spacing w:after="0" w:line="209" w:lineRule="exact"/>
        <w:rPr>
          <w:rFonts w:ascii="Arial" w:cs="Arial" w:eastAsia="Arial" w:hAnsi="Arial"/>
          <w:sz w:val="22"/>
          <w:szCs w:val="22"/>
          <w:color w:val="010000"/>
        </w:rPr>
      </w:pPr>
    </w:p>
    <w:p>
      <w:pPr>
        <w:ind w:firstLine="1742"/>
        <w:spacing w:after="0" w:line="238" w:lineRule="auto"/>
        <w:tabs>
          <w:tab w:leader="none" w:pos="2764" w:val="left"/>
        </w:tabs>
        <w:numPr>
          <w:ilvl w:val="0"/>
          <w:numId w:val="12"/>
        </w:numPr>
        <w:rPr>
          <w:rFonts w:ascii="Arial" w:cs="Arial" w:eastAsia="Arial" w:hAnsi="Arial"/>
          <w:sz w:val="22"/>
          <w:szCs w:val="22"/>
          <w:color w:val="010000"/>
        </w:rPr>
      </w:pPr>
      <w:r>
        <w:rPr>
          <w:rFonts w:ascii="Arial" w:cs="Arial" w:eastAsia="Arial" w:hAnsi="Arial"/>
          <w:sz w:val="20"/>
          <w:szCs w:val="20"/>
          <w:color w:val="auto"/>
        </w:rPr>
        <w:t>advise, assist, knowingly encourage or direct any Person to do, or to advise, assist, encourage or direct any other Person to do, any of the foregoing;</w:t>
      </w:r>
    </w:p>
    <w:p>
      <w:pPr>
        <w:spacing w:after="0" w:line="209" w:lineRule="exact"/>
        <w:rPr>
          <w:rFonts w:ascii="Arial" w:cs="Arial" w:eastAsia="Arial" w:hAnsi="Arial"/>
          <w:sz w:val="22"/>
          <w:szCs w:val="22"/>
          <w:color w:val="010000"/>
        </w:rPr>
      </w:pPr>
    </w:p>
    <w:p>
      <w:pPr>
        <w:ind w:firstLine="1742"/>
        <w:spacing w:after="0" w:line="238" w:lineRule="auto"/>
        <w:tabs>
          <w:tab w:leader="none" w:pos="2824" w:val="left"/>
        </w:tabs>
        <w:numPr>
          <w:ilvl w:val="0"/>
          <w:numId w:val="12"/>
        </w:numPr>
        <w:rPr>
          <w:rFonts w:ascii="Arial" w:cs="Arial" w:eastAsia="Arial" w:hAnsi="Arial"/>
          <w:sz w:val="22"/>
          <w:szCs w:val="22"/>
          <w:color w:val="010000"/>
        </w:rPr>
      </w:pPr>
      <w:r>
        <w:rPr>
          <w:rFonts w:ascii="Arial" w:cs="Arial" w:eastAsia="Arial" w:hAnsi="Arial"/>
          <w:sz w:val="20"/>
          <w:szCs w:val="20"/>
          <w:color w:val="auto"/>
        </w:rPr>
        <w:t xml:space="preserve">take any action that would require the Company to make a public announcement regarding the possibility of any of the events described in this </w:t>
      </w:r>
      <w:r>
        <w:rPr>
          <w:rFonts w:ascii="Arial" w:cs="Arial" w:eastAsia="Arial" w:hAnsi="Arial"/>
          <w:sz w:val="20"/>
          <w:szCs w:val="20"/>
          <w:u w:val="single" w:color="auto"/>
          <w:color w:val="auto"/>
        </w:rPr>
        <w:t>Section 4.05(a)</w:t>
      </w:r>
      <w:r>
        <w:rPr>
          <w:rFonts w:ascii="Arial" w:cs="Arial" w:eastAsia="Arial" w:hAnsi="Arial"/>
          <w:sz w:val="20"/>
          <w:szCs w:val="20"/>
          <w:color w:val="auto"/>
        </w:rPr>
        <w:t>;</w:t>
      </w:r>
    </w:p>
    <w:p>
      <w:pPr>
        <w:spacing w:after="0" w:line="209" w:lineRule="exact"/>
        <w:rPr>
          <w:rFonts w:ascii="Arial" w:cs="Arial" w:eastAsia="Arial" w:hAnsi="Arial"/>
          <w:sz w:val="22"/>
          <w:szCs w:val="22"/>
          <w:color w:val="010000"/>
        </w:rPr>
      </w:pPr>
    </w:p>
    <w:p>
      <w:pPr>
        <w:jc w:val="both"/>
        <w:ind w:firstLine="1742"/>
        <w:spacing w:after="0" w:line="239" w:lineRule="auto"/>
        <w:tabs>
          <w:tab w:leader="none" w:pos="2704" w:val="left"/>
        </w:tabs>
        <w:numPr>
          <w:ilvl w:val="0"/>
          <w:numId w:val="12"/>
        </w:numPr>
        <w:rPr>
          <w:rFonts w:ascii="Arial" w:cs="Arial" w:eastAsia="Arial" w:hAnsi="Arial"/>
          <w:sz w:val="22"/>
          <w:szCs w:val="22"/>
          <w:color w:val="010000"/>
        </w:rPr>
      </w:pPr>
      <w:r>
        <w:rPr>
          <w:rFonts w:ascii="Arial" w:cs="Arial" w:eastAsia="Arial" w:hAnsi="Arial"/>
          <w:sz w:val="20"/>
          <w:szCs w:val="20"/>
          <w:color w:val="auto"/>
        </w:rPr>
        <w:t>enter into any discussions, negotiations, arrangements or understandings (written or oral) with any third party (including, without limitation, security holders of the Company, but excluding, for the avoidance of doubt, any Affiliate of Investor or the Investor Director Designee) with respect to any of the foregoing, including, without limitation, forming, joining or in any way participating in a group with any third party with respect to any securities of the Company or otherwise in connection with any of the foregoing;</w:t>
      </w:r>
    </w:p>
    <w:p>
      <w:pPr>
        <w:spacing w:after="0" w:line="209" w:lineRule="exact"/>
        <w:rPr>
          <w:rFonts w:ascii="Arial" w:cs="Arial" w:eastAsia="Arial" w:hAnsi="Arial"/>
          <w:sz w:val="22"/>
          <w:szCs w:val="22"/>
          <w:color w:val="010000"/>
        </w:rPr>
      </w:pPr>
    </w:p>
    <w:p>
      <w:pPr>
        <w:jc w:val="both"/>
        <w:ind w:firstLine="1742"/>
        <w:spacing w:after="0" w:line="277" w:lineRule="auto"/>
        <w:tabs>
          <w:tab w:leader="none" w:pos="2644" w:val="left"/>
        </w:tabs>
        <w:numPr>
          <w:ilvl w:val="0"/>
          <w:numId w:val="12"/>
        </w:numPr>
        <w:rPr>
          <w:rFonts w:ascii="Arial" w:cs="Arial" w:eastAsia="Arial" w:hAnsi="Arial"/>
          <w:sz w:val="19"/>
          <w:szCs w:val="19"/>
          <w:color w:val="010000"/>
        </w:rPr>
      </w:pPr>
      <w:r>
        <w:rPr>
          <w:rFonts w:ascii="Arial" w:cs="Arial" w:eastAsia="Arial" w:hAnsi="Arial"/>
          <w:sz w:val="18"/>
          <w:szCs w:val="18"/>
          <w:color w:val="auto"/>
        </w:rPr>
        <w:t xml:space="preserve">request the Company or any of its Representatives, directly or indirectly, to amend or waive any provision of this </w:t>
      </w:r>
      <w:r>
        <w:rPr>
          <w:rFonts w:ascii="Arial" w:cs="Arial" w:eastAsia="Arial" w:hAnsi="Arial"/>
          <w:sz w:val="18"/>
          <w:szCs w:val="18"/>
          <w:u w:val="single" w:color="auto"/>
          <w:color w:val="auto"/>
        </w:rPr>
        <w:t>Section 4.05(a)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prohibit Investor from making a confidential request to the Company seeking an amendment or waiver of the provisions of this </w:t>
      </w:r>
      <w:r>
        <w:rPr>
          <w:rFonts w:ascii="Arial" w:cs="Arial" w:eastAsia="Arial" w:hAnsi="Arial"/>
          <w:sz w:val="18"/>
          <w:szCs w:val="18"/>
          <w:u w:val="single" w:color="auto"/>
          <w:color w:val="auto"/>
        </w:rPr>
        <w:t>Section 4.05</w:t>
      </w:r>
      <w:r>
        <w:rPr>
          <w:rFonts w:ascii="Arial" w:cs="Arial" w:eastAsia="Arial" w:hAnsi="Arial"/>
          <w:sz w:val="18"/>
          <w:szCs w:val="18"/>
          <w:color w:val="auto"/>
        </w:rPr>
        <w:t>, which the Company may accept or reject in its sole discretion, so long as any such request is made in a manner that does not require public disclosure thereof by any Person; or</w:t>
      </w:r>
    </w:p>
    <w:p>
      <w:pPr>
        <w:spacing w:after="0" w:line="179" w:lineRule="exact"/>
        <w:rPr>
          <w:rFonts w:ascii="Arial" w:cs="Arial" w:eastAsia="Arial" w:hAnsi="Arial"/>
          <w:sz w:val="19"/>
          <w:szCs w:val="19"/>
          <w:color w:val="010000"/>
        </w:rPr>
      </w:pPr>
    </w:p>
    <w:p>
      <w:pPr>
        <w:ind w:firstLine="1742"/>
        <w:spacing w:after="0" w:line="238" w:lineRule="auto"/>
        <w:tabs>
          <w:tab w:leader="none" w:pos="2704" w:val="left"/>
        </w:tabs>
        <w:numPr>
          <w:ilvl w:val="0"/>
          <w:numId w:val="12"/>
        </w:numPr>
        <w:rPr>
          <w:rFonts w:ascii="Arial" w:cs="Arial" w:eastAsia="Arial" w:hAnsi="Arial"/>
          <w:sz w:val="22"/>
          <w:szCs w:val="22"/>
          <w:color w:val="010000"/>
        </w:rPr>
      </w:pPr>
      <w:r>
        <w:rPr>
          <w:rFonts w:ascii="Arial" w:cs="Arial" w:eastAsia="Arial" w:hAnsi="Arial"/>
          <w:sz w:val="20"/>
          <w:szCs w:val="20"/>
          <w:color w:val="auto"/>
        </w:rPr>
        <w:t xml:space="preserve">contest the validity of this </w:t>
      </w:r>
      <w:r>
        <w:rPr>
          <w:rFonts w:ascii="Arial" w:cs="Arial" w:eastAsia="Arial" w:hAnsi="Arial"/>
          <w:sz w:val="20"/>
          <w:szCs w:val="20"/>
          <w:u w:val="single" w:color="auto"/>
          <w:color w:val="auto"/>
        </w:rPr>
        <w:t>Section 4.05</w:t>
      </w:r>
      <w:r>
        <w:rPr>
          <w:rFonts w:ascii="Arial" w:cs="Arial" w:eastAsia="Arial" w:hAnsi="Arial"/>
          <w:sz w:val="20"/>
          <w:szCs w:val="20"/>
          <w:color w:val="auto"/>
        </w:rPr>
        <w:t xml:space="preserve"> or make, initiate, take or participate in any demand, Proceeding (legal or otherwise) or proposal to amend, waive or terminate any provision of this </w:t>
      </w:r>
      <w:r>
        <w:rPr>
          <w:rFonts w:ascii="Arial" w:cs="Arial" w:eastAsia="Arial" w:hAnsi="Arial"/>
          <w:sz w:val="20"/>
          <w:szCs w:val="20"/>
          <w:u w:val="single" w:color="auto"/>
          <w:color w:val="auto"/>
        </w:rPr>
        <w:t>Section 4.05</w:t>
      </w:r>
      <w:r>
        <w:rPr>
          <w:rFonts w:ascii="Arial" w:cs="Arial" w:eastAsia="Arial" w:hAnsi="Arial"/>
          <w:sz w:val="20"/>
          <w:szCs w:val="20"/>
          <w:color w:val="auto"/>
        </w:rPr>
        <w: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4.05</w:t>
      </w:r>
      <w:r>
        <w:rPr>
          <w:rFonts w:ascii="Arial" w:cs="Arial" w:eastAsia="Arial" w:hAnsi="Arial"/>
          <w:sz w:val="20"/>
          <w:szCs w:val="20"/>
          <w:color w:val="auto"/>
        </w:rPr>
        <w:t xml:space="preserve"> will limit (A) Investor’s (or any of its Affiliates’) ability to vote or Transfer (subject to </w:t>
      </w:r>
      <w:r>
        <w:rPr>
          <w:rFonts w:ascii="Arial" w:cs="Arial" w:eastAsia="Arial" w:hAnsi="Arial"/>
          <w:sz w:val="20"/>
          <w:szCs w:val="20"/>
          <w:u w:val="single" w:color="auto"/>
          <w:color w:val="auto"/>
        </w:rPr>
        <w:t>Section 4.05(b)</w:t>
      </w:r>
      <w:r>
        <w:rPr>
          <w:rFonts w:ascii="Arial" w:cs="Arial" w:eastAsia="Arial" w:hAnsi="Arial"/>
          <w:sz w:val="20"/>
          <w:szCs w:val="20"/>
          <w:color w:val="auto"/>
        </w:rPr>
        <w:t>) its Common Stock; or (B) the ability of the Investor Director Designee to vote or otherwise exercise his or her legal duties or otherwise act in his or her capacity as a member of the Board.</w:t>
      </w:r>
    </w:p>
    <w:p>
      <w:pPr>
        <w:spacing w:after="0" w:line="18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0"/>
          </w:cols>
          <w:pgMar w:left="1200" w:top="352" w:right="239" w:bottom="1440" w:gutter="0" w:footer="0" w:header="0"/>
        </w:sectPr>
      </w:pPr>
    </w:p>
    <w:bookmarkStart w:id="20" w:name="page21"/>
    <w:bookmarkEnd w:id="20"/>
    <w:p>
      <w:pPr>
        <w:jc w:val="both"/>
        <w:ind w:firstLine="1910"/>
        <w:spacing w:after="0" w:line="273" w:lineRule="auto"/>
        <w:tabs>
          <w:tab w:leader="none" w:pos="2803"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4.05</w:t>
      </w:r>
      <w:r>
        <w:rPr>
          <w:rFonts w:ascii="Arial" w:cs="Arial" w:eastAsia="Arial" w:hAnsi="Arial"/>
          <w:sz w:val="19"/>
          <w:szCs w:val="19"/>
          <w:color w:val="auto"/>
        </w:rPr>
        <w:t xml:space="preserve"> shall immediately be suspended if: (i) the Company enters into a definitive agreement; (ii) any Person or group shall have commenced and not withdrawn a bona fide public tender or exchange offer and the Board has not recommended that the shareholders of the Company reject such offer within the time period contemplated by Rule 14e-3 under the Exchange Act, in the case of clause (a)(iv) only; or (iii) any Person or group shall have commenced and not withdrawn the solicitation of proxies for the election of a majority of the members of the Board, in the case of clause (a)(ii) only, in each case, the consummation of which would result in a Company Change of Control, and this Section 4.05 will be reinstated if such definitive agreement has been irrevocably terminated, such tender offer or exchange offer is irrevocably withdrawn or terminated or such solicitation is irrevocably terminated, respectively, in each case unless Investor or any of its Subsidiaries has publicly proposed a bona fide offer for a Company Change of Control prior to such termination, but only for so long as such proposal by Investor or its Subsidiaries has not been withdrawn or terminated.</w:t>
      </w:r>
    </w:p>
    <w:p>
      <w:pPr>
        <w:spacing w:after="0" w:line="162" w:lineRule="exact"/>
        <w:rPr>
          <w:sz w:val="20"/>
          <w:szCs w:val="20"/>
          <w:color w:val="auto"/>
        </w:rPr>
      </w:pPr>
    </w:p>
    <w:p>
      <w:pPr>
        <w:ind w:left="1920"/>
        <w:spacing w:after="0"/>
        <w:tabs>
          <w:tab w:leader="none" w:pos="3620" w:val="left"/>
        </w:tabs>
        <w:rPr>
          <w:sz w:val="20"/>
          <w:szCs w:val="20"/>
          <w:color w:val="auto"/>
        </w:rPr>
      </w:pPr>
      <w:r>
        <w:rPr>
          <w:rFonts w:ascii="Arial" w:cs="Arial" w:eastAsia="Arial" w:hAnsi="Arial"/>
          <w:sz w:val="22"/>
          <w:szCs w:val="22"/>
          <w:u w:val="single" w:color="auto"/>
          <w:color w:val="auto"/>
        </w:rPr>
        <w:t>Section 4.06</w:t>
      </w:r>
      <w:r>
        <w:rPr>
          <w:sz w:val="20"/>
          <w:szCs w:val="20"/>
          <w:color w:val="auto"/>
        </w:rPr>
        <w:tab/>
      </w:r>
      <w:r>
        <w:rPr>
          <w:rFonts w:ascii="Arial" w:cs="Arial" w:eastAsia="Arial" w:hAnsi="Arial"/>
          <w:sz w:val="16"/>
          <w:szCs w:val="16"/>
          <w:u w:val="single" w:color="auto"/>
          <w:color w:val="auto"/>
        </w:rPr>
        <w:t>Transfer Restrictions</w:t>
      </w:r>
      <w:r>
        <w:rPr>
          <w:rFonts w:ascii="Arial" w:cs="Arial" w:eastAsia="Arial" w:hAnsi="Arial"/>
          <w:sz w:val="16"/>
          <w:szCs w:val="16"/>
          <w:color w:val="auto"/>
        </w:rPr>
        <w:t>.</w:t>
      </w:r>
    </w:p>
    <w:p>
      <w:pPr>
        <w:spacing w:after="0" w:line="224" w:lineRule="exact"/>
        <w:rPr>
          <w:sz w:val="20"/>
          <w:szCs w:val="20"/>
          <w:color w:val="auto"/>
        </w:rPr>
      </w:pPr>
    </w:p>
    <w:p>
      <w:pPr>
        <w:jc w:val="both"/>
        <w:ind w:firstLine="1910"/>
        <w:spacing w:after="0" w:line="253" w:lineRule="auto"/>
        <w:tabs>
          <w:tab w:leader="none" w:pos="2790" w:val="left"/>
        </w:tabs>
        <w:numPr>
          <w:ilvl w:val="0"/>
          <w:numId w:val="14"/>
        </w:numPr>
        <w:rPr>
          <w:rFonts w:ascii="Arial" w:cs="Arial" w:eastAsia="Arial" w:hAnsi="Arial"/>
          <w:sz w:val="21"/>
          <w:szCs w:val="21"/>
          <w:color w:val="auto"/>
        </w:rPr>
      </w:pPr>
      <w:r>
        <w:rPr>
          <w:rFonts w:ascii="Arial" w:cs="Arial" w:eastAsia="Arial" w:hAnsi="Arial"/>
          <w:sz w:val="19"/>
          <w:szCs w:val="19"/>
          <w:color w:val="auto"/>
        </w:rPr>
        <w:t xml:space="preserve">Except as otherwise permitted in this Agreement, including </w:t>
      </w:r>
      <w:r>
        <w:rPr>
          <w:rFonts w:ascii="Arial" w:cs="Arial" w:eastAsia="Arial" w:hAnsi="Arial"/>
          <w:sz w:val="19"/>
          <w:szCs w:val="19"/>
          <w:u w:val="single" w:color="auto"/>
          <w:color w:val="auto"/>
        </w:rPr>
        <w:t>Section 4.06(b)</w:t>
      </w:r>
      <w:r>
        <w:rPr>
          <w:rFonts w:ascii="Arial" w:cs="Arial" w:eastAsia="Arial" w:hAnsi="Arial"/>
          <w:sz w:val="19"/>
          <w:szCs w:val="19"/>
          <w:color w:val="auto"/>
        </w:rPr>
        <w:t>, from the date of satisfaction of the CFIUS Approval Condition through the later of (A) the 24-month anniversary following the CFIUS Approval Condition and (B) the earlier of (w) an Investor Change of Control; (x) a Company Change of Control; (y) the 6-month anniversary following the acquisition of the Minimum Stock Ownership Threshold if such acquisition occurs prior to the first anniversary of the Nomination Start Date; and (z) if the Minimum Stock Ownership Threshold is not acquired by the Investor Parties prior to the first anniversary of the Nomination Start Date, 18 months after the date of this Agreement, the Investor Parties will not (i) Transfer any Common Stock or (ii) make any short sale of, grant any option for the purchase of, or enter into any hedging or similar transaction with the same economic effect as a short sale of or the purpose of which is to offset the loss which results from a decline in the market price of, any shares of Common Stock, or otherwise establish or increase, directly or indirectly, a put equivalent position, as defined in Rule 16a-1(h) of the Exchange Act, with respect to any of the Common Stock or any other capital stock of the Company (any such action, a “</w:t>
      </w:r>
      <w:r>
        <w:rPr>
          <w:rFonts w:ascii="Arial" w:cs="Arial" w:eastAsia="Arial" w:hAnsi="Arial"/>
          <w:sz w:val="19"/>
          <w:szCs w:val="19"/>
          <w:u w:val="single" w:color="auto"/>
          <w:color w:val="auto"/>
        </w:rPr>
        <w:t>Hedge</w:t>
      </w:r>
      <w:r>
        <w:rPr>
          <w:rFonts w:ascii="Arial" w:cs="Arial" w:eastAsia="Arial" w:hAnsi="Arial"/>
          <w:sz w:val="19"/>
          <w:szCs w:val="19"/>
          <w:color w:val="auto"/>
        </w:rPr>
        <w:t>”).</w:t>
      </w:r>
    </w:p>
    <w:p>
      <w:pPr>
        <w:spacing w:after="0" w:line="195" w:lineRule="exact"/>
        <w:rPr>
          <w:rFonts w:ascii="Arial" w:cs="Arial" w:eastAsia="Arial" w:hAnsi="Arial"/>
          <w:sz w:val="21"/>
          <w:szCs w:val="21"/>
          <w:color w:val="auto"/>
        </w:rPr>
      </w:pPr>
    </w:p>
    <w:p>
      <w:pPr>
        <w:ind w:left="2820" w:hanging="910"/>
        <w:spacing w:after="0"/>
        <w:tabs>
          <w:tab w:leader="none" w:pos="2820" w:val="left"/>
        </w:tabs>
        <w:numPr>
          <w:ilvl w:val="0"/>
          <w:numId w:val="14"/>
        </w:numPr>
        <w:rPr>
          <w:rFonts w:ascii="Arial" w:cs="Arial" w:eastAsia="Arial" w:hAnsi="Arial"/>
          <w:sz w:val="22"/>
          <w:szCs w:val="22"/>
          <w:color w:val="auto"/>
        </w:rPr>
      </w:pPr>
      <w:r>
        <w:rPr>
          <w:rFonts w:ascii="Arial" w:cs="Arial" w:eastAsia="Arial" w:hAnsi="Arial"/>
          <w:sz w:val="20"/>
          <w:szCs w:val="20"/>
          <w:color w:val="auto"/>
        </w:rPr>
        <w:t>Notwithstanding anything to the contrary contained in this Agreement:</w:t>
      </w:r>
    </w:p>
    <w:p>
      <w:pPr>
        <w:spacing w:after="0" w:line="208" w:lineRule="exact"/>
        <w:rPr>
          <w:rFonts w:ascii="Arial" w:cs="Arial" w:eastAsia="Arial" w:hAnsi="Arial"/>
          <w:sz w:val="22"/>
          <w:szCs w:val="22"/>
          <w:color w:val="auto"/>
        </w:rPr>
      </w:pPr>
    </w:p>
    <w:p>
      <w:pPr>
        <w:ind w:left="960" w:firstLine="1742"/>
        <w:spacing w:after="0" w:line="238" w:lineRule="auto"/>
        <w:tabs>
          <w:tab w:leader="none" w:pos="3608" w:val="left"/>
        </w:tabs>
        <w:numPr>
          <w:ilvl w:val="1"/>
          <w:numId w:val="14"/>
        </w:numPr>
        <w:rPr>
          <w:rFonts w:ascii="Arial" w:cs="Arial" w:eastAsia="Arial" w:hAnsi="Arial"/>
          <w:sz w:val="22"/>
          <w:szCs w:val="22"/>
          <w:color w:val="010000"/>
        </w:rPr>
      </w:pPr>
      <w:r>
        <w:rPr>
          <w:rFonts w:ascii="Arial" w:cs="Arial" w:eastAsia="Arial" w:hAnsi="Arial"/>
          <w:sz w:val="20"/>
          <w:szCs w:val="20"/>
          <w:color w:val="auto"/>
        </w:rPr>
        <w:t>the Investor Parties shall be permitted to Transfer any portion or all of their Common Stock at any time under the following circumstances:</w:t>
      </w:r>
    </w:p>
    <w:p>
      <w:pPr>
        <w:spacing w:after="0" w:line="209" w:lineRule="exact"/>
        <w:rPr>
          <w:rFonts w:ascii="Arial" w:cs="Arial" w:eastAsia="Arial" w:hAnsi="Arial"/>
          <w:sz w:val="22"/>
          <w:szCs w:val="22"/>
          <w:color w:val="010000"/>
        </w:rPr>
      </w:pPr>
    </w:p>
    <w:p>
      <w:pPr>
        <w:jc w:val="both"/>
        <w:ind w:left="2860" w:right="20" w:firstLine="714"/>
        <w:spacing w:after="0" w:line="274" w:lineRule="auto"/>
        <w:tabs>
          <w:tab w:leader="none" w:pos="4521" w:val="left"/>
        </w:tabs>
        <w:numPr>
          <w:ilvl w:val="2"/>
          <w:numId w:val="14"/>
        </w:numPr>
        <w:rPr>
          <w:rFonts w:ascii="Arial" w:cs="Arial" w:eastAsia="Arial" w:hAnsi="Arial"/>
          <w:sz w:val="19"/>
          <w:szCs w:val="19"/>
          <w:color w:val="010000"/>
        </w:rPr>
      </w:pPr>
      <w:r>
        <w:rPr>
          <w:rFonts w:ascii="Arial" w:cs="Arial" w:eastAsia="Arial" w:hAnsi="Arial"/>
          <w:sz w:val="18"/>
          <w:szCs w:val="18"/>
          <w:color w:val="auto"/>
        </w:rPr>
        <w:t>Transfers to any Investor Party, but only if (A) the transferee and the transferor agree for the express benefit of the Company that the transferee shall Transfer the Common Stock so transferred back to Investor or another Investor Party and (B) that such transferor agrees to acquire, or cause such other Investor Party to acquire, such shares, in each case, at or before any time as such transferee would not have been an Investor Party if the Transfer to such transferee had occurred at such time;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 w:name="page22"/>
    <w:bookmarkEnd w:id="21"/>
    <w:p>
      <w:pPr>
        <w:ind w:left="2860" w:right="640" w:firstLine="714"/>
        <w:spacing w:after="0" w:line="335" w:lineRule="auto"/>
        <w:tabs>
          <w:tab w:leader="none" w:pos="4509" w:val="left"/>
        </w:tabs>
        <w:numPr>
          <w:ilvl w:val="2"/>
          <w:numId w:val="15"/>
        </w:numPr>
        <w:rPr>
          <w:rFonts w:ascii="Arial" w:cs="Arial" w:eastAsia="Arial" w:hAnsi="Arial"/>
          <w:sz w:val="18"/>
          <w:szCs w:val="18"/>
          <w:color w:val="010000"/>
        </w:rPr>
      </w:pPr>
      <w:r>
        <w:rPr>
          <w:rFonts w:ascii="Arial" w:cs="Arial" w:eastAsia="Arial" w:hAnsi="Arial"/>
          <w:sz w:val="17"/>
          <w:szCs w:val="17"/>
          <w:color w:val="auto"/>
        </w:rPr>
        <w:t>Transfers pursuant to a merger, tender offer or exchange offer or other business combination, acquisition of assets or similar transaction or any Company Change of Control;</w:t>
      </w:r>
    </w:p>
    <w:p>
      <w:pPr>
        <w:spacing w:after="0" w:line="124" w:lineRule="exact"/>
        <w:rPr>
          <w:rFonts w:ascii="Arial" w:cs="Arial" w:eastAsia="Arial" w:hAnsi="Arial"/>
          <w:sz w:val="18"/>
          <w:szCs w:val="18"/>
          <w:color w:val="010000"/>
        </w:rPr>
      </w:pPr>
    </w:p>
    <w:p>
      <w:pPr>
        <w:ind w:left="4520" w:hanging="946"/>
        <w:spacing w:after="0"/>
        <w:tabs>
          <w:tab w:leader="none" w:pos="4520" w:val="left"/>
        </w:tabs>
        <w:numPr>
          <w:ilvl w:val="2"/>
          <w:numId w:val="15"/>
        </w:numPr>
        <w:rPr>
          <w:rFonts w:ascii="Arial" w:cs="Arial" w:eastAsia="Arial" w:hAnsi="Arial"/>
          <w:sz w:val="22"/>
          <w:szCs w:val="22"/>
          <w:color w:val="010000"/>
        </w:rPr>
      </w:pPr>
      <w:r>
        <w:rPr>
          <w:rFonts w:ascii="Arial" w:cs="Arial" w:eastAsia="Arial" w:hAnsi="Arial"/>
          <w:sz w:val="20"/>
          <w:szCs w:val="20"/>
          <w:color w:val="auto"/>
        </w:rPr>
        <w:t>Transfers that have been approved in writing by the Board; and</w:t>
      </w:r>
    </w:p>
    <w:p>
      <w:pPr>
        <w:spacing w:after="0" w:line="206" w:lineRule="exact"/>
        <w:rPr>
          <w:rFonts w:ascii="Arial" w:cs="Arial" w:eastAsia="Arial" w:hAnsi="Arial"/>
          <w:sz w:val="22"/>
          <w:szCs w:val="22"/>
          <w:color w:val="010000"/>
        </w:rPr>
      </w:pPr>
    </w:p>
    <w:p>
      <w:pPr>
        <w:ind w:left="4520" w:hanging="946"/>
        <w:spacing w:after="0"/>
        <w:tabs>
          <w:tab w:leader="none" w:pos="4520" w:val="left"/>
        </w:tabs>
        <w:numPr>
          <w:ilvl w:val="2"/>
          <w:numId w:val="15"/>
        </w:numPr>
        <w:rPr>
          <w:rFonts w:ascii="Arial" w:cs="Arial" w:eastAsia="Arial" w:hAnsi="Arial"/>
          <w:sz w:val="22"/>
          <w:szCs w:val="22"/>
          <w:color w:val="010000"/>
        </w:rPr>
      </w:pPr>
      <w:r>
        <w:rPr>
          <w:rFonts w:ascii="Arial" w:cs="Arial" w:eastAsia="Arial" w:hAnsi="Arial"/>
          <w:sz w:val="20"/>
          <w:szCs w:val="20"/>
          <w:color w:val="auto"/>
        </w:rPr>
        <w:t>Transfers to the extent required by Laws or a Judgment.</w:t>
      </w:r>
    </w:p>
    <w:p>
      <w:pPr>
        <w:spacing w:after="0" w:line="208" w:lineRule="exact"/>
        <w:rPr>
          <w:rFonts w:ascii="Arial" w:cs="Arial" w:eastAsia="Arial" w:hAnsi="Arial"/>
          <w:sz w:val="22"/>
          <w:szCs w:val="22"/>
          <w:color w:val="010000"/>
        </w:rPr>
      </w:pPr>
    </w:p>
    <w:p>
      <w:pPr>
        <w:jc w:val="both"/>
        <w:ind w:left="960" w:firstLine="1742"/>
        <w:spacing w:after="0" w:line="239" w:lineRule="auto"/>
        <w:tabs>
          <w:tab w:leader="none" w:pos="3616" w:val="left"/>
        </w:tabs>
        <w:numPr>
          <w:ilvl w:val="1"/>
          <w:numId w:val="16"/>
        </w:numPr>
        <w:rPr>
          <w:rFonts w:ascii="Arial" w:cs="Arial" w:eastAsia="Arial" w:hAnsi="Arial"/>
          <w:sz w:val="22"/>
          <w:szCs w:val="22"/>
          <w:color w:val="010000"/>
        </w:rPr>
      </w:pPr>
      <w:r>
        <w:rPr>
          <w:rFonts w:ascii="Arial" w:cs="Arial" w:eastAsia="Arial" w:hAnsi="Arial"/>
          <w:sz w:val="20"/>
          <w:szCs w:val="20"/>
          <w:color w:val="auto"/>
        </w:rPr>
        <w:t>the Investor Parties shall be permitted to Transfer securities of other Investor Parties that directly or indirectly own shares of Common Stock (A) to banks or other customary providers of debt financing in connection with bona fide financing transactions; and (B) to other Persons not addressed by the foregoing clause (A) as long as such Transfer does not result in an Investor Party no longer being an Investor Party.</w:t>
      </w:r>
    </w:p>
    <w:p>
      <w:pPr>
        <w:spacing w:after="0" w:line="208" w:lineRule="exact"/>
        <w:rPr>
          <w:rFonts w:ascii="Arial" w:cs="Arial" w:eastAsia="Arial" w:hAnsi="Arial"/>
          <w:sz w:val="22"/>
          <w:szCs w:val="22"/>
          <w:color w:val="010000"/>
        </w:rPr>
      </w:pPr>
    </w:p>
    <w:p>
      <w:pPr>
        <w:ind w:firstLine="1910"/>
        <w:spacing w:after="0" w:line="238" w:lineRule="auto"/>
        <w:tabs>
          <w:tab w:leader="none" w:pos="2790" w:val="left"/>
        </w:tabs>
        <w:numPr>
          <w:ilvl w:val="0"/>
          <w:numId w:val="17"/>
        </w:numPr>
        <w:rPr>
          <w:rFonts w:ascii="Arial" w:cs="Arial" w:eastAsia="Arial" w:hAnsi="Arial"/>
          <w:sz w:val="22"/>
          <w:szCs w:val="22"/>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4.06(a)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the Investor Parties will not at any time, directly or knowingly indirectly (without the prior written consent of the Board), Transfer any Common Stock:</w:t>
      </w:r>
    </w:p>
    <w:p>
      <w:pPr>
        <w:spacing w:after="0" w:line="209" w:lineRule="exact"/>
        <w:rPr>
          <w:rFonts w:ascii="Arial" w:cs="Arial" w:eastAsia="Arial" w:hAnsi="Arial"/>
          <w:sz w:val="22"/>
          <w:szCs w:val="22"/>
          <w:color w:val="auto"/>
        </w:rPr>
      </w:pPr>
    </w:p>
    <w:p>
      <w:pPr>
        <w:ind w:left="960" w:right="20" w:firstLine="1742"/>
        <w:spacing w:after="0" w:line="238" w:lineRule="auto"/>
        <w:tabs>
          <w:tab w:leader="none" w:pos="3556" w:val="left"/>
        </w:tabs>
        <w:numPr>
          <w:ilvl w:val="1"/>
          <w:numId w:val="17"/>
        </w:numPr>
        <w:rPr>
          <w:rFonts w:ascii="Arial" w:cs="Arial" w:eastAsia="Arial" w:hAnsi="Arial"/>
          <w:sz w:val="22"/>
          <w:szCs w:val="22"/>
          <w:color w:val="010000"/>
        </w:rPr>
      </w:pPr>
      <w:r>
        <w:rPr>
          <w:rFonts w:ascii="Arial" w:cs="Arial" w:eastAsia="Arial" w:hAnsi="Arial"/>
          <w:sz w:val="20"/>
          <w:szCs w:val="20"/>
          <w:color w:val="auto"/>
        </w:rPr>
        <w:t>to a Prohibited Transferee (it being understood that this clause (i) shall not prohibit Transfers to a Person prior to the time that such Person becomes a Prohibited Transferee); or</w:t>
      </w:r>
    </w:p>
    <w:p>
      <w:pPr>
        <w:spacing w:after="0" w:line="210" w:lineRule="exact"/>
        <w:rPr>
          <w:sz w:val="20"/>
          <w:szCs w:val="20"/>
          <w:color w:val="auto"/>
        </w:rPr>
      </w:pPr>
    </w:p>
    <w:p>
      <w:pPr>
        <w:ind w:left="3620" w:hanging="918"/>
        <w:spacing w:after="0"/>
        <w:tabs>
          <w:tab w:leader="none" w:pos="3620" w:val="left"/>
        </w:tabs>
        <w:numPr>
          <w:ilvl w:val="0"/>
          <w:numId w:val="18"/>
        </w:numPr>
        <w:rPr>
          <w:rFonts w:ascii="Arial" w:cs="Arial" w:eastAsia="Arial" w:hAnsi="Arial"/>
          <w:sz w:val="19"/>
          <w:szCs w:val="19"/>
          <w:color w:val="010000"/>
        </w:rPr>
      </w:pPr>
      <w:r>
        <w:rPr>
          <w:rFonts w:ascii="Arial" w:cs="Arial" w:eastAsia="Arial" w:hAnsi="Arial"/>
          <w:sz w:val="18"/>
          <w:szCs w:val="18"/>
          <w:color w:val="auto"/>
        </w:rPr>
        <w:t>to Investor’s knowledge (following reasonable investigation in a negotiated transaction), to a 5%</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Entity;</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t>
      </w:r>
      <w:r>
        <w:rPr>
          <w:rFonts w:ascii="Arial" w:cs="Arial" w:eastAsia="Arial" w:hAnsi="Arial"/>
          <w:sz w:val="20"/>
          <w:szCs w:val="20"/>
          <w:u w:val="single" w:color="auto"/>
          <w:color w:val="auto"/>
        </w:rPr>
        <w:t>Section 4.06(c)(ii)</w:t>
      </w:r>
      <w:r>
        <w:rPr>
          <w:rFonts w:ascii="Arial" w:cs="Arial" w:eastAsia="Arial" w:hAnsi="Arial"/>
          <w:sz w:val="20"/>
          <w:szCs w:val="20"/>
          <w:color w:val="auto"/>
        </w:rPr>
        <w:t xml:space="preserve"> shall not restrict any Transfer permitted by </w:t>
      </w:r>
      <w:r>
        <w:rPr>
          <w:rFonts w:ascii="Arial" w:cs="Arial" w:eastAsia="Arial" w:hAnsi="Arial"/>
          <w:sz w:val="20"/>
          <w:szCs w:val="20"/>
          <w:u w:val="single" w:color="auto"/>
          <w:color w:val="auto"/>
        </w:rPr>
        <w:t>Section 4.06(b)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4.06(c)</w:t>
      </w:r>
      <w:r>
        <w:rPr>
          <w:rFonts w:ascii="Arial" w:cs="Arial" w:eastAsia="Arial" w:hAnsi="Arial"/>
          <w:sz w:val="20"/>
          <w:szCs w:val="20"/>
          <w:color w:val="auto"/>
        </w:rPr>
        <w:t xml:space="preserve"> shall not apply to any bona fide sale into the public markets effected on a National Securities Exchange through a broker-dealer in which Investor and its Affiliates have no knowledge of the identity of the purchaser.</w:t>
      </w:r>
    </w:p>
    <w:p>
      <w:pPr>
        <w:spacing w:after="0" w:line="200" w:lineRule="exact"/>
        <w:rPr>
          <w:sz w:val="20"/>
          <w:szCs w:val="20"/>
          <w:color w:val="auto"/>
        </w:rPr>
      </w:pPr>
    </w:p>
    <w:p>
      <w:pPr>
        <w:ind w:left="2820" w:hanging="910"/>
        <w:spacing w:after="0"/>
        <w:tabs>
          <w:tab w:leader="none" w:pos="2820" w:val="left"/>
        </w:tabs>
        <w:numPr>
          <w:ilvl w:val="1"/>
          <w:numId w:val="19"/>
        </w:numPr>
        <w:rPr>
          <w:rFonts w:ascii="Arial" w:cs="Arial" w:eastAsia="Arial" w:hAnsi="Arial"/>
          <w:sz w:val="19"/>
          <w:szCs w:val="19"/>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4.06(a)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until the earlier of (A) the CFIUS Cure Failure and (B) the later of</w:t>
      </w:r>
    </w:p>
    <w:p>
      <w:pPr>
        <w:spacing w:after="0" w:line="27" w:lineRule="exact"/>
        <w:rPr>
          <w:rFonts w:ascii="Arial" w:cs="Arial" w:eastAsia="Arial" w:hAnsi="Arial"/>
          <w:sz w:val="19"/>
          <w:szCs w:val="19"/>
          <w:color w:val="auto"/>
        </w:rPr>
      </w:pPr>
    </w:p>
    <w:p>
      <w:pPr>
        <w:ind w:firstLine="8"/>
        <w:spacing w:after="0" w:line="244" w:lineRule="auto"/>
        <w:tabs>
          <w:tab w:leader="none" w:pos="29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first day on which no Investor Director Designee serves on the Board or (2) the Fall-Away of Investor Board Rights, the Investor will not, and will cause its Affiliates not to, Hedge, without the prior written approval of the Board.</w:t>
      </w:r>
    </w:p>
    <w:p>
      <w:pPr>
        <w:spacing w:after="0" w:line="202" w:lineRule="exact"/>
        <w:rPr>
          <w:rFonts w:ascii="Arial" w:cs="Arial" w:eastAsia="Arial" w:hAnsi="Arial"/>
          <w:sz w:val="20"/>
          <w:szCs w:val="20"/>
          <w:color w:val="auto"/>
        </w:rPr>
      </w:pPr>
    </w:p>
    <w:p>
      <w:pPr>
        <w:ind w:left="2800" w:hanging="890"/>
        <w:spacing w:after="0"/>
        <w:tabs>
          <w:tab w:leader="none" w:pos="2800" w:val="left"/>
        </w:tabs>
        <w:numPr>
          <w:ilvl w:val="1"/>
          <w:numId w:val="20"/>
        </w:numPr>
        <w:rPr>
          <w:rFonts w:ascii="Arial" w:cs="Arial" w:eastAsia="Arial" w:hAnsi="Arial"/>
          <w:sz w:val="22"/>
          <w:szCs w:val="22"/>
          <w:color w:val="auto"/>
        </w:rPr>
      </w:pPr>
      <w:r>
        <w:rPr>
          <w:rFonts w:ascii="Arial" w:cs="Arial" w:eastAsia="Arial" w:hAnsi="Arial"/>
          <w:sz w:val="20"/>
          <w:szCs w:val="20"/>
          <w:color w:val="auto"/>
        </w:rPr>
        <w:t xml:space="preserve">Any attempted Transfer in violation of this </w:t>
      </w:r>
      <w:r>
        <w:rPr>
          <w:rFonts w:ascii="Arial" w:cs="Arial" w:eastAsia="Arial" w:hAnsi="Arial"/>
          <w:sz w:val="20"/>
          <w:szCs w:val="20"/>
          <w:u w:val="single" w:color="auto"/>
          <w:color w:val="auto"/>
        </w:rPr>
        <w:t>Section 4.06</w:t>
      </w:r>
      <w:r>
        <w:rPr>
          <w:rFonts w:ascii="Arial" w:cs="Arial" w:eastAsia="Arial" w:hAnsi="Arial"/>
          <w:sz w:val="20"/>
          <w:szCs w:val="20"/>
          <w:color w:val="auto"/>
        </w:rPr>
        <w:t xml:space="preserve"> shall be null and void </w:t>
      </w:r>
      <w:r>
        <w:rPr>
          <w:rFonts w:ascii="Arial" w:cs="Arial" w:eastAsia="Arial" w:hAnsi="Arial"/>
          <w:sz w:val="20"/>
          <w:szCs w:val="20"/>
          <w:i w:val="1"/>
          <w:iCs w:val="1"/>
          <w:color w:val="auto"/>
        </w:rPr>
        <w:t>ab initio</w:t>
      </w:r>
      <w:r>
        <w:rPr>
          <w:rFonts w:ascii="Arial" w:cs="Arial" w:eastAsia="Arial" w:hAnsi="Arial"/>
          <w:sz w:val="20"/>
          <w:szCs w:val="20"/>
          <w:color w:val="auto"/>
        </w:rPr>
        <w:t>.</w:t>
      </w:r>
    </w:p>
    <w:p>
      <w:pPr>
        <w:spacing w:after="0" w:line="191" w:lineRule="exact"/>
        <w:rPr>
          <w:sz w:val="20"/>
          <w:szCs w:val="20"/>
          <w:color w:val="auto"/>
        </w:rPr>
      </w:pPr>
    </w:p>
    <w:p>
      <w:pPr>
        <w:ind w:left="1920"/>
        <w:spacing w:after="0"/>
        <w:tabs>
          <w:tab w:leader="none" w:pos="3620" w:val="left"/>
        </w:tabs>
        <w:rPr>
          <w:sz w:val="20"/>
          <w:szCs w:val="20"/>
          <w:color w:val="auto"/>
        </w:rPr>
      </w:pPr>
      <w:r>
        <w:rPr>
          <w:rFonts w:ascii="Arial" w:cs="Arial" w:eastAsia="Arial" w:hAnsi="Arial"/>
          <w:sz w:val="22"/>
          <w:szCs w:val="22"/>
          <w:u w:val="single" w:color="auto"/>
          <w:color w:val="auto"/>
        </w:rPr>
        <w:t>Section 4.07</w:t>
      </w:r>
      <w:r>
        <w:rPr>
          <w:sz w:val="20"/>
          <w:szCs w:val="20"/>
          <w:color w:val="auto"/>
        </w:rPr>
        <w:tab/>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w:t>
      </w:r>
    </w:p>
    <w:p>
      <w:pPr>
        <w:spacing w:after="0" w:line="224" w:lineRule="exact"/>
        <w:rPr>
          <w:sz w:val="20"/>
          <w:szCs w:val="20"/>
          <w:color w:val="auto"/>
        </w:rPr>
      </w:pPr>
    </w:p>
    <w:p>
      <w:pPr>
        <w:jc w:val="both"/>
        <w:ind w:firstLine="1910"/>
        <w:spacing w:after="0" w:line="239" w:lineRule="auto"/>
        <w:tabs>
          <w:tab w:leader="none" w:pos="2790" w:val="left"/>
        </w:tabs>
        <w:numPr>
          <w:ilvl w:val="0"/>
          <w:numId w:val="21"/>
        </w:numPr>
        <w:rPr>
          <w:rFonts w:ascii="Arial" w:cs="Arial" w:eastAsia="Arial" w:hAnsi="Arial"/>
          <w:sz w:val="22"/>
          <w:szCs w:val="22"/>
          <w:color w:val="auto"/>
        </w:rPr>
      </w:pPr>
      <w:r>
        <w:rPr>
          <w:rFonts w:ascii="Arial" w:cs="Arial" w:eastAsia="Arial" w:hAnsi="Arial"/>
          <w:sz w:val="20"/>
          <w:szCs w:val="20"/>
          <w:color w:val="auto"/>
        </w:rPr>
        <w:t>Within 10 Business Days following the Nomination Start Date, the Board shall increase the size of the Board (if there are no vacancies then on the Board) and appoint the Investor Director Designee as a director to fill such vacancy or such existing vacancy (the first date on which an Investor Director Designee commences to serve on the Board is the “</w:t>
      </w:r>
      <w:r>
        <w:rPr>
          <w:rFonts w:ascii="Arial" w:cs="Arial" w:eastAsia="Arial" w:hAnsi="Arial"/>
          <w:sz w:val="20"/>
          <w:szCs w:val="20"/>
          <w:u w:val="single" w:color="auto"/>
          <w:color w:val="auto"/>
        </w:rPr>
        <w:t>First Seat Date</w:t>
      </w:r>
      <w:r>
        <w:rPr>
          <w:rFonts w:ascii="Arial" w:cs="Arial" w:eastAsia="Arial" w:hAnsi="Arial"/>
          <w:sz w:val="20"/>
          <w:szCs w:val="20"/>
          <w:color w:val="auto"/>
        </w:rPr>
        <w:t>,” provided that if Investor declines to appoint the Investor Director Designee at such time, the First Seat Date shall be 10 Business Days following the Nomination Start Date). If the CFIUS Approval Condition is not satisfied because either (i) the parties hereto jointly withdraw the application therefor or (ii) CFIUS notifies the parties in writing that CFIUS (A) has completed its review or investigation and has determined that it requires no more time to review or investigate and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2" w:name="page23"/>
    <w:bookmarkEnd w:id="22"/>
    <w:p>
      <w:pPr>
        <w:jc w:val="both"/>
        <w:spacing w:after="0" w:line="244" w:lineRule="auto"/>
        <w:rPr>
          <w:sz w:val="20"/>
          <w:szCs w:val="20"/>
          <w:color w:val="auto"/>
        </w:rPr>
      </w:pPr>
      <w:r>
        <w:rPr>
          <w:rFonts w:ascii="Arial" w:cs="Arial" w:eastAsia="Arial" w:hAnsi="Arial"/>
          <w:sz w:val="20"/>
          <w:szCs w:val="20"/>
          <w:color w:val="auto"/>
        </w:rPr>
        <w:t>intends to send a report to the President recommending that the President act to suspend or prohibit the Transactions (the “</w:t>
      </w:r>
      <w:r>
        <w:rPr>
          <w:rFonts w:ascii="Arial" w:cs="Arial" w:eastAsia="Arial" w:hAnsi="Arial"/>
          <w:sz w:val="20"/>
          <w:szCs w:val="20"/>
          <w:u w:val="single" w:color="auto"/>
          <w:color w:val="auto"/>
        </w:rPr>
        <w:t>CFIUS Denial</w:t>
      </w:r>
      <w:r>
        <w:rPr>
          <w:rFonts w:ascii="Arial" w:cs="Arial" w:eastAsia="Arial" w:hAnsi="Arial"/>
          <w:sz w:val="20"/>
          <w:szCs w:val="20"/>
          <w:color w:val="auto"/>
        </w:rPr>
        <w:t>”), the parties hereto shall use their commercially reasonable best efforts, consistent with any recommendations or concerns of CFIUS during the 10 day period following the CFIUS Denial (the "</w:t>
      </w:r>
      <w:r>
        <w:rPr>
          <w:rFonts w:ascii="Arial" w:cs="Arial" w:eastAsia="Arial" w:hAnsi="Arial"/>
          <w:sz w:val="20"/>
          <w:szCs w:val="20"/>
          <w:u w:val="single" w:color="auto"/>
          <w:color w:val="auto"/>
        </w:rPr>
        <w:t>CFIUS Cure Period"</w:t>
      </w:r>
      <w:r>
        <w:rPr>
          <w:rFonts w:ascii="Arial" w:cs="Arial" w:eastAsia="Arial" w:hAnsi="Arial"/>
          <w:sz w:val="20"/>
          <w:szCs w:val="20"/>
          <w:color w:val="auto"/>
        </w:rPr>
        <w:t xml:space="preserve">) to negotiate an amendment to this Agreement to give effect to the terms and provisions of this </w:t>
      </w:r>
      <w:r>
        <w:rPr>
          <w:rFonts w:ascii="Arial" w:cs="Arial" w:eastAsia="Arial" w:hAnsi="Arial"/>
          <w:sz w:val="20"/>
          <w:szCs w:val="20"/>
          <w:u w:val="single" w:color="auto"/>
          <w:color w:val="auto"/>
        </w:rPr>
        <w:t>Section 4.07</w:t>
      </w:r>
      <w:r>
        <w:rPr>
          <w:rFonts w:ascii="Arial" w:cs="Arial" w:eastAsia="Arial" w:hAnsi="Arial"/>
          <w:sz w:val="20"/>
          <w:szCs w:val="20"/>
          <w:color w:val="auto"/>
        </w:rPr>
        <w:t xml:space="preserve"> to provide for an Investor-designated nominee to serve as a Director in compliance with applicable Law (the "</w:t>
      </w:r>
      <w:r>
        <w:rPr>
          <w:rFonts w:ascii="Arial" w:cs="Arial" w:eastAsia="Arial" w:hAnsi="Arial"/>
          <w:sz w:val="20"/>
          <w:szCs w:val="20"/>
          <w:u w:val="single" w:color="auto"/>
          <w:color w:val="auto"/>
        </w:rPr>
        <w:t>CFIUS Cure Amendment</w:t>
      </w:r>
      <w:r>
        <w:rPr>
          <w:rFonts w:ascii="Arial" w:cs="Arial" w:eastAsia="Arial" w:hAnsi="Arial"/>
          <w:sz w:val="20"/>
          <w:szCs w:val="20"/>
          <w:color w:val="auto"/>
        </w:rPr>
        <w:t>").</w:t>
      </w:r>
    </w:p>
    <w:p>
      <w:pPr>
        <w:spacing w:after="0" w:line="208" w:lineRule="exact"/>
        <w:rPr>
          <w:sz w:val="20"/>
          <w:szCs w:val="20"/>
          <w:color w:val="auto"/>
        </w:rPr>
      </w:pPr>
    </w:p>
    <w:p>
      <w:pPr>
        <w:jc w:val="both"/>
        <w:ind w:firstLine="1910"/>
        <w:spacing w:after="0" w:line="239" w:lineRule="auto"/>
        <w:tabs>
          <w:tab w:leader="none" w:pos="2803" w:val="left"/>
        </w:tabs>
        <w:numPr>
          <w:ilvl w:val="0"/>
          <w:numId w:val="22"/>
        </w:numPr>
        <w:rPr>
          <w:rFonts w:ascii="Arial" w:cs="Arial" w:eastAsia="Arial" w:hAnsi="Arial"/>
          <w:sz w:val="22"/>
          <w:szCs w:val="22"/>
          <w:color w:val="auto"/>
        </w:rPr>
      </w:pPr>
      <w:r>
        <w:rPr>
          <w:rFonts w:ascii="Arial" w:cs="Arial" w:eastAsia="Arial" w:hAnsi="Arial"/>
          <w:sz w:val="20"/>
          <w:szCs w:val="20"/>
          <w:color w:val="auto"/>
        </w:rPr>
        <w:t xml:space="preserve">Upon the occurrence of the Fall-Away of Investor Board Rights, (i) the Investor Director Designee shall immediately resign at the request of the Board (which request may be upon or at any time following the occurrence of the Fall-Away of Investor Board Rights), and Investor shall cause the Investor Director Designee immediately to resign from the Board effective as of the date requested by the Board, and (ii) Investor shall no longer have any rights under this </w:t>
      </w:r>
      <w:r>
        <w:rPr>
          <w:rFonts w:ascii="Arial" w:cs="Arial" w:eastAsia="Arial" w:hAnsi="Arial"/>
          <w:sz w:val="20"/>
          <w:szCs w:val="20"/>
          <w:u w:val="single" w:color="auto"/>
          <w:color w:val="auto"/>
        </w:rPr>
        <w:t>Section 4.07</w:t>
      </w:r>
      <w:r>
        <w:rPr>
          <w:rFonts w:ascii="Arial" w:cs="Arial" w:eastAsia="Arial" w:hAnsi="Arial"/>
          <w:sz w:val="20"/>
          <w:szCs w:val="20"/>
          <w:color w:val="auto"/>
        </w:rPr>
        <w:t xml:space="preserve">, including, for the avoidance of doubt, any designation and/or nomination rights under </w:t>
      </w:r>
      <w:r>
        <w:rPr>
          <w:rFonts w:ascii="Arial" w:cs="Arial" w:eastAsia="Arial" w:hAnsi="Arial"/>
          <w:sz w:val="20"/>
          <w:szCs w:val="20"/>
          <w:u w:val="single" w:color="auto"/>
          <w:color w:val="auto"/>
        </w:rPr>
        <w:t>Section 4.07(c)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4.07(d)</w:t>
      </w:r>
      <w:r>
        <w:rPr>
          <w:rFonts w:ascii="Arial" w:cs="Arial" w:eastAsia="Arial" w:hAnsi="Arial"/>
          <w:sz w:val="20"/>
          <w:szCs w:val="20"/>
          <w:color w:val="auto"/>
        </w:rPr>
        <w:t>.</w:t>
      </w:r>
    </w:p>
    <w:p>
      <w:pPr>
        <w:spacing w:after="0" w:line="209" w:lineRule="exact"/>
        <w:rPr>
          <w:rFonts w:ascii="Arial" w:cs="Arial" w:eastAsia="Arial" w:hAnsi="Arial"/>
          <w:sz w:val="22"/>
          <w:szCs w:val="22"/>
          <w:color w:val="auto"/>
        </w:rPr>
      </w:pPr>
    </w:p>
    <w:p>
      <w:pPr>
        <w:jc w:val="both"/>
        <w:ind w:firstLine="1910"/>
        <w:spacing w:after="0" w:line="269" w:lineRule="auto"/>
        <w:tabs>
          <w:tab w:leader="none" w:pos="2790" w:val="left"/>
        </w:tabs>
        <w:numPr>
          <w:ilvl w:val="0"/>
          <w:numId w:val="22"/>
        </w:numPr>
        <w:rPr>
          <w:rFonts w:ascii="Arial" w:cs="Arial" w:eastAsia="Arial" w:hAnsi="Arial"/>
          <w:sz w:val="19"/>
          <w:szCs w:val="19"/>
          <w:color w:val="auto"/>
        </w:rPr>
      </w:pPr>
      <w:r>
        <w:rPr>
          <w:rFonts w:ascii="Arial" w:cs="Arial" w:eastAsia="Arial" w:hAnsi="Arial"/>
          <w:sz w:val="18"/>
          <w:szCs w:val="18"/>
          <w:color w:val="auto"/>
        </w:rPr>
        <w:t xml:space="preserve">Until the occurrence of the Fall-Away of Investor Board Rights, at any annual or special meeting of the Company’s stockholders at which Directors are to be elected and at which the seat held by the Investor Director Designee is subject to election, Investor shall have the right to designate one Investor Director Designee, which Investor Director Designee will be nominated by the Company for election to the Board at such annual meeting. The Company shall include the Investor Director Designee designated by Investor in accordance with this </w:t>
      </w:r>
      <w:r>
        <w:rPr>
          <w:rFonts w:ascii="Arial" w:cs="Arial" w:eastAsia="Arial" w:hAnsi="Arial"/>
          <w:sz w:val="18"/>
          <w:szCs w:val="18"/>
          <w:u w:val="single" w:color="auto"/>
          <w:color w:val="auto"/>
        </w:rPr>
        <w:t>Section 4.07(c)</w:t>
      </w:r>
      <w:r>
        <w:rPr>
          <w:rFonts w:ascii="Arial" w:cs="Arial" w:eastAsia="Arial" w:hAnsi="Arial"/>
          <w:sz w:val="18"/>
          <w:szCs w:val="18"/>
          <w:color w:val="auto"/>
        </w:rPr>
        <w:t xml:space="preserve"> in the Company’s slate of nominees for the applicable annual meeting of the Company’s stockholders and shall recommend that, and solicit proxies from, the holders of the Company’s common stock vote in favor of the Investor Director Designee in a manner consistent with other non-executive director nominees on the Company’s slate of nominees. For the avoidance of doubt, Investor shall not be required to comply with the advance notice provisions generally applicable to the nomination of Directors by the Company so long as Investor provides reasonable advance notice to the Company of the Investor Director Designee prior to the mailing of the proxy statement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provide reasonable advance notice to Investor of the expected mailing date. The Company will provide Investor with a reasonable opportunity to review and provide comments, which the Company will consider in good faith, with respect to any portion of the proxy statement or other proxy materials relating to Investor, the Investor Parties, the Investor Director Designee or this Agreement, the Joint Venture Agreement or the License Agreement.</w:t>
      </w:r>
    </w:p>
    <w:p>
      <w:pPr>
        <w:spacing w:after="0" w:line="185" w:lineRule="exact"/>
        <w:rPr>
          <w:rFonts w:ascii="Arial" w:cs="Arial" w:eastAsia="Arial" w:hAnsi="Arial"/>
          <w:sz w:val="19"/>
          <w:szCs w:val="19"/>
          <w:color w:val="auto"/>
        </w:rPr>
      </w:pPr>
    </w:p>
    <w:p>
      <w:pPr>
        <w:jc w:val="both"/>
        <w:ind w:firstLine="1910"/>
        <w:spacing w:after="0" w:line="238" w:lineRule="auto"/>
        <w:tabs>
          <w:tab w:leader="none" w:pos="2803" w:val="left"/>
        </w:tabs>
        <w:numPr>
          <w:ilvl w:val="0"/>
          <w:numId w:val="22"/>
        </w:numPr>
        <w:rPr>
          <w:rFonts w:ascii="Arial" w:cs="Arial" w:eastAsia="Arial" w:hAnsi="Arial"/>
          <w:sz w:val="22"/>
          <w:szCs w:val="22"/>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4.07(g)</w:t>
      </w:r>
      <w:r>
        <w:rPr>
          <w:rFonts w:ascii="Arial" w:cs="Arial" w:eastAsia="Arial" w:hAnsi="Arial"/>
          <w:sz w:val="20"/>
          <w:szCs w:val="20"/>
          <w:color w:val="auto"/>
        </w:rPr>
        <w:t>, the Investor Director Designee shall be invited to, provided notice of and materials for all meetings of the Board substantially in the same manner (including with respect to timing and content) as other non-executive Directors.</w:t>
      </w:r>
    </w:p>
    <w:p>
      <w:pPr>
        <w:spacing w:after="0" w:line="211" w:lineRule="exact"/>
        <w:rPr>
          <w:rFonts w:ascii="Arial" w:cs="Arial" w:eastAsia="Arial" w:hAnsi="Arial"/>
          <w:sz w:val="22"/>
          <w:szCs w:val="22"/>
          <w:color w:val="auto"/>
        </w:rPr>
      </w:pPr>
    </w:p>
    <w:p>
      <w:pPr>
        <w:jc w:val="both"/>
        <w:ind w:firstLine="1910"/>
        <w:spacing w:after="0" w:line="271" w:lineRule="auto"/>
        <w:tabs>
          <w:tab w:leader="none" w:pos="2790" w:val="left"/>
        </w:tabs>
        <w:numPr>
          <w:ilvl w:val="0"/>
          <w:numId w:val="22"/>
        </w:numPr>
        <w:rPr>
          <w:rFonts w:ascii="Arial" w:cs="Arial" w:eastAsia="Arial" w:hAnsi="Arial"/>
          <w:sz w:val="19"/>
          <w:szCs w:val="19"/>
          <w:color w:val="auto"/>
        </w:rPr>
      </w:pPr>
      <w:r>
        <w:rPr>
          <w:rFonts w:ascii="Arial" w:cs="Arial" w:eastAsia="Arial" w:hAnsi="Arial"/>
          <w:sz w:val="18"/>
          <w:szCs w:val="18"/>
          <w:color w:val="auto"/>
        </w:rPr>
        <w:t xml:space="preserve">In the event of the death, disability, resignation or removal of any Investor Director Designee as a member of the Board (other than resignation pursuant to </w:t>
      </w:r>
      <w:r>
        <w:rPr>
          <w:rFonts w:ascii="Arial" w:cs="Arial" w:eastAsia="Arial" w:hAnsi="Arial"/>
          <w:sz w:val="18"/>
          <w:szCs w:val="18"/>
          <w:u w:val="single" w:color="auto"/>
          <w:color w:val="auto"/>
        </w:rPr>
        <w:t>Section 4.07(b)</w:t>
      </w:r>
      <w:r>
        <w:rPr>
          <w:rFonts w:ascii="Arial" w:cs="Arial" w:eastAsia="Arial" w:hAnsi="Arial"/>
          <w:sz w:val="18"/>
          <w:szCs w:val="18"/>
          <w:color w:val="auto"/>
        </w:rPr>
        <w:t>), Investor, until the occurrence of the Fall-Away of Investor Board Rights, shall be entitled to designate an Investor Director Designee reasonably acceptable to the Board (and if the Board has a nominating committee at such time, such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Investor’s chief executive officer as of the date of this Agreement shall be deemed to be acceptable to the Board and such committee) to replace such Investor Director Designee, and subject to </w:t>
      </w:r>
      <w:r>
        <w:rPr>
          <w:rFonts w:ascii="Arial" w:cs="Arial" w:eastAsia="Arial" w:hAnsi="Arial"/>
          <w:sz w:val="18"/>
          <w:szCs w:val="18"/>
          <w:u w:val="single" w:color="auto"/>
          <w:color w:val="auto"/>
        </w:rPr>
        <w:t>Section 4.07(f)</w:t>
      </w:r>
      <w:r>
        <w:rPr>
          <w:rFonts w:ascii="Arial" w:cs="Arial" w:eastAsia="Arial" w:hAnsi="Arial"/>
          <w:sz w:val="18"/>
          <w:szCs w:val="18"/>
          <w:color w:val="auto"/>
        </w:rPr>
        <w:t xml:space="preserve"> and any applicable provisions of the DGCL, the Company shall take, or cause to be taken, all actions necessary to cause such Investor Director Designee to be promptly appointed to fill such resulting vacancy. To the extent that the Board (or its nominating committee) reasonably determines that the proposed Investor Director Designee is not acceptable, Investor shall be permitted to propose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20"/>
          <w:szCs w:val="20"/>
          <w:color w:val="auto"/>
        </w:rPr>
        <w:t>additional Persons until such time that the Board (or its nominating committee) determines that a proposed Investor Director Designee is reasonably acceptable. With respect to any advance written resignation from the Board submitted by an Investor Director Designee to be effective upon the occurrence of one or more events specified therein, including upon notice from Investor to the Company that such resignation is effective, the Company will promptly take, or cause to be taken, all action necessary to recognize such resignation and appoint the replacement for such resigned Investor Director Designee to the Board, in each case in accordance with this Agreement and applicable Law, including the DGCL.</w:t>
      </w:r>
    </w:p>
    <w:p>
      <w:pPr>
        <w:spacing w:after="0" w:line="210" w:lineRule="exact"/>
        <w:rPr>
          <w:sz w:val="20"/>
          <w:szCs w:val="20"/>
          <w:color w:val="auto"/>
        </w:rPr>
      </w:pPr>
    </w:p>
    <w:p>
      <w:pPr>
        <w:jc w:val="both"/>
        <w:ind w:firstLine="1910"/>
        <w:spacing w:after="0" w:line="252" w:lineRule="auto"/>
        <w:tabs>
          <w:tab w:leader="none" w:pos="2767" w:val="left"/>
        </w:tabs>
        <w:numPr>
          <w:ilvl w:val="0"/>
          <w:numId w:val="23"/>
        </w:numPr>
        <w:rPr>
          <w:rFonts w:ascii="Arial" w:cs="Arial" w:eastAsia="Arial" w:hAnsi="Arial"/>
          <w:sz w:val="21"/>
          <w:szCs w:val="21"/>
          <w:color w:val="auto"/>
        </w:rPr>
      </w:pPr>
      <w:r>
        <w:rPr>
          <w:rFonts w:ascii="Arial" w:cs="Arial" w:eastAsia="Arial" w:hAnsi="Arial"/>
          <w:sz w:val="19"/>
          <w:szCs w:val="19"/>
          <w:color w:val="auto"/>
        </w:rPr>
        <w:t xml:space="preserve">The Company’s obligations to have any Investor Director Designee appointed to the Board or to nominate any Investor Director Designee for election as a director at any meeting of the Company’s stockholders pursuant to this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as applicable, shall in each case be subject to such Investor Director Designee’s reasonable satisfaction of all requirements regarding service as a director of the Company under applicable Law and the rules or listing standards of the National Securities Exchange on which the Common Stock is listed regarding service as a director of the Company and all other criteria and qualifications for service as a director generally applicable to all non-executive directors of the Company (in each case, excluding any "independence" requirements under the rules or listing standards of a National Securities Exchange, the rules of, or promulgated by, the SEC or the Securities Act of 1933, as amended, and/or the Securities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shares of Common Stock owned by the Investor Parties shall count towards the Investor Director Designee’s stock ownership requirements under the Company’s stock ownership guidelines;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such Investor Director Designee’s relationship with Investor or its Affiliates or the existence of or payments under this Agreement, the Joint Venture Agreement or the License Agreement or the Investor Parties’ ownership of Common Stock, in and of itself, be considered to disqualify such Investor Director Designee from being a member of the Board pursuant to this </w:t>
      </w:r>
      <w:r>
        <w:rPr>
          <w:rFonts w:ascii="Arial" w:cs="Arial" w:eastAsia="Arial" w:hAnsi="Arial"/>
          <w:sz w:val="19"/>
          <w:szCs w:val="19"/>
          <w:u w:val="single" w:color="auto"/>
          <w:color w:val="auto"/>
        </w:rPr>
        <w:t>Section 4.07</w:t>
      </w:r>
      <w:r>
        <w:rPr>
          <w:rFonts w:ascii="Arial" w:cs="Arial" w:eastAsia="Arial" w:hAnsi="Arial"/>
          <w:sz w:val="19"/>
          <w:szCs w:val="19"/>
          <w:color w:val="auto"/>
        </w:rPr>
        <w:t>. Investor will cause each Investor Director Designee to make himself or herself reasonably available for interviews and to consent to such reference and background checks or other investigations as the Board may reasonably request to determine the Investor Director Designee’s eligibility and qualification to serve as a director of the Company. No Investor Director Designee shall be eligible to serve on the Board if he or she has been involved in any of the events enumerated under Item 2(d) or (2) of Schedule 13D under the Exchange Act or Item 401(f) of Regulation S-K under the Securities Act of 1933, as amended, or is subject to any Judgment prohibiting service as a director of any company with a class of equity securities registered under Section 12 of the Exchange Act. As a condition to any Investor Director Designee’s election to the Board or nomination for election as a director of the Company at any meeting of the Company’s stockholders, Investor and the Investor Director Designee must provide to the Company:</w:t>
      </w:r>
    </w:p>
    <w:p>
      <w:pPr>
        <w:spacing w:after="0" w:line="208" w:lineRule="exact"/>
        <w:rPr>
          <w:rFonts w:ascii="Arial" w:cs="Arial" w:eastAsia="Arial" w:hAnsi="Arial"/>
          <w:sz w:val="21"/>
          <w:szCs w:val="21"/>
          <w:color w:val="auto"/>
        </w:rPr>
      </w:pPr>
    </w:p>
    <w:p>
      <w:pPr>
        <w:jc w:val="both"/>
        <w:ind w:left="960" w:firstLine="1742"/>
        <w:spacing w:after="0" w:line="274" w:lineRule="auto"/>
        <w:tabs>
          <w:tab w:leader="none" w:pos="3556" w:val="left"/>
        </w:tabs>
        <w:numPr>
          <w:ilvl w:val="1"/>
          <w:numId w:val="23"/>
        </w:numPr>
        <w:rPr>
          <w:rFonts w:ascii="Arial" w:cs="Arial" w:eastAsia="Arial" w:hAnsi="Arial"/>
          <w:sz w:val="19"/>
          <w:szCs w:val="19"/>
          <w:color w:val="010000"/>
        </w:rPr>
      </w:pPr>
      <w:r>
        <w:rPr>
          <w:rFonts w:ascii="Arial" w:cs="Arial" w:eastAsia="Arial" w:hAnsi="Arial"/>
          <w:sz w:val="18"/>
          <w:szCs w:val="18"/>
          <w:color w:val="auto"/>
        </w:rPr>
        <w:t>all information requested by the Company that is required to be or is reasonably and customarily disclosed for directors, candidates for directors and their respective Affiliates and Representatives in a proxy statement or other filings in accordance with applicable Law, the rules or listing standards of the National Securities Exchange on which the Common Stock is listed or the Company Charter Documents or corporate governance guidelines of the Company generally applicable to all non-executive Directors, in each case, relating to the Investor Director Designee’s election as a Director;</w:t>
      </w:r>
    </w:p>
    <w:p>
      <w:pPr>
        <w:spacing w:after="0" w:line="182" w:lineRule="exact"/>
        <w:rPr>
          <w:rFonts w:ascii="Arial" w:cs="Arial" w:eastAsia="Arial" w:hAnsi="Arial"/>
          <w:sz w:val="19"/>
          <w:szCs w:val="19"/>
          <w:color w:val="010000"/>
        </w:rPr>
      </w:pPr>
    </w:p>
    <w:p>
      <w:pPr>
        <w:jc w:val="both"/>
        <w:ind w:left="960" w:firstLine="1742"/>
        <w:spacing w:after="0" w:line="238" w:lineRule="auto"/>
        <w:tabs>
          <w:tab w:leader="none" w:pos="3616" w:val="left"/>
        </w:tabs>
        <w:numPr>
          <w:ilvl w:val="1"/>
          <w:numId w:val="23"/>
        </w:numPr>
        <w:rPr>
          <w:rFonts w:ascii="Arial" w:cs="Arial" w:eastAsia="Arial" w:hAnsi="Arial"/>
          <w:sz w:val="22"/>
          <w:szCs w:val="22"/>
          <w:color w:val="010000"/>
        </w:rPr>
      </w:pPr>
      <w:r>
        <w:rPr>
          <w:rFonts w:ascii="Arial" w:cs="Arial" w:eastAsia="Arial" w:hAnsi="Arial"/>
          <w:sz w:val="20"/>
          <w:szCs w:val="20"/>
          <w:color w:val="auto"/>
        </w:rPr>
        <w:t>all information requested by the Company in connection with assessing eligibility and other criteria applicable to Directors or satisfying compliance and legal or regulatory obligations, in each case, relating to the Investor Director Designee’s nomination or election, as applicable, as a director of the Company;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4" w:name="page25"/>
    <w:bookmarkEnd w:id="24"/>
    <w:p>
      <w:pPr>
        <w:ind w:left="3680" w:hanging="978"/>
        <w:spacing w:after="0"/>
        <w:tabs>
          <w:tab w:leader="none" w:pos="3680" w:val="left"/>
        </w:tabs>
        <w:numPr>
          <w:ilvl w:val="1"/>
          <w:numId w:val="24"/>
        </w:numPr>
        <w:rPr>
          <w:rFonts w:ascii="Arial" w:cs="Arial" w:eastAsia="Arial" w:hAnsi="Arial"/>
          <w:sz w:val="22"/>
          <w:szCs w:val="22"/>
          <w:color w:val="010000"/>
        </w:rPr>
      </w:pPr>
      <w:r>
        <w:rPr>
          <w:rFonts w:ascii="Arial" w:cs="Arial" w:eastAsia="Arial" w:hAnsi="Arial"/>
          <w:sz w:val="20"/>
          <w:szCs w:val="20"/>
          <w:color w:val="auto"/>
        </w:rPr>
        <w:t>an undertaking in writing by the Investor Director Designee:</w:t>
      </w:r>
    </w:p>
    <w:p>
      <w:pPr>
        <w:spacing w:after="0" w:line="195" w:lineRule="exact"/>
        <w:rPr>
          <w:rFonts w:ascii="Arial" w:cs="Arial" w:eastAsia="Arial" w:hAnsi="Arial"/>
          <w:sz w:val="22"/>
          <w:szCs w:val="22"/>
          <w:color w:val="010000"/>
        </w:rPr>
      </w:pPr>
    </w:p>
    <w:p>
      <w:pPr>
        <w:jc w:val="both"/>
        <w:ind w:left="4740" w:hanging="937"/>
        <w:spacing w:after="0" w:line="256" w:lineRule="auto"/>
        <w:tabs>
          <w:tab w:leader="none" w:pos="4740" w:val="left"/>
        </w:tabs>
        <w:numPr>
          <w:ilvl w:val="2"/>
          <w:numId w:val="24"/>
        </w:numPr>
        <w:rPr>
          <w:rFonts w:ascii="Arial" w:cs="Arial" w:eastAsia="Arial" w:hAnsi="Arial"/>
          <w:sz w:val="21"/>
          <w:szCs w:val="21"/>
          <w:color w:val="010000"/>
        </w:rPr>
      </w:pPr>
      <w:r>
        <w:rPr>
          <w:rFonts w:ascii="Arial" w:cs="Arial" w:eastAsia="Arial" w:hAnsi="Arial"/>
          <w:sz w:val="19"/>
          <w:szCs w:val="19"/>
          <w:color w:val="auto"/>
        </w:rPr>
        <w:t>to be subject to, bound by and duly comply with the Code of Business Conduct and Ethics and the Insider Trading Policy, each in the form agreed upon by the other non-executive members of the Board of the Company; and</w:t>
      </w:r>
    </w:p>
    <w:p>
      <w:pPr>
        <w:spacing w:after="0" w:line="181" w:lineRule="exact"/>
        <w:rPr>
          <w:rFonts w:ascii="Arial" w:cs="Arial" w:eastAsia="Arial" w:hAnsi="Arial"/>
          <w:sz w:val="21"/>
          <w:szCs w:val="21"/>
          <w:color w:val="010000"/>
        </w:rPr>
      </w:pPr>
    </w:p>
    <w:p>
      <w:pPr>
        <w:jc w:val="both"/>
        <w:ind w:left="4740" w:hanging="937"/>
        <w:spacing w:after="0" w:line="252" w:lineRule="auto"/>
        <w:tabs>
          <w:tab w:leader="none" w:pos="4740" w:val="left"/>
        </w:tabs>
        <w:numPr>
          <w:ilvl w:val="2"/>
          <w:numId w:val="24"/>
        </w:numPr>
        <w:rPr>
          <w:rFonts w:ascii="Arial" w:cs="Arial" w:eastAsia="Arial" w:hAnsi="Arial"/>
          <w:sz w:val="21"/>
          <w:szCs w:val="21"/>
          <w:color w:val="010000"/>
        </w:rPr>
      </w:pPr>
      <w:r>
        <w:rPr>
          <w:rFonts w:ascii="Arial" w:cs="Arial" w:eastAsia="Arial" w:hAnsi="Arial"/>
          <w:sz w:val="19"/>
          <w:szCs w:val="19"/>
          <w:color w:val="auto"/>
        </w:rPr>
        <w:t>to recuse himself or herself from any deliberations or discussion of the Board or any committee thereof (i) regarding this Agreement, the Joint Venture Agreement, the License Agreement or any of the terms, provisions or transactions hereunder or thereunder or transactions, controversies, disputes or other matter involving the Company or its Affiliates, on the one hand, and Investor or its Affiliates, on the other; or (ii) that, in the Company’s management’s or Board’s reasonable judgment, would reasonably be likely to (A) result in a conflict of interest or be deemed competitive in nature, including, without limitation, trade secrets or potential acquisitions, divestitures or other business opportunities, (B) adversely affect the attorney-client privilege between the Company and its counsel, attorney work product protection or similar legal privilege, or (C) result in a violation of applicable Law.</w:t>
      </w:r>
    </w:p>
    <w:p>
      <w:pPr>
        <w:spacing w:after="0" w:line="207" w:lineRule="exact"/>
        <w:rPr>
          <w:rFonts w:ascii="Arial" w:cs="Arial" w:eastAsia="Arial" w:hAnsi="Arial"/>
          <w:sz w:val="21"/>
          <w:szCs w:val="21"/>
          <w:color w:val="010000"/>
        </w:rPr>
      </w:pPr>
    </w:p>
    <w:p>
      <w:pPr>
        <w:jc w:val="both"/>
        <w:ind w:firstLine="1910"/>
        <w:spacing w:after="0" w:line="239" w:lineRule="auto"/>
        <w:tabs>
          <w:tab w:leader="none" w:pos="2803" w:val="left"/>
        </w:tabs>
        <w:numPr>
          <w:ilvl w:val="0"/>
          <w:numId w:val="25"/>
        </w:numPr>
        <w:rPr>
          <w:rFonts w:ascii="Arial" w:cs="Arial" w:eastAsia="Arial" w:hAnsi="Arial"/>
          <w:sz w:val="22"/>
          <w:szCs w:val="22"/>
          <w:color w:val="auto"/>
        </w:rPr>
      </w:pPr>
      <w:r>
        <w:rPr>
          <w:rFonts w:ascii="Arial" w:cs="Arial" w:eastAsia="Arial" w:hAnsi="Arial"/>
          <w:sz w:val="20"/>
          <w:szCs w:val="20"/>
          <w:color w:val="auto"/>
        </w:rPr>
        <w:t xml:space="preserve">The Company shall be permitted to withhold any information and to exclude the Investor Director Designee from any meeting or portion thereof with respect to information and meetings involving items to which </w:t>
      </w:r>
      <w:r>
        <w:rPr>
          <w:rFonts w:ascii="Arial" w:cs="Arial" w:eastAsia="Arial" w:hAnsi="Arial"/>
          <w:sz w:val="20"/>
          <w:szCs w:val="20"/>
          <w:u w:val="single" w:color="auto"/>
          <w:color w:val="auto"/>
        </w:rPr>
        <w:t>Section 4.07(f)(iii)b)</w:t>
      </w:r>
      <w:r>
        <w:rPr>
          <w:rFonts w:ascii="Arial" w:cs="Arial" w:eastAsia="Arial" w:hAnsi="Arial"/>
          <w:sz w:val="20"/>
          <w:szCs w:val="20"/>
          <w:color w:val="auto"/>
        </w:rPr>
        <w:t xml:space="preserve"> is applicable, provided that the Company shall use its commercially reasonable efforts to provide the Investor Director Designee with prior notice regarding information or meetings to which such individual is being excluded, and a general summary of the rationale of such exclusion, to the extent possible without disclosing information that may otherwise be withheld.</w:t>
      </w:r>
    </w:p>
    <w:p>
      <w:pPr>
        <w:spacing w:after="0" w:line="209" w:lineRule="exact"/>
        <w:rPr>
          <w:rFonts w:ascii="Arial" w:cs="Arial" w:eastAsia="Arial" w:hAnsi="Arial"/>
          <w:sz w:val="22"/>
          <w:szCs w:val="22"/>
          <w:color w:val="auto"/>
        </w:rPr>
      </w:pPr>
    </w:p>
    <w:p>
      <w:pPr>
        <w:jc w:val="both"/>
        <w:ind w:firstLine="1910"/>
        <w:spacing w:after="0" w:line="239" w:lineRule="auto"/>
        <w:tabs>
          <w:tab w:leader="none" w:pos="2803" w:val="left"/>
        </w:tabs>
        <w:numPr>
          <w:ilvl w:val="0"/>
          <w:numId w:val="25"/>
        </w:numPr>
        <w:rPr>
          <w:rFonts w:ascii="Arial" w:cs="Arial" w:eastAsia="Arial" w:hAnsi="Arial"/>
          <w:sz w:val="22"/>
          <w:szCs w:val="22"/>
          <w:color w:val="auto"/>
        </w:rPr>
      </w:pPr>
      <w:r>
        <w:rPr>
          <w:rFonts w:ascii="Arial" w:cs="Arial" w:eastAsia="Arial" w:hAnsi="Arial"/>
          <w:sz w:val="20"/>
          <w:szCs w:val="20"/>
          <w:color w:val="auto"/>
        </w:rPr>
        <w:t xml:space="preserve">Investor shall be entitled, in its sole discretion, to, from time to time, waive and/or resume its right under this </w:t>
      </w:r>
      <w:r>
        <w:rPr>
          <w:rFonts w:ascii="Arial" w:cs="Arial" w:eastAsia="Arial" w:hAnsi="Arial"/>
          <w:sz w:val="20"/>
          <w:szCs w:val="20"/>
          <w:u w:val="single" w:color="auto"/>
          <w:color w:val="auto"/>
        </w:rPr>
        <w:t>Section 4.07</w:t>
      </w:r>
      <w:r>
        <w:rPr>
          <w:rFonts w:ascii="Arial" w:cs="Arial" w:eastAsia="Arial" w:hAnsi="Arial"/>
          <w:sz w:val="20"/>
          <w:szCs w:val="20"/>
          <w:color w:val="auto"/>
        </w:rPr>
        <w:t xml:space="preserve"> until the Fall-Away of Investor Board Rights. For the avoidance of doubt, if Investor waives such right (unless expressly stated by Investor as irrevocable), it shall be permitted at any time by written notice to the Company to resume such rights, and promptly following receipt of such notice the Company shall take all requisite actions to cause an Investor Director Designee to be nominated to and seated on the Board.</w:t>
      </w:r>
    </w:p>
    <w:p>
      <w:pPr>
        <w:spacing w:after="0" w:line="209" w:lineRule="exact"/>
        <w:rPr>
          <w:rFonts w:ascii="Arial" w:cs="Arial" w:eastAsia="Arial" w:hAnsi="Arial"/>
          <w:sz w:val="22"/>
          <w:szCs w:val="22"/>
          <w:color w:val="auto"/>
        </w:rPr>
      </w:pPr>
    </w:p>
    <w:p>
      <w:pPr>
        <w:jc w:val="both"/>
        <w:ind w:firstLine="1910"/>
        <w:spacing w:after="0" w:line="238" w:lineRule="auto"/>
        <w:tabs>
          <w:tab w:leader="none" w:pos="2754" w:val="left"/>
        </w:tabs>
        <w:numPr>
          <w:ilvl w:val="0"/>
          <w:numId w:val="25"/>
        </w:numPr>
        <w:rPr>
          <w:rFonts w:ascii="Arial" w:cs="Arial" w:eastAsia="Arial" w:hAnsi="Arial"/>
          <w:sz w:val="22"/>
          <w:szCs w:val="22"/>
          <w:color w:val="auto"/>
        </w:rPr>
      </w:pPr>
      <w:r>
        <w:rPr>
          <w:rFonts w:ascii="Arial" w:cs="Arial" w:eastAsia="Arial" w:hAnsi="Arial"/>
          <w:sz w:val="20"/>
          <w:szCs w:val="20"/>
          <w:color w:val="auto"/>
        </w:rPr>
        <w:t>The Company shall indemnify the Investor Director Designee and provide the Investor Director Designee with director and officer insurance to the same extent as it indemnifies and provides such insurance to other non-executive members of the Board pursuant to the Company Charter Documents, the DGCL or otherwise.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25" w:name="page26"/>
    <w:bookmarkEnd w:id="25"/>
    <w:p>
      <w:pPr>
        <w:ind w:left="1920"/>
        <w:spacing w:after="0"/>
        <w:tabs>
          <w:tab w:leader="none" w:pos="3620" w:val="left"/>
        </w:tabs>
        <w:rPr>
          <w:sz w:val="20"/>
          <w:szCs w:val="20"/>
          <w:color w:val="auto"/>
        </w:rPr>
      </w:pPr>
      <w:r>
        <w:rPr>
          <w:rFonts w:ascii="Arial" w:cs="Arial" w:eastAsia="Arial" w:hAnsi="Arial"/>
          <w:sz w:val="22"/>
          <w:szCs w:val="22"/>
          <w:u w:val="single" w:color="auto"/>
          <w:color w:val="auto"/>
        </w:rPr>
        <w:t>Section 4.08</w:t>
      </w:r>
      <w:r>
        <w:rPr>
          <w:sz w:val="20"/>
          <w:szCs w:val="20"/>
          <w:color w:val="auto"/>
        </w:rPr>
        <w:tab/>
      </w:r>
      <w:r>
        <w:rPr>
          <w:rFonts w:ascii="Arial" w:cs="Arial" w:eastAsia="Arial" w:hAnsi="Arial"/>
          <w:sz w:val="18"/>
          <w:szCs w:val="18"/>
          <w:u w:val="single" w:color="auto"/>
          <w:color w:val="auto"/>
        </w:rPr>
        <w:t xml:space="preserve">Voting </w:t>
      </w:r>
      <w:r>
        <w:rPr>
          <w:rFonts w:ascii="Arial" w:cs="Arial" w:eastAsia="Arial" w:hAnsi="Arial"/>
          <w:sz w:val="18"/>
          <w:szCs w:val="18"/>
          <w:color w:val="auto"/>
        </w:rPr>
        <w:t>Until the occurrence of the Fall-Away of Investor Board Rights:</w:t>
      </w:r>
    </w:p>
    <w:p>
      <w:pPr>
        <w:spacing w:after="0" w:line="224" w:lineRule="exact"/>
        <w:rPr>
          <w:sz w:val="20"/>
          <w:szCs w:val="20"/>
          <w:color w:val="auto"/>
        </w:rPr>
      </w:pPr>
    </w:p>
    <w:p>
      <w:pPr>
        <w:jc w:val="both"/>
        <w:ind w:firstLine="1910"/>
        <w:spacing w:after="0" w:line="269" w:lineRule="auto"/>
        <w:tabs>
          <w:tab w:leader="none" w:pos="2790" w:val="left"/>
        </w:tabs>
        <w:numPr>
          <w:ilvl w:val="0"/>
          <w:numId w:val="26"/>
        </w:numPr>
        <w:rPr>
          <w:rFonts w:ascii="Arial" w:cs="Arial" w:eastAsia="Arial" w:hAnsi="Arial"/>
          <w:sz w:val="19"/>
          <w:szCs w:val="19"/>
          <w:color w:val="auto"/>
        </w:rPr>
      </w:pPr>
      <w:r>
        <w:rPr>
          <w:rFonts w:ascii="Arial" w:cs="Arial" w:eastAsia="Arial" w:hAnsi="Arial"/>
          <w:sz w:val="18"/>
          <w:szCs w:val="18"/>
          <w:color w:val="auto"/>
        </w:rPr>
        <w:t xml:space="preserve">at each meeting of the stockholders of the Company and at every postponement or adjournment thereof, Investor shall, and shall cause the Investor Parties to, take such action as may be required so that all of the shares of Common Stock beneficially owned, directly or indirectly, by the Investor Parties and entitled to vote at such meeting of stockholders are voted (i) in favor of each director nominated and recommended by the Board for election at any such meeting, (ii) against any stockholder nominations for director which are not approved and recommended by the Board for election at any such meeting, (iii) in favor of the Company’s “say-on-pay” proposal and any proposal by the Company relating to equity compensation that has been approved by the compensation committee of the Board and as recommended by the Board with respect to any “say-on-frequency” proposal, (iv) in favor of the Company’s proposal for ratification of the appointment of the Company’s independent registered public accounting firm, and (v) in favor of any of the Board’s recommendations at stockholder meetings;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herein, (x) if the Company is in material breach of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and Investor has delivered a notice of such breach to the Company, until cured, no Investor Party shall be required to comply with this </w:t>
      </w:r>
      <w:r>
        <w:rPr>
          <w:rFonts w:ascii="Arial" w:cs="Arial" w:eastAsia="Arial" w:hAnsi="Arial"/>
          <w:sz w:val="18"/>
          <w:szCs w:val="18"/>
          <w:u w:val="single" w:color="auto"/>
          <w:color w:val="auto"/>
        </w:rPr>
        <w:t>Section 4.08(a)</w:t>
      </w:r>
      <w:r>
        <w:rPr>
          <w:rFonts w:ascii="Arial" w:cs="Arial" w:eastAsia="Arial" w:hAnsi="Arial"/>
          <w:sz w:val="18"/>
          <w:szCs w:val="18"/>
          <w:color w:val="auto"/>
        </w:rPr>
        <w:t>, and (y) the Investor Parties shall not be obligated to vote in the same manner as recommended by the Board with respect to the approval of, or other proposal directly related to, any merger or other business combination transaction involving the Company, the sale of all or substantially all of the assets of the Company and its Subsidiaries or any contemplated Company Change of Control transaction; and</w:t>
      </w:r>
    </w:p>
    <w:p>
      <w:pPr>
        <w:spacing w:after="0" w:line="185" w:lineRule="exact"/>
        <w:rPr>
          <w:rFonts w:ascii="Arial" w:cs="Arial" w:eastAsia="Arial" w:hAnsi="Arial"/>
          <w:sz w:val="19"/>
          <w:szCs w:val="19"/>
          <w:color w:val="auto"/>
        </w:rPr>
      </w:pPr>
    </w:p>
    <w:p>
      <w:pPr>
        <w:jc w:val="both"/>
        <w:ind w:firstLine="1910"/>
        <w:spacing w:after="0" w:line="254" w:lineRule="auto"/>
        <w:tabs>
          <w:tab w:leader="none" w:pos="2803" w:val="left"/>
        </w:tabs>
        <w:numPr>
          <w:ilvl w:val="0"/>
          <w:numId w:val="26"/>
        </w:numPr>
        <w:rPr>
          <w:rFonts w:ascii="Arial" w:cs="Arial" w:eastAsia="Arial" w:hAnsi="Arial"/>
          <w:sz w:val="21"/>
          <w:szCs w:val="21"/>
          <w:color w:val="auto"/>
        </w:rPr>
      </w:pPr>
      <w:r>
        <w:rPr>
          <w:rFonts w:ascii="Arial" w:cs="Arial" w:eastAsia="Arial" w:hAnsi="Arial"/>
          <w:sz w:val="19"/>
          <w:szCs w:val="19"/>
          <w:color w:val="auto"/>
        </w:rPr>
        <w:t xml:space="preserve">Except in the circumstances contemplated by clause (x) of </w:t>
      </w:r>
      <w:r>
        <w:rPr>
          <w:rFonts w:ascii="Arial" w:cs="Arial" w:eastAsia="Arial" w:hAnsi="Arial"/>
          <w:sz w:val="19"/>
          <w:szCs w:val="19"/>
          <w:u w:val="single" w:color="auto"/>
          <w:color w:val="auto"/>
        </w:rPr>
        <w:t>Section 4.08(a)</w:t>
      </w:r>
      <w:r>
        <w:rPr>
          <w:rFonts w:ascii="Arial" w:cs="Arial" w:eastAsia="Arial" w:hAnsi="Arial"/>
          <w:sz w:val="19"/>
          <w:szCs w:val="19"/>
          <w:color w:val="auto"/>
        </w:rPr>
        <w:t xml:space="preserve">, Investor shall, and shall cause the Investor Parties to, be present, in person or by proxy, at all meetings of the stockholders of the Company so that all shares of Common Stock beneficially owned by the Investor Parties may be counted for the purposes of determining the presence of a quorum and voted in accordance with </w:t>
      </w:r>
      <w:r>
        <w:rPr>
          <w:rFonts w:ascii="Arial" w:cs="Arial" w:eastAsia="Arial" w:hAnsi="Arial"/>
          <w:sz w:val="19"/>
          <w:szCs w:val="19"/>
          <w:u w:val="single" w:color="auto"/>
          <w:color w:val="auto"/>
        </w:rPr>
        <w:t>Section 4.08(a)</w:t>
      </w:r>
      <w:r>
        <w:rPr>
          <w:rFonts w:ascii="Arial" w:cs="Arial" w:eastAsia="Arial" w:hAnsi="Arial"/>
          <w:sz w:val="19"/>
          <w:szCs w:val="19"/>
          <w:color w:val="auto"/>
        </w:rPr>
        <w:t xml:space="preserve"> at such meetings (including at any adjournments or postponements thereof).</w:t>
      </w:r>
    </w:p>
    <w:p>
      <w:pPr>
        <w:spacing w:after="0" w:line="181" w:lineRule="exact"/>
        <w:rPr>
          <w:sz w:val="20"/>
          <w:szCs w:val="20"/>
          <w:color w:val="auto"/>
        </w:rPr>
      </w:pPr>
    </w:p>
    <w:p>
      <w:pPr>
        <w:jc w:val="both"/>
        <w:ind w:firstLine="1902"/>
        <w:spacing w:after="0" w:line="268" w:lineRule="auto"/>
        <w:rPr>
          <w:sz w:val="20"/>
          <w:szCs w:val="20"/>
          <w:color w:val="auto"/>
        </w:rPr>
      </w:pPr>
      <w:r>
        <w:rPr>
          <w:rFonts w:ascii="Arial" w:cs="Arial" w:eastAsia="Arial" w:hAnsi="Arial"/>
          <w:sz w:val="21"/>
          <w:szCs w:val="21"/>
          <w:u w:val="single" w:color="auto"/>
          <w:color w:val="auto"/>
        </w:rPr>
        <w:t>Section 4.09</w:t>
      </w:r>
      <w:r>
        <w:rPr>
          <w:rFonts w:ascii="Arial" w:cs="Arial" w:eastAsia="Arial" w:hAnsi="Arial"/>
          <w:sz w:val="21"/>
          <w:szCs w:val="21"/>
          <w:color w:val="auto"/>
        </w:rPr>
        <w:t xml:space="preserve"> </w:t>
      </w:r>
      <w:r>
        <w:rPr>
          <w:rFonts w:ascii="Arial" w:cs="Arial" w:eastAsia="Arial" w:hAnsi="Arial"/>
          <w:sz w:val="18"/>
          <w:szCs w:val="18"/>
          <w:u w:val="single" w:color="auto"/>
          <w:color w:val="auto"/>
        </w:rPr>
        <w:t>Confidentiality</w:t>
      </w:r>
      <w:r>
        <w:rPr>
          <w:rFonts w:ascii="Arial" w:cs="Arial" w:eastAsia="Arial" w:hAnsi="Arial"/>
          <w:sz w:val="18"/>
          <w:szCs w:val="18"/>
          <w:color w:val="auto"/>
        </w:rPr>
        <w:t>. From the date hereof until the date which is five (5) years after the later of (A)</w:t>
      </w:r>
      <w:r>
        <w:rPr>
          <w:rFonts w:ascii="Arial" w:cs="Arial" w:eastAsia="Arial" w:hAnsi="Arial"/>
          <w:sz w:val="21"/>
          <w:szCs w:val="21"/>
          <w:color w:val="auto"/>
        </w:rPr>
        <w:t xml:space="preserve"> </w:t>
      </w:r>
      <w:r>
        <w:rPr>
          <w:rFonts w:ascii="Arial" w:cs="Arial" w:eastAsia="Arial" w:hAnsi="Arial"/>
          <w:sz w:val="18"/>
          <w:szCs w:val="18"/>
          <w:color w:val="auto"/>
        </w:rPr>
        <w:t xml:space="preserve">the first day on which no Investor Director Designee serves on the Board (B) the Fall-Away of Investor Board Rights (or, if earlier, the date on which Investor expressly irrevocably waives its right to designate a Director under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and its rights to information and access under </w:t>
      </w:r>
      <w:r>
        <w:rPr>
          <w:rFonts w:ascii="Arial" w:cs="Arial" w:eastAsia="Arial" w:hAnsi="Arial"/>
          <w:sz w:val="18"/>
          <w:szCs w:val="18"/>
          <w:u w:val="single" w:color="auto"/>
          <w:color w:val="auto"/>
        </w:rPr>
        <w:t>Section 4.03</w:t>
      </w:r>
      <w:r>
        <w:rPr>
          <w:rFonts w:ascii="Arial" w:cs="Arial" w:eastAsia="Arial" w:hAnsi="Arial"/>
          <w:sz w:val="18"/>
          <w:szCs w:val="18"/>
          <w:color w:val="auto"/>
        </w:rPr>
        <w:t>); and (C) the CFIUS Cure Failure, Investor will, and will cause its Affiliates and their respective Representatives (only in their capacity as Representatives of Investor or its Affiliates) to, keep confidential any information (including oral, written and electronic information) concerning the Company, its Subsidiaries or its Affiliates that may be furnished to Investor, its Affiliates or their respective Representatives (only in their capacity as Representatives of Investor or its Affiliates) (including, for this purpose, the Investor Director Designee) by or on behalf of the Company or its Representatives pursuant to this Agreement (collectively,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and to use the Confidential Information solely for the purposes of managing the Investor Parties’ investment in the Company made pursuant to this Agreement (the “</w:t>
      </w:r>
      <w:r>
        <w:rPr>
          <w:rFonts w:ascii="Arial" w:cs="Arial" w:eastAsia="Arial" w:hAnsi="Arial"/>
          <w:sz w:val="18"/>
          <w:szCs w:val="18"/>
          <w:u w:val="single" w:color="auto"/>
          <w:color w:val="auto"/>
        </w:rPr>
        <w:t>Permitted Purpose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Confidential Information shall not include information that (i) was or becomes available to the public other than as a result of a disclosure by Investor or any of its Affiliates or their respective Representatives in violation of this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(ii) was or becomes available to Investor or any of its Affiliates from a source other than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source is reasonably believed by Investor not to be disclosing such information in violation of an obligation of confidentiality (whether by agreement or otherwise) to the Company, (iii) at the time of disclosure is already in the possession of Investor or any of its Affiliates from a source other than the Company or any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8"/>
          <w:szCs w:val="18"/>
          <w:color w:val="auto"/>
        </w:rPr>
        <w:t xml:space="preserve">information is reasonably believed by Investor not to be subject to an obligation of confidentiality (whether by agreement or otherwise) to the Company, or (iv) was independently developed by Investor or any of its Affiliates without reference to, incorporation of, or other use of any Confidential Information. Notwithstanding the above sentence, Investor shall be permitted to disclose Confidential Information to the extent required (a) by Law or Judgment, including by subpoena or other legal process (but only such portion of the Confidential Information that is legally required upon the advice of Investor’s counsel) or (b) in connection with enforcing the terms of this Agreement, the Joint Venture Agreement or the License Agreement in any Proceeding in which the Company or its Affiliates is a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disclosure pursuant to clause (a) of this sentence, Investor shall provide the Company with prompt notice (unless prohibited by Law or Judgment) so that the Company may seek a protective order or other remedy;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event that a protective order or other protective remedy is not obtained by the Company (except in connection with disclosures pursuant to clause (b)), Investor agrees to use commercially reasonable efforts (at the Company's expense) to obtain assurance that confidential treatment will be accorded such Confidential Information. Notwithstanding anything to the contrary set forth herein, Investor shall be permitted to disclose Confidential Information to the Investor Parties and its and their Representatives who need to know such Confidential Information for the Permitted Purpose.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11" w:lineRule="exact"/>
        <w:rPr>
          <w:sz w:val="20"/>
          <w:szCs w:val="20"/>
          <w:color w:val="auto"/>
        </w:rPr>
      </w:pPr>
    </w:p>
    <w:p>
      <w:pPr>
        <w:jc w:val="both"/>
        <w:ind w:firstLine="1902"/>
        <w:spacing w:after="0" w:line="247" w:lineRule="auto"/>
        <w:rPr>
          <w:sz w:val="20"/>
          <w:szCs w:val="20"/>
          <w:color w:val="auto"/>
        </w:rPr>
      </w:pP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permissions, waivers or other communications required or</w:t>
      </w:r>
      <w:r>
        <w:rPr>
          <w:rFonts w:ascii="Arial" w:cs="Arial" w:eastAsia="Arial" w:hAnsi="Arial"/>
          <w:sz w:val="22"/>
          <w:szCs w:val="22"/>
          <w:color w:val="auto"/>
        </w:rPr>
        <w:t xml:space="preserve"> </w:t>
      </w:r>
      <w:r>
        <w:rPr>
          <w:rFonts w:ascii="Arial" w:cs="Arial" w:eastAsia="Arial" w:hAnsi="Arial"/>
          <w:sz w:val="19"/>
          <w:szCs w:val="19"/>
          <w:color w:val="auto"/>
        </w:rPr>
        <w:t>permitted to be given under this Agreement shall be in writing and shall be delivered by hand or sent by email or sent, postage prepaid, by registered, certified or express mail or overnight courier service and shall be deemed given when so delivered by hand, by email (which is confirmed, such confirmation not to be unreasonably withheld, conditioned or delayed), or if mailed, three days after mailing (one Business Day in the case of express mail or overnight courier service marked for overnight delivery) to the parties at the following addresses or email addresses (or at such other address or email address for a party as shall be specified by like notice):</w:t>
      </w:r>
    </w:p>
    <w:p>
      <w:pPr>
        <w:spacing w:after="0" w:line="189" w:lineRule="exact"/>
        <w:rPr>
          <w:sz w:val="20"/>
          <w:szCs w:val="20"/>
          <w:color w:val="auto"/>
        </w:rPr>
      </w:pPr>
    </w:p>
    <w:p>
      <w:pPr>
        <w:ind w:left="2840" w:hanging="941"/>
        <w:spacing w:after="0"/>
        <w:tabs>
          <w:tab w:leader="none" w:pos="2840" w:val="left"/>
        </w:tabs>
        <w:numPr>
          <w:ilvl w:val="0"/>
          <w:numId w:val="27"/>
        </w:numPr>
        <w:rPr>
          <w:rFonts w:ascii="Arial" w:cs="Arial" w:eastAsia="Arial" w:hAnsi="Arial"/>
          <w:sz w:val="22"/>
          <w:szCs w:val="22"/>
          <w:color w:val="auto"/>
        </w:rPr>
      </w:pPr>
      <w:r>
        <w:rPr>
          <w:rFonts w:ascii="Arial" w:cs="Arial" w:eastAsia="Arial" w:hAnsi="Arial"/>
          <w:sz w:val="20"/>
          <w:szCs w:val="20"/>
          <w:color w:val="auto"/>
        </w:rPr>
        <w:t>If to the Company:</w:t>
      </w:r>
    </w:p>
    <w:p>
      <w:pPr>
        <w:spacing w:after="0" w:line="200" w:lineRule="exact"/>
        <w:rPr>
          <w:sz w:val="20"/>
          <w:szCs w:val="20"/>
          <w:color w:val="auto"/>
        </w:rPr>
      </w:pPr>
    </w:p>
    <w:p>
      <w:pPr>
        <w:spacing w:after="0" w:line="238"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TripAdvisor, Inc.</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400 1st Avenue</w:t>
      </w:r>
    </w:p>
    <w:p>
      <w:pPr>
        <w:ind w:left="2880"/>
        <w:spacing w:after="0"/>
        <w:rPr>
          <w:sz w:val="20"/>
          <w:szCs w:val="20"/>
          <w:color w:val="auto"/>
        </w:rPr>
      </w:pPr>
      <w:r>
        <w:rPr>
          <w:rFonts w:ascii="Arial" w:cs="Arial" w:eastAsia="Arial" w:hAnsi="Arial"/>
          <w:sz w:val="20"/>
          <w:szCs w:val="20"/>
          <w:color w:val="auto"/>
        </w:rPr>
        <w:t>Needham, MA 02494</w:t>
      </w:r>
    </w:p>
    <w:p>
      <w:pPr>
        <w:ind w:left="2880"/>
        <w:spacing w:after="0"/>
        <w:tabs>
          <w:tab w:leader="none" w:pos="42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General Counsel</w:t>
      </w:r>
    </w:p>
    <w:p>
      <w:pPr>
        <w:ind w:left="2880"/>
        <w:spacing w:after="0"/>
        <w:tabs>
          <w:tab w:leader="none" w:pos="42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SKalvert@tripadvisor.com</w:t>
      </w:r>
    </w:p>
    <w:p>
      <w:pPr>
        <w:spacing w:after="0" w:line="2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With a copy (which shall not constitute actual or constructive notice) to:</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Kirkland &amp; Ellis LLP</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601 Lexington Avenue</w:t>
      </w:r>
    </w:p>
    <w:p>
      <w:pPr>
        <w:ind w:left="2880"/>
        <w:spacing w:after="0"/>
        <w:rPr>
          <w:sz w:val="20"/>
          <w:szCs w:val="20"/>
          <w:color w:val="auto"/>
        </w:rPr>
      </w:pPr>
      <w:r>
        <w:rPr>
          <w:rFonts w:ascii="Arial" w:cs="Arial" w:eastAsia="Arial" w:hAnsi="Arial"/>
          <w:sz w:val="20"/>
          <w:szCs w:val="20"/>
          <w:color w:val="auto"/>
        </w:rPr>
        <w:t>New York, NY 10022</w:t>
      </w:r>
    </w:p>
    <w:p>
      <w:pPr>
        <w:ind w:left="2880"/>
        <w:spacing w:after="0"/>
        <w:tabs>
          <w:tab w:leader="none" w:pos="42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Sarkis Jebejian, P.C.</w:t>
      </w:r>
    </w:p>
    <w:p>
      <w:pPr>
        <w:ind w:left="4300"/>
        <w:spacing w:after="0"/>
        <w:rPr>
          <w:sz w:val="20"/>
          <w:szCs w:val="20"/>
          <w:color w:val="auto"/>
        </w:rPr>
      </w:pPr>
      <w:r>
        <w:rPr>
          <w:rFonts w:ascii="Arial" w:cs="Arial" w:eastAsia="Arial" w:hAnsi="Arial"/>
          <w:sz w:val="20"/>
          <w:szCs w:val="20"/>
          <w:color w:val="auto"/>
        </w:rPr>
        <w:t>Ross M. Leff, P.C.</w:t>
      </w:r>
    </w:p>
    <w:p>
      <w:pPr>
        <w:ind w:left="2880"/>
        <w:spacing w:after="0"/>
        <w:tabs>
          <w:tab w:leader="none" w:pos="42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Sarkis.Jebejian@kirkland.com</w:t>
      </w:r>
    </w:p>
    <w:p>
      <w:pPr>
        <w:ind w:left="4300"/>
        <w:spacing w:after="0"/>
        <w:rPr>
          <w:sz w:val="20"/>
          <w:szCs w:val="20"/>
          <w:color w:val="auto"/>
        </w:rPr>
      </w:pPr>
      <w:r>
        <w:rPr>
          <w:rFonts w:ascii="Arial" w:cs="Arial" w:eastAsia="Arial" w:hAnsi="Arial"/>
          <w:sz w:val="20"/>
          <w:szCs w:val="20"/>
          <w:color w:val="auto"/>
        </w:rPr>
        <w:t>Ross.Leff@kirkland.com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7" w:name="page28"/>
    <w:bookmarkEnd w:id="27"/>
    <w:p>
      <w:pPr>
        <w:ind w:left="2840" w:hanging="941"/>
        <w:spacing w:after="0"/>
        <w:tabs>
          <w:tab w:leader="none" w:pos="2840" w:val="left"/>
        </w:tabs>
        <w:numPr>
          <w:ilvl w:val="0"/>
          <w:numId w:val="28"/>
        </w:numPr>
        <w:rPr>
          <w:rFonts w:ascii="Arial" w:cs="Arial" w:eastAsia="Arial" w:hAnsi="Arial"/>
          <w:sz w:val="22"/>
          <w:szCs w:val="22"/>
          <w:color w:val="auto"/>
        </w:rPr>
      </w:pPr>
      <w:r>
        <w:rPr>
          <w:rFonts w:ascii="Arial" w:cs="Arial" w:eastAsia="Arial" w:hAnsi="Arial"/>
          <w:sz w:val="20"/>
          <w:szCs w:val="20"/>
          <w:color w:val="auto"/>
        </w:rPr>
        <w:t>If to the Investor:</w:t>
      </w:r>
    </w:p>
    <w:p>
      <w:pPr>
        <w:spacing w:after="0" w:line="200" w:lineRule="exact"/>
        <w:rPr>
          <w:sz w:val="20"/>
          <w:szCs w:val="20"/>
          <w:color w:val="auto"/>
        </w:rPr>
      </w:pPr>
    </w:p>
    <w:p>
      <w:pPr>
        <w:spacing w:after="0" w:line="22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Trip.com Group Limited</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10</w:t>
      </w:r>
      <w:r>
        <w:rPr>
          <w:rFonts w:ascii="Arial" w:cs="Arial" w:eastAsia="Arial" w:hAnsi="Arial"/>
          <w:sz w:val="14"/>
          <w:szCs w:val="14"/>
          <w:color w:val="auto"/>
        </w:rPr>
        <w:t>th</w:t>
      </w:r>
      <w:r>
        <w:rPr>
          <w:rFonts w:ascii="Arial" w:cs="Arial" w:eastAsia="Arial" w:hAnsi="Arial"/>
          <w:sz w:val="18"/>
          <w:szCs w:val="18"/>
          <w:color w:val="auto"/>
        </w:rPr>
        <w:t xml:space="preserve"> Floor, Building 16, No. 968, Jinzhong Road, Changning District Shanghai, People’s Republic of China</w:t>
      </w:r>
    </w:p>
    <w:p>
      <w:pPr>
        <w:spacing w:after="0" w:line="23" w:lineRule="exact"/>
        <w:rPr>
          <w:sz w:val="20"/>
          <w:szCs w:val="20"/>
          <w:color w:val="auto"/>
        </w:rPr>
      </w:pPr>
    </w:p>
    <w:p>
      <w:pPr>
        <w:ind w:left="2880"/>
        <w:spacing w:after="0"/>
        <w:tabs>
          <w:tab w:leader="none" w:pos="42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SHEN Jie</w:t>
      </w:r>
    </w:p>
    <w:p>
      <w:pPr>
        <w:ind w:left="2880"/>
        <w:spacing w:after="0"/>
        <w:tabs>
          <w:tab w:leader="none" w:pos="42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jie_shen@ctrip.com</w:t>
      </w:r>
    </w:p>
    <w:p>
      <w:pPr>
        <w:spacing w:after="0" w:line="200"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with a copy to (which copy alone shall not constitute notice):</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Skadden, Arps, Slate, Meagher &amp; Flom LLP</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42/F Edinburgh Tower, The Landmark</w:t>
      </w:r>
    </w:p>
    <w:p>
      <w:pPr>
        <w:ind w:left="2880"/>
        <w:spacing w:after="0"/>
        <w:rPr>
          <w:sz w:val="20"/>
          <w:szCs w:val="20"/>
          <w:color w:val="auto"/>
        </w:rPr>
      </w:pPr>
      <w:r>
        <w:rPr>
          <w:rFonts w:ascii="Arial" w:cs="Arial" w:eastAsia="Arial" w:hAnsi="Arial"/>
          <w:sz w:val="20"/>
          <w:szCs w:val="20"/>
          <w:color w:val="auto"/>
        </w:rPr>
        <w:t>15 Queen’s Road Central, Central</w:t>
      </w:r>
    </w:p>
    <w:p>
      <w:pPr>
        <w:ind w:left="2880"/>
        <w:spacing w:after="0"/>
        <w:tabs>
          <w:tab w:leader="none" w:pos="42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Julie Gao</w:t>
      </w:r>
    </w:p>
    <w:p>
      <w:pPr>
        <w:ind w:left="2880"/>
        <w:spacing w:after="0"/>
        <w:tabs>
          <w:tab w:leader="none" w:pos="42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Julie.Gao@skadden.com</w:t>
      </w:r>
    </w:p>
    <w:p>
      <w:pPr>
        <w:spacing w:after="0" w:line="200"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with a copy to (which copy alone shall not constitute notice):</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Baker &amp; McKenzie</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14th Floor, One Taikoo Place</w:t>
      </w:r>
    </w:p>
    <w:p>
      <w:pPr>
        <w:ind w:left="2880"/>
        <w:spacing w:after="0"/>
        <w:rPr>
          <w:sz w:val="20"/>
          <w:szCs w:val="20"/>
          <w:color w:val="auto"/>
        </w:rPr>
      </w:pPr>
      <w:r>
        <w:rPr>
          <w:rFonts w:ascii="Arial" w:cs="Arial" w:eastAsia="Arial" w:hAnsi="Arial"/>
          <w:sz w:val="20"/>
          <w:szCs w:val="20"/>
          <w:color w:val="auto"/>
        </w:rPr>
        <w:t>979 King’s Road, Quarry Bay</w:t>
      </w:r>
    </w:p>
    <w:p>
      <w:pPr>
        <w:ind w:left="2880"/>
        <w:spacing w:after="0"/>
        <w:tabs>
          <w:tab w:leader="none" w:pos="5220" w:val="left"/>
          <w:tab w:leader="none" w:pos="6980" w:val="left"/>
        </w:tabs>
        <w:rPr>
          <w:sz w:val="20"/>
          <w:szCs w:val="20"/>
          <w:color w:val="auto"/>
        </w:rPr>
      </w:pPr>
      <w:r>
        <w:rPr>
          <w:rFonts w:ascii="Arial" w:cs="Arial" w:eastAsia="Arial" w:hAnsi="Arial"/>
          <w:sz w:val="20"/>
          <w:szCs w:val="20"/>
          <w:color w:val="auto"/>
        </w:rPr>
        <w:t>Hong Kong SAR</w:t>
      </w:r>
      <w:r>
        <w:rPr>
          <w:sz w:val="20"/>
          <w:szCs w:val="20"/>
          <w:color w:val="auto"/>
        </w:rPr>
        <w:tab/>
      </w: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Tracy Wut</w:t>
      </w:r>
    </w:p>
    <w:p>
      <w:pPr>
        <w:ind w:left="2880"/>
        <w:spacing w:after="0"/>
        <w:tabs>
          <w:tab w:leader="none" w:pos="42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tracy.wut@bakermckenzie.com</w:t>
      </w:r>
    </w:p>
    <w:p>
      <w:pPr>
        <w:spacing w:after="0" w:line="209" w:lineRule="exact"/>
        <w:rPr>
          <w:sz w:val="20"/>
          <w:szCs w:val="20"/>
          <w:color w:val="auto"/>
        </w:rPr>
      </w:pPr>
    </w:p>
    <w:p>
      <w:pPr>
        <w:jc w:val="both"/>
        <w:ind w:firstLine="1902"/>
        <w:spacing w:after="0" w:line="246" w:lineRule="auto"/>
        <w:rPr>
          <w:sz w:val="20"/>
          <w:szCs w:val="20"/>
          <w:color w:val="auto"/>
        </w:rPr>
      </w:pP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w:t>
      </w:r>
      <w:r>
        <w:rPr>
          <w:rFonts w:ascii="Arial" w:cs="Arial" w:eastAsia="Arial" w:hAnsi="Arial"/>
          <w:sz w:val="19"/>
          <w:szCs w:val="19"/>
          <w:u w:val="single" w:color="auto"/>
          <w:color w:val="auto"/>
        </w:rPr>
        <w:t>Amendments; Waivers</w:t>
      </w:r>
      <w:r>
        <w:rPr>
          <w:rFonts w:ascii="Arial" w:cs="Arial" w:eastAsia="Arial" w:hAnsi="Arial"/>
          <w:sz w:val="19"/>
          <w:szCs w:val="19"/>
          <w:color w:val="auto"/>
        </w:rPr>
        <w:t>. This Agreement may be amended or waived if, and only if, such</w:t>
      </w:r>
      <w:r>
        <w:rPr>
          <w:rFonts w:ascii="Arial" w:cs="Arial" w:eastAsia="Arial" w:hAnsi="Arial"/>
          <w:sz w:val="22"/>
          <w:szCs w:val="22"/>
          <w:color w:val="auto"/>
        </w:rPr>
        <w:t xml:space="preserve"> </w:t>
      </w:r>
      <w:r>
        <w:rPr>
          <w:rFonts w:ascii="Arial" w:cs="Arial" w:eastAsia="Arial" w:hAnsi="Arial"/>
          <w:sz w:val="19"/>
          <w:szCs w:val="19"/>
          <w:color w:val="auto"/>
        </w:rPr>
        <w:t>amendment or waiver is in writing and signed by the Company and Investor. The failure of any party hereto to exercise any right, power or remedy provided under this Agreement or otherwise available in respect hereof at law or in equity, or to insist upon compliance by any other party hereto with its obligations hereunder, shall not constitute a waiver by such party of its right to exercise any such other right, power or remedy or to demand such compliance.</w:t>
      </w:r>
    </w:p>
    <w:p>
      <w:pPr>
        <w:spacing w:after="0" w:line="187" w:lineRule="exact"/>
        <w:rPr>
          <w:sz w:val="20"/>
          <w:szCs w:val="20"/>
          <w:color w:val="auto"/>
        </w:rPr>
      </w:pPr>
    </w:p>
    <w:p>
      <w:pPr>
        <w:jc w:val="both"/>
        <w:ind w:firstLine="1902"/>
        <w:spacing w:after="0" w:line="244" w:lineRule="auto"/>
        <w:rPr>
          <w:sz w:val="20"/>
          <w:szCs w:val="20"/>
          <w:color w:val="auto"/>
        </w:rPr>
      </w:pP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w:t>
      </w:r>
      <w:r>
        <w:rPr>
          <w:rFonts w:ascii="Arial" w:cs="Arial" w:eastAsia="Arial" w:hAnsi="Arial"/>
          <w:sz w:val="19"/>
          <w:szCs w:val="19"/>
          <w:u w:val="single" w:color="auto"/>
          <w:color w:val="auto"/>
        </w:rPr>
        <w:t>Counterparts and Facsimile</w:t>
      </w:r>
      <w:r>
        <w:rPr>
          <w:rFonts w:ascii="Arial" w:cs="Arial" w:eastAsia="Arial" w:hAnsi="Arial"/>
          <w:sz w:val="19"/>
          <w:szCs w:val="19"/>
          <w:color w:val="auto"/>
        </w:rPr>
        <w:t>. This Agreement may be executed in two or more identical</w:t>
      </w:r>
      <w:r>
        <w:rPr>
          <w:rFonts w:ascii="Arial" w:cs="Arial" w:eastAsia="Arial" w:hAnsi="Arial"/>
          <w:sz w:val="22"/>
          <w:szCs w:val="22"/>
          <w:color w:val="auto"/>
        </w:rPr>
        <w:t xml:space="preserve"> </w:t>
      </w:r>
      <w:r>
        <w:rPr>
          <w:rFonts w:ascii="Arial" w:cs="Arial" w:eastAsia="Arial" w:hAnsi="Arial"/>
          <w:sz w:val="19"/>
          <w:szCs w:val="19"/>
          <w:color w:val="auto"/>
        </w:rPr>
        <w:t>counterparts (including by facsimile or electronic transmission), each of which shall be an original, with the same effect as if the signatures thereto and hereto were upon the same instrument, and shall become effective when one or more counterparts have been signed by each of the parties hereto and delivered (by facsimile, electronic transmission or otherwise) to the other parties.</w:t>
      </w:r>
    </w:p>
    <w:p>
      <w:pPr>
        <w:spacing w:after="0" w:line="189" w:lineRule="exact"/>
        <w:rPr>
          <w:sz w:val="20"/>
          <w:szCs w:val="20"/>
          <w:color w:val="auto"/>
        </w:rPr>
      </w:pPr>
    </w:p>
    <w:p>
      <w:pPr>
        <w:jc w:val="both"/>
        <w:ind w:firstLine="1902"/>
        <w:spacing w:after="0" w:line="241" w:lineRule="auto"/>
        <w:rPr>
          <w:sz w:val="20"/>
          <w:szCs w:val="20"/>
          <w:color w:val="auto"/>
        </w:rPr>
      </w:pPr>
      <w:r>
        <w:rPr>
          <w:rFonts w:ascii="Arial" w:cs="Arial" w:eastAsia="Arial" w:hAnsi="Arial"/>
          <w:sz w:val="22"/>
          <w:szCs w:val="22"/>
          <w:u w:val="single" w:color="auto"/>
          <w:color w:val="auto"/>
        </w:rPr>
        <w:t>Section 5.04</w:t>
      </w:r>
      <w:r>
        <w:rPr>
          <w:rFonts w:ascii="Arial" w:cs="Arial" w:eastAsia="Arial" w:hAnsi="Arial"/>
          <w:sz w:val="22"/>
          <w:szCs w:val="22"/>
          <w:color w:val="auto"/>
        </w:rPr>
        <w:t xml:space="preserve"> </w:t>
      </w:r>
      <w:r>
        <w:rPr>
          <w:rFonts w:ascii="Arial" w:cs="Arial" w:eastAsia="Arial" w:hAnsi="Arial"/>
          <w:sz w:val="19"/>
          <w:szCs w:val="19"/>
          <w:u w:val="single" w:color="auto"/>
          <w:color w:val="auto"/>
        </w:rPr>
        <w:t>Governing Law; Specific Enforcement; Submission to Jurisdiction; Waiver of Jury Trial</w:t>
      </w:r>
      <w:r>
        <w:rPr>
          <w:rFonts w:ascii="Arial" w:cs="Arial" w:eastAsia="Arial" w:hAnsi="Arial"/>
          <w:sz w:val="19"/>
          <w:szCs w:val="19"/>
          <w:color w:val="auto"/>
        </w:rPr>
        <w:t>. (a) This</w:t>
      </w:r>
      <w:r>
        <w:rPr>
          <w:rFonts w:ascii="Arial" w:cs="Arial" w:eastAsia="Arial" w:hAnsi="Arial"/>
          <w:sz w:val="22"/>
          <w:szCs w:val="22"/>
          <w:color w:val="auto"/>
        </w:rPr>
        <w:t xml:space="preserve"> </w:t>
      </w:r>
      <w:r>
        <w:rPr>
          <w:rFonts w:ascii="Arial" w:cs="Arial" w:eastAsia="Arial" w:hAnsi="Arial"/>
          <w:sz w:val="19"/>
          <w:szCs w:val="19"/>
          <w:color w:val="auto"/>
        </w:rPr>
        <w:t>Agreement shall be governed by and construed in accordance with the internal laws of the State of Delaware applicable to agreements made and to be performed entirely within such state, without regard to the conflicts of law principles of such state.</w:t>
      </w:r>
    </w:p>
    <w:p>
      <w:pPr>
        <w:spacing w:after="0" w:line="209" w:lineRule="exact"/>
        <w:rPr>
          <w:sz w:val="20"/>
          <w:szCs w:val="20"/>
          <w:color w:val="auto"/>
        </w:rPr>
      </w:pPr>
    </w:p>
    <w:p>
      <w:pPr>
        <w:jc w:val="both"/>
        <w:ind w:firstLine="1910"/>
        <w:spacing w:after="0" w:line="238" w:lineRule="auto"/>
        <w:tabs>
          <w:tab w:leader="none" w:pos="2803" w:val="left"/>
        </w:tabs>
        <w:numPr>
          <w:ilvl w:val="0"/>
          <w:numId w:val="29"/>
        </w:numPr>
        <w:rPr>
          <w:rFonts w:ascii="Arial" w:cs="Arial" w:eastAsia="Arial" w:hAnsi="Arial"/>
          <w:sz w:val="22"/>
          <w:szCs w:val="22"/>
          <w:color w:val="auto"/>
        </w:rPr>
      </w:pPr>
      <w:r>
        <w:rPr>
          <w:rFonts w:ascii="Arial" w:cs="Arial" w:eastAsia="Arial" w:hAnsi="Arial"/>
          <w:sz w:val="20"/>
          <w:szCs w:val="20"/>
          <w:color w:val="auto"/>
        </w:rPr>
        <w:t>The parties hereto acknowledge and agree that irreparable damage would occur in the event that any of the provisions of this Agreement were not performed in accordance with their specific terms or were otherwise breached. It is accordingly agreed that the parties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28" w:name="page29"/>
    <w:bookmarkEnd w:id="28"/>
    <w:p>
      <w:pPr>
        <w:jc w:val="both"/>
        <w:spacing w:after="0" w:line="273" w:lineRule="auto"/>
        <w:rPr>
          <w:sz w:val="20"/>
          <w:szCs w:val="20"/>
          <w:color w:val="auto"/>
        </w:rPr>
      </w:pPr>
      <w:r>
        <w:rPr>
          <w:rFonts w:ascii="Arial" w:cs="Arial" w:eastAsia="Arial" w:hAnsi="Arial"/>
          <w:sz w:val="18"/>
          <w:szCs w:val="18"/>
          <w:color w:val="auto"/>
        </w:rPr>
        <w:t xml:space="preserve">shall be entitled to an injunction or injunctions, specific performance or other equitable relief to prevent breaches or threatened breaches of this Agreement and to enforce specifically the terms and provisions of this Agreement in the courts described in </w:t>
      </w:r>
      <w:r>
        <w:rPr>
          <w:rFonts w:ascii="Arial" w:cs="Arial" w:eastAsia="Arial" w:hAnsi="Arial"/>
          <w:sz w:val="18"/>
          <w:szCs w:val="18"/>
          <w:u w:val="single" w:color="auto"/>
          <w:color w:val="auto"/>
        </w:rPr>
        <w:t>Section 5.04(d)</w:t>
      </w:r>
      <w:r>
        <w:rPr>
          <w:rFonts w:ascii="Arial" w:cs="Arial" w:eastAsia="Arial" w:hAnsi="Arial"/>
          <w:sz w:val="18"/>
          <w:szCs w:val="18"/>
          <w:color w:val="auto"/>
        </w:rPr>
        <w:t xml:space="preserve">, without proof of damages or otherwise (in each case, subject to the terms and conditions of this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(and each party hereto acknowledges and agrees that any party seeking an injunction or injunctions to prevent breaches of this Agreement and to enforce specifically the terms and provisions of this Agreement in accordance with this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shall not be required to provide any bond or other security in connection with any such order or injunction), this being in addition to any other remedy to which they are entitled at law or in equity. The parties hereto agree not to assert that a remedy of specific enforcement is unenforceable, invalid, contrary to Law or inequitable for any reason, or that a remedy of monetary damages would provide an adequate remedy or that the parties otherwise have an adequate remedy at law.</w:t>
      </w:r>
    </w:p>
    <w:p>
      <w:pPr>
        <w:spacing w:after="0" w:line="183" w:lineRule="exact"/>
        <w:rPr>
          <w:sz w:val="20"/>
          <w:szCs w:val="20"/>
          <w:color w:val="auto"/>
        </w:rPr>
      </w:pPr>
    </w:p>
    <w:p>
      <w:pPr>
        <w:jc w:val="both"/>
        <w:ind w:firstLine="1910"/>
        <w:spacing w:after="0" w:line="253" w:lineRule="auto"/>
        <w:tabs>
          <w:tab w:leader="none" w:pos="2790" w:val="left"/>
        </w:tabs>
        <w:numPr>
          <w:ilvl w:val="0"/>
          <w:numId w:val="30"/>
        </w:numPr>
        <w:rPr>
          <w:rFonts w:ascii="Arial" w:cs="Arial" w:eastAsia="Arial" w:hAnsi="Arial"/>
          <w:sz w:val="21"/>
          <w:szCs w:val="21"/>
          <w:color w:val="auto"/>
        </w:rPr>
      </w:pPr>
      <w:r>
        <w:rPr>
          <w:rFonts w:ascii="Arial" w:cs="Arial" w:eastAsia="Arial" w:hAnsi="Arial"/>
          <w:sz w:val="19"/>
          <w:szCs w:val="19"/>
          <w:color w:val="auto"/>
        </w:rPr>
        <w:t>Each of the parties hereto irrevocably and unconditionally submits to the exclusive jurisdiction of the Chancery Court of the State of Delaware (or, to the extent such court does not have subject matter jurisdiction, the U.S. District Court for the District of Delaware or, to the extent such court does not have subject matter jurisdiction, the Superior Court of the State of Delaware and, in each case, the appropriate appellate courts thereof), for the purposes of any demand, action, suit, countersuit, arbitration, inquiry, proceeding or investigation by or before any Governmental Authority or any arbitration or mediation tribunal or other proceeding (collectively,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arising out of this Agreement and the rights and obligations arising hereunder,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hereto agrees that service of any process, summons, notice or document by registered mail to such party’s respective address set forth in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shall be effective service of process for any such Proceeding.</w:t>
      </w:r>
    </w:p>
    <w:p>
      <w:pPr>
        <w:spacing w:after="0" w:line="198" w:lineRule="exact"/>
        <w:rPr>
          <w:rFonts w:ascii="Arial" w:cs="Arial" w:eastAsia="Arial" w:hAnsi="Arial"/>
          <w:sz w:val="21"/>
          <w:szCs w:val="21"/>
          <w:color w:val="auto"/>
        </w:rPr>
      </w:pPr>
    </w:p>
    <w:p>
      <w:pPr>
        <w:jc w:val="both"/>
        <w:ind w:firstLine="1910"/>
        <w:spacing w:after="0" w:line="239" w:lineRule="auto"/>
        <w:tabs>
          <w:tab w:leader="none" w:pos="2803" w:val="left"/>
        </w:tabs>
        <w:numPr>
          <w:ilvl w:val="0"/>
          <w:numId w:val="30"/>
        </w:numPr>
        <w:rPr>
          <w:rFonts w:ascii="Arial" w:cs="Arial" w:eastAsia="Arial" w:hAnsi="Arial"/>
          <w:sz w:val="22"/>
          <w:szCs w:val="22"/>
          <w:color w:val="auto"/>
        </w:rPr>
      </w:pPr>
      <w:r>
        <w:rPr>
          <w:rFonts w:ascii="Arial" w:cs="Arial" w:eastAsia="Arial" w:hAnsi="Arial"/>
          <w:sz w:val="20"/>
          <w:szCs w:val="20"/>
          <w:color w:val="auto"/>
        </w:rPr>
        <w:t xml:space="preserve">EACH PARTY HERETO HEREBY WAIVES, TO THE FULLEST EXTENT PERMITTED BY APPLICABLE LAW, ANY RIGHT IT MAY HAVE TO A TRIAL BY JURY IN RESPECT OF ANY ACTION, CLAIM OR OTHER PROCEEDING DIRECTLY OR INDIRECTLY ARISING OUT OF, UNDER OR IN CONNECTION WITH THIS AGREEMENT. EACH PARTY HERETO (i) CERTIFIES THAT NO REPRESENTATIVE OF ANY OTHER PARTY HAS REPRESENTED, EXPRESSLY OR OTHERWISE, THAT SUCH OTHER PARTY WOULD NOT, IN THE EVENT OF ANY ACTION, CLAIM OR OTHER PROCEEDING, SEEK TO ENFORCE THE FOREGOING WAIVER, (ii) UNDERSTANDS AND HAS CONSIDERED THE IMPLICATIONS OF SUCH WAIVER, (iii) MAKES SUCH WAIVER VOLUNTARILY AND (iv) ACKNOWLEDGES THAT IT AND THE OTHER PARTIES HERETO HAVE BEEN INDUCED TO ENTER INTO THIS AGREEMENT BY, AMONG OTHER THINGS, THE MUTUAL WAIVERS AND CERTIFICATIONS IN THIS </w:t>
      </w:r>
      <w:r>
        <w:rPr>
          <w:rFonts w:ascii="Arial" w:cs="Arial" w:eastAsia="Arial" w:hAnsi="Arial"/>
          <w:sz w:val="20"/>
          <w:szCs w:val="20"/>
          <w:u w:val="single" w:color="auto"/>
          <w:color w:val="auto"/>
        </w:rPr>
        <w:t>SECTION 5.04(d)</w:t>
      </w:r>
      <w:r>
        <w:rPr>
          <w:rFonts w:ascii="Arial" w:cs="Arial" w:eastAsia="Arial" w:hAnsi="Arial"/>
          <w:sz w:val="20"/>
          <w:szCs w:val="20"/>
          <w:color w:val="auto"/>
        </w:rPr>
        <w:t>.</w:t>
      </w:r>
    </w:p>
    <w:p>
      <w:pPr>
        <w:spacing w:after="0" w:line="194" w:lineRule="exact"/>
        <w:rPr>
          <w:sz w:val="20"/>
          <w:szCs w:val="20"/>
          <w:color w:val="auto"/>
        </w:rPr>
      </w:pPr>
    </w:p>
    <w:p>
      <w:pPr>
        <w:jc w:val="both"/>
        <w:ind w:firstLine="1902"/>
        <w:spacing w:after="0" w:line="248" w:lineRule="auto"/>
        <w:rPr>
          <w:sz w:val="20"/>
          <w:szCs w:val="20"/>
          <w:color w:val="auto"/>
        </w:rPr>
      </w:pPr>
      <w:r>
        <w:rPr>
          <w:rFonts w:ascii="Arial" w:cs="Arial" w:eastAsia="Arial" w:hAnsi="Arial"/>
          <w:sz w:val="22"/>
          <w:szCs w:val="22"/>
          <w:u w:val="single" w:color="auto"/>
          <w:color w:val="auto"/>
        </w:rPr>
        <w:t>Section 5.05</w:t>
      </w:r>
      <w:r>
        <w:rPr>
          <w:rFonts w:ascii="Arial" w:cs="Arial" w:eastAsia="Arial" w:hAnsi="Arial"/>
          <w:sz w:val="22"/>
          <w:szCs w:val="22"/>
          <w:color w:val="auto"/>
        </w:rPr>
        <w:t xml:space="preserve"> </w:t>
      </w:r>
      <w:r>
        <w:rPr>
          <w:rFonts w:ascii="Arial" w:cs="Arial" w:eastAsia="Arial" w:hAnsi="Arial"/>
          <w:sz w:val="19"/>
          <w:szCs w:val="19"/>
          <w:u w:val="single" w:color="auto"/>
          <w:color w:val="auto"/>
        </w:rPr>
        <w:t>Interpretation</w:t>
      </w:r>
      <w:r>
        <w:rPr>
          <w:rFonts w:ascii="Arial" w:cs="Arial" w:eastAsia="Arial" w:hAnsi="Arial"/>
          <w:sz w:val="19"/>
          <w:szCs w:val="19"/>
          <w:color w:val="auto"/>
        </w:rPr>
        <w:t>. (a) When a reference is made in this Agreement to an Article or Section, such</w:t>
      </w:r>
      <w:r>
        <w:rPr>
          <w:rFonts w:ascii="Arial" w:cs="Arial" w:eastAsia="Arial" w:hAnsi="Arial"/>
          <w:sz w:val="22"/>
          <w:szCs w:val="22"/>
          <w:color w:val="auto"/>
        </w:rPr>
        <w:t xml:space="preserve"> </w:t>
      </w:r>
      <w:r>
        <w:rPr>
          <w:rFonts w:ascii="Arial" w:cs="Arial" w:eastAsia="Arial" w:hAnsi="Arial"/>
          <w:sz w:val="19"/>
          <w:szCs w:val="19"/>
          <w:color w:val="auto"/>
        </w:rPr>
        <w:t>reference shall be to an Article or Section of this Agreement unless otherwise indicated. The table of contents and headings contained in this Agreement are for reference purposes only and shall not affect in any way the meaning or interpretation of this Agreement. The word “will” shall be construed to have the same meaning as the word “shall.”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shall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9"/>
          <w:szCs w:val="19"/>
          <w:color w:val="auto"/>
        </w:rPr>
        <w:t>refer to the date of this Agreement. The word “or” shall not be exclusive. The word “extent” in the phrase “to the extent” shall mean the degree to which a subject or other thing extends, and shall not simply mean “if.” All references to “$” mean the lawful currency of the United States of America. The definitions contained in this Agreement are applicable to the singular as well as the plural forms of such terms and to the masculine as well as to the feminine and neuter genders of such term, and references to the masculine, feminine or neuter gender shall include other gender. Except as specifically stated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Except as otherwise specified herein, references to a Person are also to its successors and permitted assigns. Each of the parties hereto has participated in the drafting and negotiation of this Agreement. If an ambiguity or question of intent or interpretation arises, this Agreement must be construed as if it were drafted by all the parties and no presumption or burden of proof shall arise favoring or disfavoring any party by virtue of authorship of any of the provisions of this Agreement.</w:t>
      </w:r>
    </w:p>
    <w:p>
      <w:pPr>
        <w:spacing w:after="0" w:line="199" w:lineRule="exact"/>
        <w:rPr>
          <w:sz w:val="20"/>
          <w:szCs w:val="20"/>
          <w:color w:val="auto"/>
        </w:rPr>
      </w:pPr>
    </w:p>
    <w:p>
      <w:pPr>
        <w:jc w:val="both"/>
        <w:ind w:firstLine="1910"/>
        <w:spacing w:after="0" w:line="254" w:lineRule="auto"/>
        <w:tabs>
          <w:tab w:leader="none" w:pos="2803" w:val="left"/>
        </w:tabs>
        <w:numPr>
          <w:ilvl w:val="0"/>
          <w:numId w:val="31"/>
        </w:numPr>
        <w:rPr>
          <w:rFonts w:ascii="Arial" w:cs="Arial" w:eastAsia="Arial" w:hAnsi="Arial"/>
          <w:sz w:val="21"/>
          <w:szCs w:val="21"/>
          <w:color w:val="auto"/>
        </w:rPr>
      </w:pPr>
      <w:r>
        <w:rPr>
          <w:rFonts w:ascii="Arial" w:cs="Arial" w:eastAsia="Arial" w:hAnsi="Arial"/>
          <w:sz w:val="19"/>
          <w:szCs w:val="19"/>
          <w:color w:val="auto"/>
        </w:rPr>
        <w:t>For purposes of determining beneficial ownership, Investor may rely on the Company’s most recent publicly available Quarterly Report on Form 10-Q or Annual Report on Form 10-K to determine the number of issued and outstanding equity securities of the Company at any given time and any Person’s beneficial ownership percentage, unless the Company provides written notice to Investor with an updated number of equity securities of the Company then issued and outstanding.</w:t>
      </w:r>
    </w:p>
    <w:p>
      <w:pPr>
        <w:spacing w:after="0" w:line="198" w:lineRule="exact"/>
        <w:rPr>
          <w:rFonts w:ascii="Arial" w:cs="Arial" w:eastAsia="Arial" w:hAnsi="Arial"/>
          <w:sz w:val="21"/>
          <w:szCs w:val="21"/>
          <w:color w:val="auto"/>
        </w:rPr>
      </w:pPr>
    </w:p>
    <w:p>
      <w:pPr>
        <w:jc w:val="both"/>
        <w:ind w:firstLine="1910"/>
        <w:spacing w:after="0" w:line="254" w:lineRule="auto"/>
        <w:tabs>
          <w:tab w:leader="none" w:pos="2790" w:val="left"/>
        </w:tabs>
        <w:numPr>
          <w:ilvl w:val="0"/>
          <w:numId w:val="31"/>
        </w:numPr>
        <w:rPr>
          <w:rFonts w:ascii="Arial" w:cs="Arial" w:eastAsia="Arial" w:hAnsi="Arial"/>
          <w:sz w:val="21"/>
          <w:szCs w:val="21"/>
          <w:color w:val="auto"/>
        </w:rPr>
      </w:pPr>
      <w:r>
        <w:rPr>
          <w:rFonts w:ascii="Arial" w:cs="Arial" w:eastAsia="Arial" w:hAnsi="Arial"/>
          <w:sz w:val="19"/>
          <w:szCs w:val="19"/>
          <w:color w:val="auto"/>
        </w:rPr>
        <w:t>In the event that the Common Stock is listed on a National Securities Exchange other than Nasdaq, all references herein to Nasdaq rules shall be deemed to be to the most comparable rule applicable to such other National Securities Exchange and all references to Nasdaq shall be deemed to be such other National Securities Exchange, in each case, mutatis mutandis. In the event that the Common Stock is listed on both Nasdaq and any other National Securities Exchange, the Company and Investor shall cooperate to make any amendments to this Agreement reasonably requested by the other party.</w:t>
      </w:r>
    </w:p>
    <w:p>
      <w:pPr>
        <w:spacing w:after="0" w:line="179" w:lineRule="exact"/>
        <w:rPr>
          <w:sz w:val="20"/>
          <w:szCs w:val="20"/>
          <w:color w:val="auto"/>
        </w:rPr>
      </w:pPr>
    </w:p>
    <w:p>
      <w:pPr>
        <w:jc w:val="both"/>
        <w:ind w:firstLine="1902"/>
        <w:spacing w:after="0" w:line="271" w:lineRule="auto"/>
        <w:rPr>
          <w:sz w:val="20"/>
          <w:szCs w:val="20"/>
          <w:color w:val="auto"/>
        </w:rPr>
      </w:pPr>
      <w:r>
        <w:rPr>
          <w:rFonts w:ascii="Arial" w:cs="Arial" w:eastAsia="Arial" w:hAnsi="Arial"/>
          <w:sz w:val="21"/>
          <w:szCs w:val="21"/>
          <w:u w:val="single" w:color="auto"/>
          <w:color w:val="auto"/>
        </w:rPr>
        <w:t>Section 5.06</w:t>
      </w:r>
      <w:r>
        <w:rPr>
          <w:rFonts w:ascii="Arial" w:cs="Arial" w:eastAsia="Arial" w:hAnsi="Arial"/>
          <w:sz w:val="21"/>
          <w:szCs w:val="21"/>
          <w:color w:val="auto"/>
        </w:rPr>
        <w:t xml:space="preserve">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w:t>
      </w:r>
      <w:r>
        <w:rPr>
          <w:rFonts w:ascii="Arial" w:cs="Arial" w:eastAsia="Arial" w:hAnsi="Arial"/>
          <w:sz w:val="21"/>
          <w:szCs w:val="21"/>
          <w:color w:val="auto"/>
        </w:rPr>
        <w:t xml:space="preserve"> </w:t>
      </w:r>
      <w:r>
        <w:rPr>
          <w:rFonts w:ascii="Arial" w:cs="Arial" w:eastAsia="Arial" w:hAnsi="Arial"/>
          <w:sz w:val="18"/>
          <w:szCs w:val="18"/>
          <w:color w:val="auto"/>
        </w:rPr>
        <w:t>being enforced because of any Law or public policy, all other conditions and provisions of this Agreement shall nevertheless remain in full force and effect so long as the economic or legal substance of the transactions contemplated hereby is not affected in any manner adverse in any material respect to any party hereto. Upon such determination that any term or other provision is invalid, illegal or incapable of being enforced, the parties hereto shall negotiate in good faith to modify this Agreement so as to effect the original intent of the parties as closely as possible so as to effect the original intent of the parties as closely as possible to the fullest extent permitted by applicable Law.</w:t>
      </w:r>
    </w:p>
    <w:p>
      <w:pPr>
        <w:spacing w:after="0" w:line="166" w:lineRule="exact"/>
        <w:rPr>
          <w:sz w:val="20"/>
          <w:szCs w:val="20"/>
          <w:color w:val="auto"/>
        </w:rPr>
      </w:pPr>
    </w:p>
    <w:p>
      <w:pPr>
        <w:jc w:val="both"/>
        <w:ind w:firstLine="1902"/>
        <w:spacing w:after="0" w:line="256" w:lineRule="auto"/>
        <w:rPr>
          <w:sz w:val="20"/>
          <w:szCs w:val="20"/>
          <w:color w:val="auto"/>
        </w:rPr>
      </w:pPr>
      <w:r>
        <w:rPr>
          <w:rFonts w:ascii="Arial" w:cs="Arial" w:eastAsia="Arial" w:hAnsi="Arial"/>
          <w:sz w:val="22"/>
          <w:szCs w:val="22"/>
          <w:u w:val="single" w:color="auto"/>
          <w:color w:val="auto"/>
        </w:rPr>
        <w:t>Section 5.07</w:t>
      </w:r>
      <w:r>
        <w:rPr>
          <w:rFonts w:ascii="Arial" w:cs="Arial" w:eastAsia="Arial" w:hAnsi="Arial"/>
          <w:sz w:val="22"/>
          <w:szCs w:val="22"/>
          <w:color w:val="auto"/>
        </w:rPr>
        <w:t xml:space="preserve"> </w:t>
      </w: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 This Agreement is for the sole benefit of the parties hereto and</w:t>
      </w:r>
      <w:r>
        <w:rPr>
          <w:rFonts w:ascii="Arial" w:cs="Arial" w:eastAsia="Arial" w:hAnsi="Arial"/>
          <w:sz w:val="22"/>
          <w:szCs w:val="22"/>
          <w:color w:val="auto"/>
        </w:rPr>
        <w:t xml:space="preserve"> </w:t>
      </w:r>
      <w:r>
        <w:rPr>
          <w:rFonts w:ascii="Arial" w:cs="Arial" w:eastAsia="Arial" w:hAnsi="Arial"/>
          <w:sz w:val="19"/>
          <w:szCs w:val="19"/>
          <w:color w:val="auto"/>
        </w:rPr>
        <w:t>their permitted assigns, and nothing expressed or referred to in this Agreement will be construed to give any Person, other than the parties to this Agreement and such permitted assigns, any legal or equitable right, remedy or claim under or with respect to this Agreement or any provision of this Agreement, whether as a third-party beneficiary or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0" w:name="page31"/>
    <w:bookmarkEnd w:id="30"/>
    <w:p>
      <w:pPr>
        <w:jc w:val="both"/>
        <w:ind w:firstLine="1902"/>
        <w:spacing w:after="0" w:line="244" w:lineRule="auto"/>
        <w:rPr>
          <w:sz w:val="20"/>
          <w:szCs w:val="20"/>
          <w:color w:val="auto"/>
        </w:rPr>
      </w:pPr>
      <w:r>
        <w:rPr>
          <w:rFonts w:ascii="Arial" w:cs="Arial" w:eastAsia="Arial" w:hAnsi="Arial"/>
          <w:sz w:val="22"/>
          <w:szCs w:val="22"/>
          <w:u w:val="single" w:color="auto"/>
          <w:color w:val="auto"/>
        </w:rPr>
        <w:t>Section 5.08</w:t>
      </w:r>
      <w:r>
        <w:rPr>
          <w:rFonts w:ascii="Arial" w:cs="Arial" w:eastAsia="Arial" w:hAnsi="Arial"/>
          <w:sz w:val="22"/>
          <w:szCs w:val="22"/>
          <w:color w:val="auto"/>
        </w:rPr>
        <w:t xml:space="preserve"> </w:t>
      </w:r>
      <w:r>
        <w:rPr>
          <w:rFonts w:ascii="Arial" w:cs="Arial" w:eastAsia="Arial" w:hAnsi="Arial"/>
          <w:sz w:val="19"/>
          <w:szCs w:val="19"/>
          <w:u w:val="single" w:color="auto"/>
          <w:color w:val="auto"/>
        </w:rPr>
        <w:t>Assignment</w:t>
      </w:r>
      <w:r>
        <w:rPr>
          <w:rFonts w:ascii="Arial" w:cs="Arial" w:eastAsia="Arial" w:hAnsi="Arial"/>
          <w:sz w:val="19"/>
          <w:szCs w:val="19"/>
          <w:color w:val="auto"/>
        </w:rPr>
        <w:t>. Neither this Agreement nor any of the rights, interests or obligations hereunder shall</w:t>
      </w:r>
      <w:r>
        <w:rPr>
          <w:rFonts w:ascii="Arial" w:cs="Arial" w:eastAsia="Arial" w:hAnsi="Arial"/>
          <w:sz w:val="22"/>
          <w:szCs w:val="22"/>
          <w:color w:val="auto"/>
        </w:rPr>
        <w:t xml:space="preserve"> </w:t>
      </w:r>
      <w:r>
        <w:rPr>
          <w:rFonts w:ascii="Arial" w:cs="Arial" w:eastAsia="Arial" w:hAnsi="Arial"/>
          <w:sz w:val="19"/>
          <w:szCs w:val="19"/>
          <w:color w:val="auto"/>
        </w:rPr>
        <w:t xml:space="preserve">be assigned, in whole or in part, by any party hereto (whether by operation of Law or otherwise) without the prior written consent of the other party; provided that, notwithstanding the foregoing, this </w:t>
      </w:r>
      <w:r>
        <w:rPr>
          <w:rFonts w:ascii="Arial" w:cs="Arial" w:eastAsia="Arial" w:hAnsi="Arial"/>
          <w:sz w:val="19"/>
          <w:szCs w:val="19"/>
          <w:u w:val="single" w:color="auto"/>
          <w:color w:val="auto"/>
        </w:rPr>
        <w:t>Section 5.08</w:t>
      </w:r>
      <w:r>
        <w:rPr>
          <w:rFonts w:ascii="Arial" w:cs="Arial" w:eastAsia="Arial" w:hAnsi="Arial"/>
          <w:sz w:val="19"/>
          <w:szCs w:val="19"/>
          <w:color w:val="auto"/>
        </w:rPr>
        <w:t xml:space="preserve"> shall not prohibit any Transfer permitted under </w:t>
      </w:r>
      <w:r>
        <w:rPr>
          <w:rFonts w:ascii="Arial" w:cs="Arial" w:eastAsia="Arial" w:hAnsi="Arial"/>
          <w:sz w:val="19"/>
          <w:szCs w:val="19"/>
          <w:u w:val="single" w:color="auto"/>
          <w:color w:val="auto"/>
        </w:rPr>
        <w:t>Section 4.06</w:t>
      </w:r>
      <w:r>
        <w:rPr>
          <w:rFonts w:ascii="Arial" w:cs="Arial" w:eastAsia="Arial" w:hAnsi="Arial"/>
          <w:sz w:val="19"/>
          <w:szCs w:val="19"/>
          <w:color w:val="auto"/>
        </w:rPr>
        <w:t xml:space="preserve"> (it being understood that Investor’s rights hereunder shall not be assignable in connection with any such Transfer).</w:t>
      </w:r>
    </w:p>
    <w:p>
      <w:pPr>
        <w:spacing w:after="0" w:line="189" w:lineRule="exact"/>
        <w:rPr>
          <w:sz w:val="20"/>
          <w:szCs w:val="20"/>
          <w:color w:val="auto"/>
        </w:rPr>
      </w:pPr>
    </w:p>
    <w:p>
      <w:pPr>
        <w:ind w:left="1920"/>
        <w:spacing w:after="0"/>
        <w:tabs>
          <w:tab w:leader="none" w:pos="3620" w:val="left"/>
        </w:tabs>
        <w:rPr>
          <w:sz w:val="20"/>
          <w:szCs w:val="20"/>
          <w:color w:val="auto"/>
        </w:rPr>
      </w:pPr>
      <w:r>
        <w:rPr>
          <w:rFonts w:ascii="Arial" w:cs="Arial" w:eastAsia="Arial" w:hAnsi="Arial"/>
          <w:sz w:val="22"/>
          <w:szCs w:val="22"/>
          <w:u w:val="single" w:color="auto"/>
          <w:color w:val="auto"/>
        </w:rPr>
        <w:t>Section 5.09</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4" w:lineRule="exact"/>
        <w:rPr>
          <w:sz w:val="20"/>
          <w:szCs w:val="20"/>
          <w:color w:val="auto"/>
        </w:rPr>
      </w:pPr>
    </w:p>
    <w:p>
      <w:pPr>
        <w:jc w:val="both"/>
        <w:ind w:firstLine="1910"/>
        <w:spacing w:after="0" w:line="239" w:lineRule="auto"/>
        <w:tabs>
          <w:tab w:leader="none" w:pos="2790" w:val="left"/>
        </w:tabs>
        <w:numPr>
          <w:ilvl w:val="0"/>
          <w:numId w:val="32"/>
        </w:numPr>
        <w:rPr>
          <w:rFonts w:ascii="Arial" w:cs="Arial" w:eastAsia="Arial" w:hAnsi="Arial"/>
          <w:sz w:val="22"/>
          <w:szCs w:val="22"/>
          <w:color w:val="auto"/>
        </w:rPr>
      </w:pPr>
      <w:r>
        <w:rPr>
          <w:rFonts w:ascii="Arial" w:cs="Arial" w:eastAsia="Arial" w:hAnsi="Arial"/>
          <w:sz w:val="20"/>
          <w:szCs w:val="20"/>
          <w:u w:val="single" w:color="auto"/>
          <w:color w:val="auto"/>
        </w:rPr>
        <w:t>Automatic Termination</w:t>
      </w:r>
      <w:r>
        <w:rPr>
          <w:rFonts w:ascii="Arial" w:cs="Arial" w:eastAsia="Arial" w:hAnsi="Arial"/>
          <w:sz w:val="20"/>
          <w:szCs w:val="20"/>
          <w:color w:val="auto"/>
        </w:rPr>
        <w:t xml:space="preserve">. This Agreement shall terminate, subject to </w:t>
      </w:r>
      <w:r>
        <w:rPr>
          <w:rFonts w:ascii="Arial" w:cs="Arial" w:eastAsia="Arial" w:hAnsi="Arial"/>
          <w:sz w:val="20"/>
          <w:szCs w:val="20"/>
          <w:u w:val="single" w:color="auto"/>
          <w:color w:val="auto"/>
        </w:rPr>
        <w:t>Section 5.09(b)</w:t>
      </w:r>
      <w:r>
        <w:rPr>
          <w:rFonts w:ascii="Arial" w:cs="Arial" w:eastAsia="Arial" w:hAnsi="Arial"/>
          <w:sz w:val="20"/>
          <w:szCs w:val="20"/>
          <w:color w:val="auto"/>
        </w:rPr>
        <w:t>, upon the earliest of (i) the mutual written agreement of the Company and Investor, (ii) at such time following the Nomination Start Date when no Investor Parties beneficially own any shares of Common Stock and (iii) the 12-month anniversary of the date hereof if a CFIUS Cure Failure has occurred prior to such anniversary date.</w:t>
      </w:r>
    </w:p>
    <w:p>
      <w:pPr>
        <w:spacing w:after="0" w:line="208" w:lineRule="exact"/>
        <w:rPr>
          <w:rFonts w:ascii="Arial" w:cs="Arial" w:eastAsia="Arial" w:hAnsi="Arial"/>
          <w:sz w:val="22"/>
          <w:szCs w:val="22"/>
          <w:color w:val="auto"/>
        </w:rPr>
      </w:pPr>
    </w:p>
    <w:p>
      <w:pPr>
        <w:jc w:val="both"/>
        <w:ind w:firstLine="1910"/>
        <w:spacing w:after="0" w:line="239" w:lineRule="auto"/>
        <w:tabs>
          <w:tab w:leader="none" w:pos="2803" w:val="left"/>
        </w:tabs>
        <w:numPr>
          <w:ilvl w:val="0"/>
          <w:numId w:val="32"/>
        </w:numPr>
        <w:rPr>
          <w:rFonts w:ascii="Arial" w:cs="Arial" w:eastAsia="Arial" w:hAnsi="Arial"/>
          <w:sz w:val="22"/>
          <w:szCs w:val="22"/>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In the event that this Agreement shall terminate, all provisions of this Agreement shall terminate and shall be void, except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and each of </w:t>
      </w:r>
      <w:r>
        <w:rPr>
          <w:rFonts w:ascii="Arial" w:cs="Arial" w:eastAsia="Arial" w:hAnsi="Arial"/>
          <w:sz w:val="20"/>
          <w:szCs w:val="20"/>
          <w:u w:val="single" w:color="auto"/>
          <w:color w:val="auto"/>
        </w:rPr>
        <w:t>Sections 4.05</w:t>
      </w:r>
      <w:r>
        <w:rPr>
          <w:rFonts w:ascii="Arial" w:cs="Arial" w:eastAsia="Arial" w:hAnsi="Arial"/>
          <w:sz w:val="20"/>
          <w:szCs w:val="20"/>
          <w:color w:val="auto"/>
        </w:rPr>
        <w:t xml:space="preserve">, </w:t>
      </w:r>
      <w:r>
        <w:rPr>
          <w:rFonts w:ascii="Arial" w:cs="Arial" w:eastAsia="Arial" w:hAnsi="Arial"/>
          <w:sz w:val="20"/>
          <w:szCs w:val="20"/>
          <w:u w:val="single" w:color="auto"/>
          <w:color w:val="auto"/>
        </w:rPr>
        <w:t>4.06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4.09</w:t>
      </w:r>
      <w:r>
        <w:rPr>
          <w:rFonts w:ascii="Arial" w:cs="Arial" w:eastAsia="Arial" w:hAnsi="Arial"/>
          <w:sz w:val="20"/>
          <w:szCs w:val="20"/>
          <w:color w:val="auto"/>
        </w:rPr>
        <w:t>; each of which shall terminate at the times specified therein. The termination of this Agreement shall not relieve any party from any liability for any breach by a party of this Agreement occurring prior to such termination.</w:t>
      </w:r>
    </w:p>
    <w:p>
      <w:pPr>
        <w:spacing w:after="0" w:line="191" w:lineRule="exact"/>
        <w:rPr>
          <w:sz w:val="20"/>
          <w:szCs w:val="20"/>
          <w:color w:val="auto"/>
        </w:rPr>
      </w:pPr>
    </w:p>
    <w:p>
      <w:pPr>
        <w:jc w:val="both"/>
        <w:ind w:firstLine="1902"/>
        <w:spacing w:after="0" w:line="244" w:lineRule="auto"/>
        <w:rPr>
          <w:sz w:val="20"/>
          <w:szCs w:val="20"/>
          <w:color w:val="auto"/>
        </w:rPr>
      </w:pP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w:t>
      </w:r>
      <w:r>
        <w:rPr>
          <w:rFonts w:ascii="Arial" w:cs="Arial" w:eastAsia="Arial" w:hAnsi="Arial"/>
          <w:sz w:val="19"/>
          <w:szCs w:val="19"/>
          <w:u w:val="single" w:color="auto"/>
          <w:color w:val="auto"/>
        </w:rPr>
        <w:t>Entire Agreement, etc</w:t>
      </w:r>
      <w:r>
        <w:rPr>
          <w:rFonts w:ascii="Arial" w:cs="Arial" w:eastAsia="Arial" w:hAnsi="Arial"/>
          <w:sz w:val="19"/>
          <w:szCs w:val="19"/>
          <w:color w:val="auto"/>
        </w:rPr>
        <w:t>. This Agreement (together with the Joint Venture Agreement and the</w:t>
      </w:r>
      <w:r>
        <w:rPr>
          <w:rFonts w:ascii="Arial" w:cs="Arial" w:eastAsia="Arial" w:hAnsi="Arial"/>
          <w:sz w:val="22"/>
          <w:szCs w:val="22"/>
          <w:color w:val="auto"/>
        </w:rPr>
        <w:t xml:space="preserve"> </w:t>
      </w:r>
      <w:r>
        <w:rPr>
          <w:rFonts w:ascii="Arial" w:cs="Arial" w:eastAsia="Arial" w:hAnsi="Arial"/>
          <w:sz w:val="19"/>
          <w:szCs w:val="19"/>
          <w:color w:val="auto"/>
        </w:rPr>
        <w:t>License Agreement and the letters contemplated by the definitions of Prohibited Investee and Prohibited Transferee) constitutes the entire agreement and supersedes all other prior agreements, understandings, representations and warranties, both written and oral, between the parties, with respect to the subject matter hereof.</w:t>
      </w:r>
    </w:p>
    <w:p>
      <w:pPr>
        <w:spacing w:after="0" w:line="189" w:lineRule="exact"/>
        <w:rPr>
          <w:sz w:val="20"/>
          <w:szCs w:val="20"/>
          <w:color w:val="auto"/>
        </w:rPr>
      </w:pPr>
    </w:p>
    <w:p>
      <w:pPr>
        <w:jc w:val="both"/>
        <w:ind w:firstLine="1902"/>
        <w:spacing w:after="0" w:line="248" w:lineRule="auto"/>
        <w:rPr>
          <w:sz w:val="20"/>
          <w:szCs w:val="20"/>
          <w:color w:val="auto"/>
        </w:rPr>
      </w:pP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w:t>
      </w:r>
      <w:r>
        <w:rPr>
          <w:rFonts w:ascii="Arial" w:cs="Arial" w:eastAsia="Arial" w:hAnsi="Arial"/>
          <w:sz w:val="19"/>
          <w:szCs w:val="19"/>
          <w:u w:val="single" w:color="auto"/>
          <w:color w:val="auto"/>
        </w:rPr>
        <w:t>Acknowledgment of Securities Laws; Taxes</w:t>
      </w:r>
      <w:r>
        <w:rPr>
          <w:rFonts w:ascii="Arial" w:cs="Arial" w:eastAsia="Arial" w:hAnsi="Arial"/>
          <w:sz w:val="19"/>
          <w:szCs w:val="19"/>
          <w:color w:val="auto"/>
        </w:rPr>
        <w:t>. The Investor hereby acknowledges that it is aware,</w:t>
      </w:r>
      <w:r>
        <w:rPr>
          <w:rFonts w:ascii="Arial" w:cs="Arial" w:eastAsia="Arial" w:hAnsi="Arial"/>
          <w:sz w:val="22"/>
          <w:szCs w:val="22"/>
          <w:color w:val="auto"/>
        </w:rPr>
        <w:t xml:space="preserve"> </w:t>
      </w:r>
      <w:r>
        <w:rPr>
          <w:rFonts w:ascii="Arial" w:cs="Arial" w:eastAsia="Arial" w:hAnsi="Arial"/>
          <w:sz w:val="19"/>
          <w:szCs w:val="19"/>
          <w:color w:val="auto"/>
        </w:rPr>
        <w:t>and that it will advise its Affiliates and Representatives who are provided material non-public information concerning the Company or its securities, that the United States securities laws prohibit any Person who has received from an issuer material, non-public information from purchasing or selling securities of such issuer or from communication of such information to any other Person under circumstances in which it is reasonably foreseeable that such Person is likely to purchase or sell such securities. Each of the Company and the Investor shall be responsible for its own tax payments (it being understood that any withholding taxes on dividends shall be withheld as required under applicable law).</w:t>
      </w:r>
    </w:p>
    <w:p>
      <w:pPr>
        <w:spacing w:after="0" w:line="185" w:lineRule="exact"/>
        <w:rPr>
          <w:sz w:val="20"/>
          <w:szCs w:val="20"/>
          <w:color w:val="auto"/>
        </w:rPr>
      </w:pPr>
    </w:p>
    <w:p>
      <w:pPr>
        <w:ind w:left="1920"/>
        <w:spacing w:after="0"/>
        <w:tabs>
          <w:tab w:leader="none" w:pos="3620" w:val="left"/>
        </w:tabs>
        <w:rPr>
          <w:sz w:val="20"/>
          <w:szCs w:val="20"/>
          <w:color w:val="auto"/>
        </w:rPr>
      </w:pPr>
      <w:r>
        <w:rPr>
          <w:rFonts w:ascii="Arial" w:cs="Arial" w:eastAsia="Arial" w:hAnsi="Arial"/>
          <w:sz w:val="22"/>
          <w:szCs w:val="22"/>
          <w:u w:val="single" w:color="auto"/>
          <w:color w:val="auto"/>
        </w:rPr>
        <w:t>Section 5.12</w:t>
      </w:r>
      <w:r>
        <w:rPr>
          <w:sz w:val="20"/>
          <w:szCs w:val="20"/>
          <w:color w:val="auto"/>
        </w:rPr>
        <w:tab/>
      </w:r>
      <w:r>
        <w:rPr>
          <w:rFonts w:ascii="Arial" w:cs="Arial" w:eastAsia="Arial" w:hAnsi="Arial"/>
          <w:sz w:val="18"/>
          <w:szCs w:val="18"/>
          <w:u w:val="single" w:color="auto"/>
          <w:color w:val="auto"/>
        </w:rPr>
        <w:t>Competitor Dispute Resolution</w:t>
      </w:r>
      <w:r>
        <w:rPr>
          <w:rFonts w:ascii="Arial" w:cs="Arial" w:eastAsia="Arial" w:hAnsi="Arial"/>
          <w:sz w:val="18"/>
          <w:szCs w:val="18"/>
          <w:color w:val="auto"/>
        </w:rPr>
        <w:t>.</w:t>
      </w:r>
    </w:p>
    <w:p>
      <w:pPr>
        <w:spacing w:after="0" w:line="224" w:lineRule="exact"/>
        <w:rPr>
          <w:sz w:val="20"/>
          <w:szCs w:val="20"/>
          <w:color w:val="auto"/>
        </w:rPr>
      </w:pPr>
    </w:p>
    <w:p>
      <w:pPr>
        <w:ind w:firstLine="1910"/>
        <w:spacing w:after="0" w:line="238" w:lineRule="auto"/>
        <w:tabs>
          <w:tab w:leader="none" w:pos="2790" w:val="left"/>
        </w:tabs>
        <w:numPr>
          <w:ilvl w:val="0"/>
          <w:numId w:val="33"/>
        </w:numPr>
        <w:rPr>
          <w:rFonts w:ascii="Arial" w:cs="Arial" w:eastAsia="Arial" w:hAnsi="Arial"/>
          <w:sz w:val="22"/>
          <w:szCs w:val="22"/>
          <w:color w:val="auto"/>
        </w:rPr>
      </w:pPr>
      <w:r>
        <w:rPr>
          <w:rFonts w:ascii="Arial" w:cs="Arial" w:eastAsia="Arial" w:hAnsi="Arial"/>
          <w:sz w:val="20"/>
          <w:szCs w:val="20"/>
          <w:color w:val="auto"/>
        </w:rPr>
        <w:t>Within 5 Business Days after receiving either a Prohibited Investee Update or a Prohibited Transferee Update (each an "</w:t>
      </w:r>
      <w:r>
        <w:rPr>
          <w:rFonts w:ascii="Arial" w:cs="Arial" w:eastAsia="Arial" w:hAnsi="Arial"/>
          <w:sz w:val="20"/>
          <w:szCs w:val="20"/>
          <w:u w:val="single" w:color="auto"/>
          <w:color w:val="auto"/>
        </w:rPr>
        <w:t>Update</w:t>
      </w:r>
      <w:r>
        <w:rPr>
          <w:rFonts w:ascii="Arial" w:cs="Arial" w:eastAsia="Arial" w:hAnsi="Arial"/>
          <w:sz w:val="20"/>
          <w:szCs w:val="20"/>
          <w:color w:val="auto"/>
        </w:rPr>
        <w:t>"), Investor will deliver to the Company a written response in which Investor will either:</w:t>
      </w:r>
    </w:p>
    <w:p>
      <w:pPr>
        <w:spacing w:after="0" w:line="207" w:lineRule="exact"/>
        <w:rPr>
          <w:rFonts w:ascii="Arial" w:cs="Arial" w:eastAsia="Arial" w:hAnsi="Arial"/>
          <w:sz w:val="22"/>
          <w:szCs w:val="22"/>
          <w:color w:val="auto"/>
        </w:rPr>
      </w:pPr>
    </w:p>
    <w:p>
      <w:pPr>
        <w:ind w:left="3560" w:hanging="858"/>
        <w:spacing w:after="0"/>
        <w:tabs>
          <w:tab w:leader="none" w:pos="3560" w:val="left"/>
        </w:tabs>
        <w:numPr>
          <w:ilvl w:val="1"/>
          <w:numId w:val="33"/>
        </w:numPr>
        <w:rPr>
          <w:rFonts w:ascii="Arial" w:cs="Arial" w:eastAsia="Arial" w:hAnsi="Arial"/>
          <w:sz w:val="22"/>
          <w:szCs w:val="22"/>
          <w:color w:val="010000"/>
        </w:rPr>
      </w:pPr>
      <w:r>
        <w:rPr>
          <w:rFonts w:ascii="Arial" w:cs="Arial" w:eastAsia="Arial" w:hAnsi="Arial"/>
          <w:sz w:val="20"/>
          <w:szCs w:val="20"/>
          <w:color w:val="auto"/>
        </w:rPr>
        <w:t>state it has no objections to the such Update; or</w:t>
      </w:r>
    </w:p>
    <w:p>
      <w:pPr>
        <w:spacing w:after="0" w:line="208" w:lineRule="exact"/>
        <w:rPr>
          <w:rFonts w:ascii="Arial" w:cs="Arial" w:eastAsia="Arial" w:hAnsi="Arial"/>
          <w:sz w:val="22"/>
          <w:szCs w:val="22"/>
          <w:color w:val="010000"/>
        </w:rPr>
      </w:pPr>
    </w:p>
    <w:p>
      <w:pPr>
        <w:ind w:left="960" w:right="20" w:firstLine="1742"/>
        <w:spacing w:after="0" w:line="238" w:lineRule="auto"/>
        <w:tabs>
          <w:tab w:leader="none" w:pos="3616" w:val="left"/>
        </w:tabs>
        <w:numPr>
          <w:ilvl w:val="1"/>
          <w:numId w:val="33"/>
        </w:numPr>
        <w:rPr>
          <w:rFonts w:ascii="Arial" w:cs="Arial" w:eastAsia="Arial" w:hAnsi="Arial"/>
          <w:sz w:val="22"/>
          <w:szCs w:val="22"/>
          <w:color w:val="010000"/>
        </w:rPr>
      </w:pPr>
      <w:r>
        <w:rPr>
          <w:rFonts w:ascii="Arial" w:cs="Arial" w:eastAsia="Arial" w:hAnsi="Arial"/>
          <w:sz w:val="20"/>
          <w:szCs w:val="20"/>
          <w:color w:val="auto"/>
        </w:rPr>
        <w:t>object to one or more of the Persons named on the Update (a “</w:t>
      </w:r>
      <w:r>
        <w:rPr>
          <w:rFonts w:ascii="Arial" w:cs="Arial" w:eastAsia="Arial" w:hAnsi="Arial"/>
          <w:sz w:val="20"/>
          <w:szCs w:val="20"/>
          <w:u w:val="single" w:color="auto"/>
          <w:color w:val="auto"/>
        </w:rPr>
        <w:t>Dispute Notice</w:t>
      </w:r>
      <w:r>
        <w:rPr>
          <w:rFonts w:ascii="Arial" w:cs="Arial" w:eastAsia="Arial" w:hAnsi="Arial"/>
          <w:sz w:val="20"/>
          <w:szCs w:val="20"/>
          <w:color w:val="auto"/>
        </w:rPr>
        <w:t>”), setting forth in reasonable detail the basis for each such objection.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1" w:name="page32"/>
    <w:bookmarkEnd w:id="31"/>
    <w:p>
      <w:pPr>
        <w:jc w:val="both"/>
        <w:ind w:firstLine="1910"/>
        <w:spacing w:after="0" w:line="238" w:lineRule="auto"/>
        <w:tabs>
          <w:tab w:leader="none" w:pos="2803" w:val="left"/>
        </w:tabs>
        <w:numPr>
          <w:ilvl w:val="1"/>
          <w:numId w:val="34"/>
        </w:numPr>
        <w:rPr>
          <w:rFonts w:ascii="Arial" w:cs="Arial" w:eastAsia="Arial" w:hAnsi="Arial"/>
          <w:sz w:val="22"/>
          <w:szCs w:val="22"/>
          <w:color w:val="auto"/>
        </w:rPr>
      </w:pPr>
      <w:r>
        <w:rPr>
          <w:rFonts w:ascii="Arial" w:cs="Arial" w:eastAsia="Arial" w:hAnsi="Arial"/>
          <w:sz w:val="20"/>
          <w:szCs w:val="20"/>
          <w:color w:val="auto"/>
        </w:rPr>
        <w:t>If Investor fails to take either of the foregoing actions within 5 Business Days after its receipt of an Update, then Investor will be deemed to have irrevocably accepted the additions to Prohibited Investees or Prohibited Transferees, as applicable named thereon.</w:t>
      </w:r>
    </w:p>
    <w:p>
      <w:pPr>
        <w:spacing w:after="0" w:line="211" w:lineRule="exact"/>
        <w:rPr>
          <w:rFonts w:ascii="Arial" w:cs="Arial" w:eastAsia="Arial" w:hAnsi="Arial"/>
          <w:sz w:val="22"/>
          <w:szCs w:val="22"/>
          <w:color w:val="auto"/>
        </w:rPr>
      </w:pPr>
    </w:p>
    <w:p>
      <w:pPr>
        <w:jc w:val="both"/>
        <w:ind w:firstLine="1910"/>
        <w:spacing w:after="0" w:line="266" w:lineRule="auto"/>
        <w:tabs>
          <w:tab w:leader="none" w:pos="2790" w:val="left"/>
        </w:tabs>
        <w:numPr>
          <w:ilvl w:val="1"/>
          <w:numId w:val="34"/>
        </w:numPr>
        <w:rPr>
          <w:rFonts w:ascii="Arial" w:cs="Arial" w:eastAsia="Arial" w:hAnsi="Arial"/>
          <w:sz w:val="19"/>
          <w:szCs w:val="19"/>
          <w:color w:val="auto"/>
        </w:rPr>
      </w:pPr>
      <w:r>
        <w:rPr>
          <w:rFonts w:ascii="Arial" w:cs="Arial" w:eastAsia="Arial" w:hAnsi="Arial"/>
          <w:sz w:val="18"/>
          <w:szCs w:val="18"/>
          <w:color w:val="auto"/>
        </w:rPr>
        <w:t>If Investor timely delivers a Dispute Notice to the Company, then the chief executive officer of each of the Company and Investor will attempt in good faith, for a period of 10 Business Days from delivery of the Dispute Notice, to agree on whether the Persons added as Prohibited Investees or Prohibited Transferees, as applicable, are permitted to be included on the applicable Update. Any resolution by Investor and the Company during such 10 Business Day period as to any items described in a Dispute Notice will be final and binding on the parties for purposes of the definition of Prohibited Investee or Prohibited Transferee, as applicable. If Investor and the Company do not resolve all disputed items set forth in the Dispute Notice by the end of the 10 Business Days after the date of delivery of the Dispute Notice, then at the request of either party, the dispute shall be referred to and finally resolved by arbitration administered by the Singapore International Arbitration Centre (SIAC) in accordance with the Arbitration Rules of SIAC for the time being in force, which rules are deemed to be incorporated by reference in this Section 5.12(c), and as modified by the following provisions of this Section 5.12(c): (i) such dispute shall be governed by the laws of Singapore; (ii) the seat of arbitration shall be Singapore; (iii) the language of the arbitration shall be English;</w:t>
      </w:r>
    </w:p>
    <w:p>
      <w:pPr>
        <w:spacing w:after="0" w:line="5" w:lineRule="exact"/>
        <w:rPr>
          <w:rFonts w:ascii="Arial" w:cs="Arial" w:eastAsia="Arial" w:hAnsi="Arial"/>
          <w:sz w:val="19"/>
          <w:szCs w:val="19"/>
          <w:color w:val="auto"/>
        </w:rPr>
      </w:pPr>
    </w:p>
    <w:p>
      <w:pPr>
        <w:jc w:val="both"/>
        <w:ind w:firstLine="8"/>
        <w:spacing w:after="0" w:line="255" w:lineRule="auto"/>
        <w:tabs>
          <w:tab w:leader="none" w:pos="34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arbitral tribunal shall consist of three arbitrators, of which two arbitrators appointed in accordance with the SIAC Rules shall nominate a third arbitrator who shall act as the presiding arbitrator of the arbitral tribunal (and failing such nomination within 21 days from the appointment of the second arbitrator, the President of the Court of Arbitration of SIAC shall appoint the presiding arbitrator); (v) the only determination the arbitrator may make is whether a Person is a Prohibited Investee or Prohibited Transferee, as applicable and (vi) the arbitral tribunal shall have the power to make a declaratory award on whether a Person is a Prohibited Investee or a Prohibited Transferee, but the arbitral tribunal shall not have the power to award any other remedy or relief, including any form of damages (whether direct, indirect, special, consequential, compensatory, punitive, statutory or otherwise).</w:t>
      </w:r>
    </w:p>
    <w:p>
      <w:pPr>
        <w:spacing w:after="0" w:line="195" w:lineRule="exact"/>
        <w:rPr>
          <w:rFonts w:ascii="Arial" w:cs="Arial" w:eastAsia="Arial" w:hAnsi="Arial"/>
          <w:sz w:val="19"/>
          <w:szCs w:val="19"/>
          <w:color w:val="auto"/>
        </w:rPr>
      </w:pPr>
    </w:p>
    <w:p>
      <w:pPr>
        <w:jc w:val="both"/>
        <w:ind w:firstLine="1910"/>
        <w:spacing w:after="0" w:line="256" w:lineRule="auto"/>
        <w:tabs>
          <w:tab w:leader="none" w:pos="2803" w:val="left"/>
        </w:tabs>
        <w:numPr>
          <w:ilvl w:val="1"/>
          <w:numId w:val="35"/>
        </w:numPr>
        <w:rPr>
          <w:rFonts w:ascii="Arial" w:cs="Arial" w:eastAsia="Arial" w:hAnsi="Arial"/>
          <w:sz w:val="21"/>
          <w:szCs w:val="21"/>
          <w:color w:val="auto"/>
        </w:rPr>
      </w:pPr>
      <w:r>
        <w:rPr>
          <w:rFonts w:ascii="Arial" w:cs="Arial" w:eastAsia="Arial" w:hAnsi="Arial"/>
          <w:sz w:val="19"/>
          <w:szCs w:val="19"/>
          <w:color w:val="auto"/>
        </w:rPr>
        <w:t>If, as a result of a Dispute Notice, there are less than two Persons on either of the Prohibited Investee list or the Prohibited Transferee list at any time, the Company shall be permitted to provide a Prohibited Investee Update or a Prohibited Transferee Update, as applicable, notwithstanding that the prior Update occurred within the previous six months.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2" w:name="page33"/>
    <w:bookmarkEnd w:id="32"/>
    <w:p>
      <w:pPr>
        <w:jc w:val="center"/>
        <w:ind w:right="-559"/>
        <w:spacing w:after="0"/>
        <w:rPr>
          <w:sz w:val="20"/>
          <w:szCs w:val="20"/>
          <w:color w:val="auto"/>
        </w:rPr>
      </w:pPr>
      <w:r>
        <w:rPr>
          <w:rFonts w:ascii="Arial" w:cs="Arial" w:eastAsia="Arial" w:hAnsi="Arial"/>
          <w:sz w:val="16"/>
          <w:szCs w:val="16"/>
          <w:color w:val="auto"/>
        </w:rPr>
        <w:t>IN WITNESS WHEREOF, the parties hereto have executed this Agreement as of the day and year first above written.</w:t>
      </w:r>
    </w:p>
    <w:p>
      <w:pPr>
        <w:spacing w:after="0" w:line="256"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COMPANY:</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TRIPADVISOR,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Linda C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10160</wp:posOffset>
            </wp:positionV>
            <wp:extent cx="3344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Linda C. Frazier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Assistant Secretary</w:t>
      </w:r>
    </w:p>
    <w:p>
      <w:pPr>
        <w:spacing w:after="0" w:line="200" w:lineRule="exact"/>
        <w:rPr>
          <w:sz w:val="20"/>
          <w:szCs w:val="20"/>
          <w:color w:val="auto"/>
        </w:rPr>
      </w:pPr>
    </w:p>
    <w:p>
      <w:pPr>
        <w:spacing w:after="0" w:line="223"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Governance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900"/>
          </w:cols>
          <w:pgMar w:left="1440" w:top="339" w:right="559" w:bottom="1440" w:gutter="0" w:footer="0" w:header="0"/>
        </w:sectPr>
      </w:pPr>
    </w:p>
    <w:bookmarkStart w:id="33" w:name="page34"/>
    <w:bookmarkEnd w:id="33"/>
    <w:p>
      <w:pPr>
        <w:ind w:left="4520"/>
        <w:spacing w:after="0"/>
        <w:rPr>
          <w:sz w:val="20"/>
          <w:szCs w:val="20"/>
          <w:color w:val="auto"/>
        </w:rPr>
      </w:pPr>
      <w:r>
        <w:rPr>
          <w:rFonts w:ascii="Arial" w:cs="Arial" w:eastAsia="Arial" w:hAnsi="Arial"/>
          <w:sz w:val="20"/>
          <w:szCs w:val="20"/>
          <w:b w:val="1"/>
          <w:bCs w:val="1"/>
          <w:color w:val="auto"/>
        </w:rPr>
        <w:t>INVESTOR:</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TRIP.COM GROUP LIMITED</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Jie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10160</wp:posOffset>
            </wp:positionV>
            <wp:extent cx="3378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0"/>
          <w:szCs w:val="20"/>
          <w:color w:val="auto"/>
        </w:rPr>
        <w:t>Name: Jie Sun</w:t>
      </w:r>
    </w:p>
    <w:p>
      <w:pPr>
        <w:spacing w:after="0" w:line="8" w:lineRule="exact"/>
        <w:rPr>
          <w:sz w:val="20"/>
          <w:szCs w:val="20"/>
          <w:color w:val="auto"/>
        </w:rPr>
      </w:pPr>
    </w:p>
    <w:p>
      <w:pPr>
        <w:jc w:val="right"/>
        <w:ind w:right="1759"/>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Governance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88265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Annex 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Governance Agreement Joinder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 20[•]</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TripAdvisor, Inc.</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400 1st Avenue</w:t>
      </w:r>
    </w:p>
    <w:p>
      <w:pPr>
        <w:ind w:left="620"/>
        <w:spacing w:after="0"/>
        <w:rPr>
          <w:sz w:val="20"/>
          <w:szCs w:val="20"/>
          <w:color w:val="auto"/>
        </w:rPr>
      </w:pPr>
      <w:r>
        <w:rPr>
          <w:rFonts w:ascii="Arial" w:cs="Arial" w:eastAsia="Arial" w:hAnsi="Arial"/>
          <w:sz w:val="20"/>
          <w:szCs w:val="20"/>
          <w:color w:val="auto"/>
        </w:rPr>
        <w:t>Needham, MA 02494</w:t>
      </w:r>
    </w:p>
    <w:p>
      <w:pPr>
        <w:ind w:left="620"/>
        <w:spacing w:after="0"/>
        <w:rPr>
          <w:sz w:val="20"/>
          <w:szCs w:val="20"/>
          <w:color w:val="auto"/>
        </w:rPr>
      </w:pPr>
      <w:r>
        <w:rPr>
          <w:rFonts w:ascii="Arial" w:cs="Arial" w:eastAsia="Arial" w:hAnsi="Arial"/>
          <w:sz w:val="20"/>
          <w:szCs w:val="20"/>
          <w:color w:val="auto"/>
        </w:rPr>
        <w:t>Attention: General Counsel</w:t>
      </w:r>
    </w:p>
    <w:p>
      <w:pPr>
        <w:spacing w:after="0" w:line="200" w:lineRule="exact"/>
        <w:rPr>
          <w:sz w:val="20"/>
          <w:szCs w:val="20"/>
          <w:color w:val="auto"/>
        </w:rPr>
      </w:pPr>
    </w:p>
    <w:p>
      <w:pPr>
        <w:ind w:right="320" w:firstLine="877"/>
        <w:spacing w:after="0" w:line="246" w:lineRule="auto"/>
        <w:rPr>
          <w:sz w:val="20"/>
          <w:szCs w:val="20"/>
          <w:color w:val="auto"/>
        </w:rPr>
      </w:pPr>
      <w:r>
        <w:rPr>
          <w:rFonts w:ascii="Arial" w:cs="Arial" w:eastAsia="Arial" w:hAnsi="Arial"/>
          <w:sz w:val="20"/>
          <w:szCs w:val="20"/>
          <w:color w:val="auto"/>
        </w:rPr>
        <w:t>Reference is hereby made to that certain Governance Agreement, dated as of November 6, 2019, among TripAdvisor, Inc., a Delaware corporation (the “Company”), and Trip.com Group Limited, a Cayman Islands exempted company (“Investor”) (the “Governance Agreement”). Capitalized terms used herein and not otherwise defined herein shall have the meanings ascribed to such terms in the Governance Agreement.</w:t>
      </w:r>
    </w:p>
    <w:p>
      <w:pPr>
        <w:spacing w:after="0" w:line="205" w:lineRule="exact"/>
        <w:rPr>
          <w:sz w:val="20"/>
          <w:szCs w:val="20"/>
          <w:color w:val="auto"/>
        </w:rPr>
      </w:pPr>
    </w:p>
    <w:p>
      <w:pPr>
        <w:ind w:left="440" w:right="20" w:hanging="432"/>
        <w:spacing w:after="0" w:line="27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 a [•] [corporation], hereby acknowledges that it has received a copy of the Governance Agreement and acknowledges and agrees with the Company that by its execution and delivery hereof it shall (i) join and become a party to the Governance Agreement as an Investor Party and (ii) be bound by all covenants, agreements, representations, warranties and acknowledgements applicable to an Investor Party as set forth in and in accordance with the terms of the Governance Agreement. The undersigned hereby represents and warrants that the representations and warranties of the Company set forth in the Governance Agreement are true and correct in all material respects (except to the extent already qualified by materiality) on and as of the date hereof as if applying to the undersigned (with necessary modification to jurisdiction of formation and organizational form),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ind w:left="440" w:right="180" w:hanging="432"/>
        <w:spacing w:after="0" w:line="263" w:lineRule="auto"/>
        <w:tabs>
          <w:tab w:leader="none" w:pos="4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Governance Agreement Joinder Agreement may be executed in two or more identical counterparts (including by facsimile or electronic transmission), each of which shall be an original, with the same effect as if the signatures thereto and hereto were upon the same instrument, and shall become effective when one or more counterparts have been signed by each of the parties hereto and delivered (by facsimile, electronic transmission or otherwise) to the other parties.</w:t>
      </w:r>
    </w:p>
    <w:p>
      <w:pPr>
        <w:spacing w:after="0" w:line="176" w:lineRule="exact"/>
        <w:rPr>
          <w:rFonts w:ascii="Arial" w:cs="Arial" w:eastAsia="Arial" w:hAnsi="Arial"/>
          <w:sz w:val="19"/>
          <w:szCs w:val="19"/>
          <w:color w:val="auto"/>
        </w:rPr>
      </w:pPr>
    </w:p>
    <w:p>
      <w:pPr>
        <w:ind w:left="440" w:right="160" w:hanging="432"/>
        <w:spacing w:after="0" w:line="260" w:lineRule="auto"/>
        <w:tabs>
          <w:tab w:leader="none" w:pos="4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This Governance Agreement Joinder Agreement may be amended or waived if, and only if, such amendment or waiver is in writing and signed by the Company and the undersigned. The failure of any party hereto to exercise any right, power or remedy provided under this Governance Agreement Joinder Agreement or otherwise available in respect hereof at law or in equity, or to insist upon compliance by any other party hereto with its obligations hereunder, shall not constitute a waiver by such party of its right to exercise any such other right, power or remedy or to demand such compliance</w:t>
      </w:r>
    </w:p>
    <w:p>
      <w:pPr>
        <w:spacing w:after="0" w:line="180" w:lineRule="exact"/>
        <w:rPr>
          <w:rFonts w:ascii="Arial" w:cs="Arial" w:eastAsia="Arial" w:hAnsi="Arial"/>
          <w:sz w:val="19"/>
          <w:szCs w:val="19"/>
          <w:color w:val="auto"/>
        </w:rPr>
      </w:pPr>
    </w:p>
    <w:p>
      <w:pPr>
        <w:jc w:val="both"/>
        <w:ind w:left="440" w:right="100" w:hanging="432"/>
        <w:spacing w:after="0" w:line="250" w:lineRule="auto"/>
        <w:tabs>
          <w:tab w:leader="none" w:pos="4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The Governance Agreement and this Governance Agreement Joinder Agreement shall be governed by and construed in accordance with the internal laws of the State of Delaware applicable to agreements made and to be performed entirely within such state, without regard to the conflicts of law principles of such state.</w:t>
      </w:r>
    </w:p>
    <w:p>
      <w:pPr>
        <w:spacing w:after="0" w:line="186" w:lineRule="exact"/>
        <w:rPr>
          <w:rFonts w:ascii="Arial" w:cs="Arial" w:eastAsia="Arial" w:hAnsi="Arial"/>
          <w:sz w:val="20"/>
          <w:szCs w:val="20"/>
          <w:color w:val="auto"/>
        </w:rPr>
      </w:pPr>
    </w:p>
    <w:p>
      <w:pPr>
        <w:ind w:left="440" w:right="60" w:hanging="432"/>
        <w:spacing w:after="0" w:line="260" w:lineRule="auto"/>
        <w:tabs>
          <w:tab w:leader="none" w:pos="4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The provisions of Article V of the Governance Agreement shall apply to this Governance Agreement Joinder Agreement,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ind w:left="4520"/>
        <w:spacing w:after="0"/>
        <w:rPr>
          <w:sz w:val="20"/>
          <w:szCs w:val="20"/>
          <w:color w:val="auto"/>
        </w:rPr>
      </w:pPr>
      <w:r>
        <w:rPr>
          <w:rFonts w:ascii="Arial" w:cs="Arial" w:eastAsia="Arial" w:hAnsi="Arial"/>
          <w:sz w:val="20"/>
          <w:szCs w:val="20"/>
          <w:b w:val="1"/>
          <w:bCs w:val="1"/>
          <w:color w:val="auto"/>
        </w:rPr>
        <w:t>INVESTOR PARTY:</w:t>
      </w:r>
    </w:p>
    <w:p>
      <w:pPr>
        <w:spacing w:after="0" w:line="235"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10160</wp:posOffset>
            </wp:positionV>
            <wp:extent cx="33362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Governance Agreement Joinder Agreement</w:t>
      </w:r>
      <w:r>
        <w:rPr>
          <w:rFonts w:ascii="Arial" w:cs="Arial" w:eastAsia="Arial" w:hAnsi="Arial"/>
          <w:sz w:val="14"/>
          <w:szCs w:val="14"/>
          <w:color w:val="auto"/>
        </w:rPr>
        <w:t>]</w:t>
      </w:r>
    </w:p>
    <w:p>
      <w:pPr>
        <w:sectPr>
          <w:pgSz w:w="11900" w:h="16838" w:orient="portrait"/>
          <w:cols w:equalWidth="0" w:num="1">
            <w:col w:w="9019"/>
          </w:cols>
          <w:pgMar w:left="1440" w:top="562"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Reports Third Quarter 2019 Financial Results</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NEEDHAM, MA, </w:t>
      </w:r>
      <w:r>
        <w:rPr>
          <w:rFonts w:ascii="Arial" w:cs="Arial" w:eastAsia="Arial" w:hAnsi="Arial"/>
          <w:sz w:val="18"/>
          <w:szCs w:val="18"/>
          <w:color w:val="auto"/>
        </w:rPr>
        <w:t>November 6, 2019 — TripAdvisor, Inc. (NASDAQ: TRIP) today announced financial results for the third quarter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179"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revenue, GAAP Net Income and adjusted EBITDA decreased 7%, 28% and 12% year-over-year, respectively.</w:t>
      </w:r>
    </w:p>
    <w:p>
      <w:pPr>
        <w:spacing w:after="0" w:line="238"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002060"/>
        </w:rPr>
      </w:pPr>
      <w:r>
        <w:rPr>
          <w:rFonts w:ascii="Arial" w:cs="Arial" w:eastAsia="Arial" w:hAnsi="Arial"/>
          <w:sz w:val="18"/>
          <w:szCs w:val="18"/>
          <w:color w:val="auto"/>
        </w:rPr>
        <w:t>In light of these results and ongoing trends, TripAdvisor:</w:t>
      </w:r>
    </w:p>
    <w:p>
      <w:pPr>
        <w:spacing w:after="0" w:line="17" w:lineRule="exact"/>
        <w:rPr>
          <w:sz w:val="20"/>
          <w:szCs w:val="20"/>
          <w:color w:val="auto"/>
        </w:rPr>
      </w:pPr>
    </w:p>
    <w:p>
      <w:pPr>
        <w:ind w:left="1140" w:hanging="376"/>
        <w:spacing w:after="0"/>
        <w:tabs>
          <w:tab w:leader="none" w:pos="1140" w:val="left"/>
        </w:tabs>
        <w:numPr>
          <w:ilvl w:val="1"/>
          <w:numId w:val="38"/>
        </w:numPr>
        <w:rPr>
          <w:rFonts w:ascii="Courier New" w:cs="Courier New" w:eastAsia="Courier New" w:hAnsi="Courier New"/>
          <w:sz w:val="18"/>
          <w:szCs w:val="18"/>
          <w:color w:val="auto"/>
        </w:rPr>
      </w:pPr>
      <w:r>
        <w:rPr>
          <w:rFonts w:ascii="Arial" w:cs="Arial" w:eastAsia="Arial" w:hAnsi="Arial"/>
          <w:sz w:val="18"/>
          <w:szCs w:val="18"/>
          <w:color w:val="auto"/>
        </w:rPr>
        <w:t>Announces a comprehensive cost structure evaluation</w:t>
      </w:r>
    </w:p>
    <w:p>
      <w:pPr>
        <w:ind w:left="1140" w:hanging="376"/>
        <w:spacing w:after="0" w:line="232" w:lineRule="auto"/>
        <w:tabs>
          <w:tab w:leader="none" w:pos="1140" w:val="left"/>
        </w:tabs>
        <w:numPr>
          <w:ilvl w:val="1"/>
          <w:numId w:val="38"/>
        </w:numPr>
        <w:rPr>
          <w:rFonts w:ascii="Courier New" w:cs="Courier New" w:eastAsia="Courier New" w:hAnsi="Courier New"/>
          <w:sz w:val="18"/>
          <w:szCs w:val="18"/>
          <w:color w:val="auto"/>
        </w:rPr>
      </w:pPr>
      <w:r>
        <w:rPr>
          <w:rFonts w:ascii="Arial" w:cs="Arial" w:eastAsia="Arial" w:hAnsi="Arial"/>
          <w:sz w:val="18"/>
          <w:szCs w:val="18"/>
          <w:color w:val="auto"/>
        </w:rPr>
        <w:t>Declares a special cash dividend of $3.50 per share, returning an estimated $490 million of capital to shareholders</w:t>
      </w:r>
    </w:p>
    <w:p>
      <w:pPr>
        <w:ind w:left="1140" w:right="400" w:hanging="376"/>
        <w:spacing w:after="0" w:line="242" w:lineRule="auto"/>
        <w:tabs>
          <w:tab w:leader="none" w:pos="1140" w:val="left"/>
        </w:tabs>
        <w:numPr>
          <w:ilvl w:val="1"/>
          <w:numId w:val="38"/>
        </w:numPr>
        <w:rPr>
          <w:rFonts w:ascii="Courier New" w:cs="Courier New" w:eastAsia="Courier New" w:hAnsi="Courier New"/>
          <w:sz w:val="18"/>
          <w:szCs w:val="18"/>
          <w:color w:val="auto"/>
        </w:rPr>
      </w:pPr>
      <w:r>
        <w:rPr>
          <w:rFonts w:ascii="Arial" w:cs="Arial" w:eastAsia="Arial" w:hAnsi="Arial"/>
          <w:sz w:val="18"/>
          <w:szCs w:val="18"/>
          <w:color w:val="auto"/>
        </w:rPr>
        <w:t>Authorizes the repurchase of an additional $100 million in shares of common stock, which increases the amount available under its share repurchase program to $250 million</w:t>
      </w:r>
    </w:p>
    <w:p>
      <w:pPr>
        <w:spacing w:after="0" w:line="213" w:lineRule="exact"/>
        <w:rPr>
          <w:rFonts w:ascii="Courier New" w:cs="Courier New" w:eastAsia="Courier New" w:hAnsi="Courier New"/>
          <w:sz w:val="18"/>
          <w:szCs w:val="18"/>
          <w:color w:val="auto"/>
        </w:rPr>
      </w:pPr>
    </w:p>
    <w:p>
      <w:pPr>
        <w:ind w:left="380" w:hanging="372"/>
        <w:spacing w:after="0"/>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TripAdvisor also announces a strategic partnership with Trip.com Group Limited (Nasdaq: TCOM) (“Trip.com Group”, formerly known as Ctrip.com</w:t>
      </w:r>
    </w:p>
    <w:p>
      <w:pPr>
        <w:spacing w:after="0" w:line="34"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International Ltd. (Nasdaq: CTRP)) that includes a joint venture, a content sharing agreement and a governance agreement</w:t>
      </w:r>
    </w:p>
    <w:p>
      <w:pPr>
        <w:spacing w:after="0" w:line="2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“Q3 was more difficult than we anticipated, but we are taking action,” said Chief Executive Officer Steve Kaufer. “We are driving non-auction revenue growth in our HM&amp;P and E&amp;D segments; we are containing costs; and we are returning more capital to shareholders. We are also excited to announce our strategic partnership with Trip.com Group.”</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2019 Summary</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1060" w:type="dxa"/>
            <w:vAlign w:val="bottom"/>
          </w:tcPr>
          <w:p>
            <w:pPr>
              <w:spacing w:after="0"/>
              <w:rPr>
                <w:sz w:val="14"/>
                <w:szCs w:val="14"/>
                <w:color w:val="auto"/>
              </w:rPr>
            </w:pPr>
          </w:p>
        </w:tc>
        <w:tc>
          <w:tcPr>
            <w:tcW w:w="24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2"/>
              </w:rPr>
              <w:t>Three months ended September 30,</w:t>
            </w:r>
          </w:p>
        </w:tc>
        <w:tc>
          <w:tcPr>
            <w:tcW w:w="120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0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Hotels, Media &amp; Platform</w:t>
            </w:r>
          </w:p>
        </w:tc>
        <w:tc>
          <w:tcPr>
            <w:tcW w:w="172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Experiences &amp; Dining</w:t>
            </w:r>
          </w:p>
        </w:tc>
        <w:tc>
          <w:tcPr>
            <w:tcW w:w="172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GAAP Net Income</w:t>
            </w:r>
          </w:p>
        </w:tc>
        <w:tc>
          <w:tcPr>
            <w:tcW w:w="172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 xml:space="preserve">Total Adjusted EBITDA </w:t>
            </w:r>
            <w:r>
              <w:rPr>
                <w:rFonts w:ascii="Arial" w:cs="Arial" w:eastAsia="Arial" w:hAnsi="Arial"/>
                <w:sz w:val="14"/>
                <w:szCs w:val="14"/>
                <w:color w:val="auto"/>
              </w:rPr>
              <w:t>(1)</w:t>
            </w:r>
          </w:p>
        </w:tc>
        <w:tc>
          <w:tcPr>
            <w:tcW w:w="172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Hotels, Media &amp; Platform</w:t>
            </w:r>
          </w:p>
        </w:tc>
        <w:tc>
          <w:tcPr>
            <w:tcW w:w="172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Experiences &amp; Dining</w:t>
            </w:r>
          </w:p>
        </w:tc>
        <w:tc>
          <w:tcPr>
            <w:tcW w:w="172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Other</w:t>
            </w:r>
          </w:p>
        </w:tc>
        <w:tc>
          <w:tcPr>
            <w:tcW w:w="172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Non-GAAP Net Income </w:t>
            </w:r>
            <w:r>
              <w:rPr>
                <w:rFonts w:ascii="Arial" w:cs="Arial" w:eastAsia="Arial" w:hAnsi="Arial"/>
                <w:sz w:val="14"/>
                <w:szCs w:val="14"/>
                <w:color w:val="auto"/>
              </w:rPr>
              <w:t>(1)</w:t>
            </w:r>
          </w:p>
        </w:tc>
        <w:tc>
          <w:tcPr>
            <w:tcW w:w="172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GAAP</w:t>
            </w:r>
          </w:p>
        </w:tc>
        <w:tc>
          <w:tcPr>
            <w:tcW w:w="172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0.36</w:t>
            </w:r>
          </w:p>
        </w:tc>
        <w:tc>
          <w:tcPr>
            <w:tcW w:w="80" w:type="dxa"/>
            <w:vAlign w:val="bottom"/>
          </w:tcPr>
          <w:p>
            <w:pPr>
              <w:spacing w:after="0"/>
              <w:rPr>
                <w:sz w:val="19"/>
                <w:szCs w:val="19"/>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80"/>
              <w:spacing w:after="0"/>
              <w:rPr>
                <w:sz w:val="20"/>
                <w:szCs w:val="20"/>
                <w:color w:val="auto"/>
              </w:rPr>
            </w:pPr>
            <w:r>
              <w:rPr>
                <w:rFonts w:ascii="Arial" w:cs="Arial" w:eastAsia="Arial" w:hAnsi="Arial"/>
                <w:sz w:val="18"/>
                <w:szCs w:val="18"/>
                <w:color w:val="auto"/>
              </w:rPr>
              <w:t xml:space="preserve">Non-GAAP </w:t>
            </w:r>
            <w:r>
              <w:rPr>
                <w:rFonts w:ascii="Arial" w:cs="Arial" w:eastAsia="Arial" w:hAnsi="Arial"/>
                <w:sz w:val="14"/>
                <w:szCs w:val="14"/>
                <w:color w:val="auto"/>
              </w:rPr>
              <w:t>(1)</w:t>
            </w:r>
          </w:p>
        </w:tc>
        <w:tc>
          <w:tcPr>
            <w:tcW w:w="172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0.58</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operating activities</w:t>
            </w:r>
          </w:p>
        </w:tc>
        <w:tc>
          <w:tcPr>
            <w:tcW w:w="172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4"/>
                <w:szCs w:val="14"/>
                <w:color w:val="auto"/>
              </w:rPr>
              <w:t>(1)</w:t>
            </w:r>
          </w:p>
        </w:tc>
        <w:tc>
          <w:tcPr>
            <w:tcW w:w="172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1440" w:right="720" w:hanging="379"/>
        <w:spacing w:after="0" w:line="238" w:lineRule="auto"/>
        <w:tabs>
          <w:tab w:leader="none" w:pos="1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“Adjusted EBITDA”, “Non-GAAP Net Income”, “Non-GAAP Diluted Earnings per Share”, and “Free cash flow” are non-GAAP measures as defined by the U.S. Securities and Exchange Commission (the “SEC”). Please refer to “Non-GAAP Financial Measures” below for definitions and explanations of these non-GAAP financial measures, as well as tabular reconciliations to the most directly comparable GAAP financial measures.</w:t>
      </w:r>
    </w:p>
    <w:p>
      <w:pPr>
        <w:spacing w:after="0" w:line="3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Chief Financial Officer Ernst Teunissen added, “While hotel click-based auction trends have somewhat dampened our 2019 outlook, we are prudently reducing and re-allocating expenses in certain parts of our business to preserve strong profitability while investing in strategic growth areas. We operate a very profitable, cash-generative business. Our strong balance sheet gives us the flexibility, both now and in the future, to simultaneously invest in growth areas, fund opportunistic M&amp;A and return cash to shareholders.”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2019 Operational and Financial Highlights</w:t>
      </w:r>
    </w:p>
    <w:p>
      <w:pPr>
        <w:spacing w:after="0" w:line="113" w:lineRule="exact"/>
        <w:rPr>
          <w:sz w:val="20"/>
          <w:szCs w:val="20"/>
          <w:color w:val="auto"/>
        </w:rPr>
      </w:pPr>
    </w:p>
    <w:p>
      <w:pPr>
        <w:ind w:left="380" w:hanging="372"/>
        <w:spacing w:after="0" w:line="235" w:lineRule="auto"/>
        <w:tabs>
          <w:tab w:leader="none" w:pos="380" w:val="left"/>
        </w:tabs>
        <w:numPr>
          <w:ilvl w:val="0"/>
          <w:numId w:val="40"/>
        </w:numPr>
        <w:rPr>
          <w:rFonts w:ascii="Arial" w:cs="Arial" w:eastAsia="Arial" w:hAnsi="Arial"/>
          <w:sz w:val="22"/>
          <w:szCs w:val="22"/>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was $428 million, a 7% decrease year-over-year. We estimate that excluding year-over-year changes in foreign currency Total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approximately 5% year-over-year.</w:t>
      </w:r>
    </w:p>
    <w:p>
      <w:pPr>
        <w:ind w:left="380" w:hanging="372"/>
        <w:spacing w:after="0" w:line="237" w:lineRule="auto"/>
        <w:tabs>
          <w:tab w:leader="none" w:pos="380" w:val="left"/>
        </w:tabs>
        <w:numPr>
          <w:ilvl w:val="0"/>
          <w:numId w:val="40"/>
        </w:numPr>
        <w:rPr>
          <w:rFonts w:ascii="Arial" w:cs="Arial" w:eastAsia="Arial" w:hAnsi="Arial"/>
          <w:sz w:val="19"/>
          <w:szCs w:val="19"/>
          <w:color w:val="auto"/>
        </w:rPr>
      </w:pPr>
      <w:r>
        <w:rPr>
          <w:rFonts w:ascii="Arial" w:cs="Arial" w:eastAsia="Arial" w:hAnsi="Arial"/>
          <w:sz w:val="16"/>
          <w:szCs w:val="16"/>
          <w:b w:val="1"/>
          <w:bCs w:val="1"/>
          <w:color w:val="auto"/>
        </w:rPr>
        <w:t xml:space="preserve">GAAP Net Income </w:t>
      </w:r>
      <w:r>
        <w:rPr>
          <w:rFonts w:ascii="Arial" w:cs="Arial" w:eastAsia="Arial" w:hAnsi="Arial"/>
          <w:sz w:val="16"/>
          <w:szCs w:val="16"/>
          <w:color w:val="auto"/>
        </w:rPr>
        <w:t>was $50 million, a 28% decrease year-over-year, while</w:t>
      </w:r>
      <w:r>
        <w:rPr>
          <w:rFonts w:ascii="Arial" w:cs="Arial" w:eastAsia="Arial" w:hAnsi="Arial"/>
          <w:sz w:val="16"/>
          <w:szCs w:val="16"/>
          <w:b w:val="1"/>
          <w:bCs w:val="1"/>
          <w:color w:val="auto"/>
        </w:rPr>
        <w:t xml:space="preserve"> Non-GAAP Net Income </w:t>
      </w:r>
      <w:r>
        <w:rPr>
          <w:rFonts w:ascii="Arial" w:cs="Arial" w:eastAsia="Arial" w:hAnsi="Arial"/>
          <w:sz w:val="16"/>
          <w:szCs w:val="16"/>
          <w:color w:val="auto"/>
        </w:rPr>
        <w:t>was $81 million, a 20% decrease year-over-year.</w:t>
      </w:r>
    </w:p>
    <w:p>
      <w:pPr>
        <w:spacing w:after="0" w:line="29" w:lineRule="exact"/>
        <w:rPr>
          <w:rFonts w:ascii="Arial" w:cs="Arial" w:eastAsia="Arial" w:hAnsi="Arial"/>
          <w:sz w:val="19"/>
          <w:szCs w:val="19"/>
          <w:color w:val="auto"/>
        </w:rPr>
      </w:pPr>
    </w:p>
    <w:p>
      <w:pPr>
        <w:ind w:left="380" w:right="40" w:hanging="372"/>
        <w:spacing w:after="0" w:line="232" w:lineRule="auto"/>
        <w:tabs>
          <w:tab w:leader="none" w:pos="380" w:val="left"/>
        </w:tabs>
        <w:numPr>
          <w:ilvl w:val="0"/>
          <w:numId w:val="40"/>
        </w:numPr>
        <w:rPr>
          <w:rFonts w:ascii="Arial" w:cs="Arial" w:eastAsia="Arial" w:hAnsi="Arial"/>
          <w:sz w:val="22"/>
          <w:szCs w:val="22"/>
          <w:color w:val="auto"/>
        </w:rPr>
      </w:pPr>
      <w:r>
        <w:rPr>
          <w:rFonts w:ascii="Arial" w:cs="Arial" w:eastAsia="Arial" w:hAnsi="Arial"/>
          <w:sz w:val="18"/>
          <w:szCs w:val="18"/>
          <w:b w:val="1"/>
          <w:bCs w:val="1"/>
          <w:color w:val="auto"/>
        </w:rPr>
        <w:t xml:space="preserve">Total Adjusted EBITDA </w:t>
      </w:r>
      <w:r>
        <w:rPr>
          <w:rFonts w:ascii="Arial" w:cs="Arial" w:eastAsia="Arial" w:hAnsi="Arial"/>
          <w:sz w:val="18"/>
          <w:szCs w:val="18"/>
          <w:color w:val="auto"/>
        </w:rPr>
        <w:t>was $129 million, a 12% decrease year-over-year, and</w:t>
      </w:r>
      <w:r>
        <w:rPr>
          <w:rFonts w:ascii="Arial" w:cs="Arial" w:eastAsia="Arial" w:hAnsi="Arial"/>
          <w:sz w:val="18"/>
          <w:szCs w:val="18"/>
          <w:b w:val="1"/>
          <w:bCs w:val="1"/>
          <w:color w:val="auto"/>
        </w:rPr>
        <w:t xml:space="preserve"> Total Adjusted EBITDA margin </w:t>
      </w:r>
      <w:r>
        <w:rPr>
          <w:rFonts w:ascii="Arial" w:cs="Arial" w:eastAsia="Arial" w:hAnsi="Arial"/>
          <w:sz w:val="18"/>
          <w:szCs w:val="18"/>
          <w:color w:val="auto"/>
        </w:rPr>
        <w:t>was 30%, a two percentage point</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year-over-year. We estimate that excluding year-over-year changes in foreign currency Total Adjusted EBITDA decreased approximately 9% year-over-year.</w:t>
      </w:r>
    </w:p>
    <w:p>
      <w:pPr>
        <w:spacing w:after="0" w:line="1" w:lineRule="exact"/>
        <w:rPr>
          <w:rFonts w:ascii="Arial" w:cs="Arial" w:eastAsia="Arial" w:hAnsi="Arial"/>
          <w:sz w:val="22"/>
          <w:szCs w:val="22"/>
          <w:color w:val="auto"/>
        </w:rPr>
      </w:pPr>
    </w:p>
    <w:p>
      <w:pPr>
        <w:ind w:left="380" w:right="160" w:hanging="372"/>
        <w:spacing w:after="0" w:line="237" w:lineRule="auto"/>
        <w:tabs>
          <w:tab w:leader="none" w:pos="380" w:val="left"/>
        </w:tabs>
        <w:numPr>
          <w:ilvl w:val="0"/>
          <w:numId w:val="40"/>
        </w:numPr>
        <w:rPr>
          <w:rFonts w:ascii="Arial" w:cs="Arial" w:eastAsia="Arial" w:hAnsi="Arial"/>
          <w:sz w:val="22"/>
          <w:szCs w:val="22"/>
          <w:color w:val="auto"/>
        </w:rPr>
      </w:pPr>
      <w:r>
        <w:rPr>
          <w:rFonts w:ascii="Arial" w:cs="Arial" w:eastAsia="Arial" w:hAnsi="Arial"/>
          <w:sz w:val="18"/>
          <w:szCs w:val="18"/>
          <w:b w:val="1"/>
          <w:bCs w:val="1"/>
          <w:color w:val="auto"/>
        </w:rPr>
        <w:t xml:space="preserve">Hotels, Media &amp; Platform segment revenue </w:t>
      </w:r>
      <w:r>
        <w:rPr>
          <w:rFonts w:ascii="Arial" w:cs="Arial" w:eastAsia="Arial" w:hAnsi="Arial"/>
          <w:sz w:val="18"/>
          <w:szCs w:val="18"/>
          <w:color w:val="auto"/>
        </w:rPr>
        <w:t>was $238 million, a 12% decrease year-over-year.</w:t>
      </w:r>
      <w:r>
        <w:rPr>
          <w:rFonts w:ascii="Arial" w:cs="Arial" w:eastAsia="Arial" w:hAnsi="Arial"/>
          <w:sz w:val="18"/>
          <w:szCs w:val="18"/>
          <w:b w:val="1"/>
          <w:bCs w:val="1"/>
          <w:color w:val="auto"/>
        </w:rPr>
        <w:t xml:space="preserve"> Hotels, Media &amp; Platform segment Adjusted EBITDA </w:t>
      </w:r>
      <w:r>
        <w:rPr>
          <w:rFonts w:ascii="Arial" w:cs="Arial" w:eastAsia="Arial" w:hAnsi="Arial"/>
          <w:sz w:val="18"/>
          <w:szCs w:val="18"/>
          <w:color w:val="auto"/>
        </w:rPr>
        <w:t>was $93 million, a 4% decrease year-over-year, and</w:t>
      </w:r>
      <w:r>
        <w:rPr>
          <w:rFonts w:ascii="Arial" w:cs="Arial" w:eastAsia="Arial" w:hAnsi="Arial"/>
          <w:sz w:val="18"/>
          <w:szCs w:val="18"/>
          <w:b w:val="1"/>
          <w:bCs w:val="1"/>
          <w:color w:val="auto"/>
        </w:rPr>
        <w:t xml:space="preserve"> Hotels, Media &amp; Platform segment Adjusted EBITDA margin </w:t>
      </w:r>
      <w:r>
        <w:rPr>
          <w:rFonts w:ascii="Arial" w:cs="Arial" w:eastAsia="Arial" w:hAnsi="Arial"/>
          <w:sz w:val="18"/>
          <w:szCs w:val="18"/>
          <w:color w:val="auto"/>
        </w:rPr>
        <w:t>was 39%, a three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point increase year-over-year. We estimate that excluding changes in foreign currency Total Hotels, Media &amp; Platform Segment Adjusted EBITDA decreased approximately 2% year-over-year.</w:t>
      </w:r>
    </w:p>
    <w:p>
      <w:pPr>
        <w:spacing w:after="0" w:line="1" w:lineRule="exact"/>
        <w:rPr>
          <w:rFonts w:ascii="Arial" w:cs="Arial" w:eastAsia="Arial" w:hAnsi="Arial"/>
          <w:sz w:val="22"/>
          <w:szCs w:val="22"/>
          <w:color w:val="auto"/>
        </w:rPr>
      </w:pPr>
    </w:p>
    <w:p>
      <w:pPr>
        <w:ind w:left="380" w:right="100" w:hanging="372"/>
        <w:spacing w:after="0" w:line="233" w:lineRule="auto"/>
        <w:tabs>
          <w:tab w:leader="none" w:pos="380" w:val="left"/>
        </w:tabs>
        <w:numPr>
          <w:ilvl w:val="0"/>
          <w:numId w:val="40"/>
        </w:numPr>
        <w:rPr>
          <w:rFonts w:ascii="Arial" w:cs="Arial" w:eastAsia="Arial" w:hAnsi="Arial"/>
          <w:sz w:val="22"/>
          <w:szCs w:val="22"/>
          <w:color w:val="auto"/>
        </w:rPr>
      </w:pPr>
      <w:r>
        <w:rPr>
          <w:rFonts w:ascii="Arial" w:cs="Arial" w:eastAsia="Arial" w:hAnsi="Arial"/>
          <w:sz w:val="18"/>
          <w:szCs w:val="18"/>
          <w:b w:val="1"/>
          <w:bCs w:val="1"/>
          <w:color w:val="auto"/>
        </w:rPr>
        <w:t xml:space="preserve">Experiences &amp; Dining segment revenue </w:t>
      </w:r>
      <w:r>
        <w:rPr>
          <w:rFonts w:ascii="Arial" w:cs="Arial" w:eastAsia="Arial" w:hAnsi="Arial"/>
          <w:sz w:val="18"/>
          <w:szCs w:val="18"/>
          <w:color w:val="auto"/>
        </w:rPr>
        <w:t>grew 19% to $141 million, while</w:t>
      </w:r>
      <w:r>
        <w:rPr>
          <w:rFonts w:ascii="Arial" w:cs="Arial" w:eastAsia="Arial" w:hAnsi="Arial"/>
          <w:sz w:val="18"/>
          <w:szCs w:val="18"/>
          <w:b w:val="1"/>
          <w:bCs w:val="1"/>
          <w:color w:val="auto"/>
        </w:rPr>
        <w:t xml:space="preserve"> Experiences &amp; Dining segment Adjusted EBITDA </w:t>
      </w:r>
      <w:r>
        <w:rPr>
          <w:rFonts w:ascii="Arial" w:cs="Arial" w:eastAsia="Arial" w:hAnsi="Arial"/>
          <w:sz w:val="18"/>
          <w:szCs w:val="18"/>
          <w:color w:val="auto"/>
        </w:rPr>
        <w:t>reflected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growth investments. We estimate that excluding year-over-year changes in foreign currency Total Experiences &amp; Dining Segment Revenue grew approximately 23%.</w:t>
      </w:r>
    </w:p>
    <w:p>
      <w:pPr>
        <w:ind w:left="380" w:right="500" w:hanging="372"/>
        <w:spacing w:after="0" w:line="225" w:lineRule="auto"/>
        <w:tabs>
          <w:tab w:leader="none" w:pos="380" w:val="left"/>
        </w:tabs>
        <w:numPr>
          <w:ilvl w:val="0"/>
          <w:numId w:val="40"/>
        </w:numPr>
        <w:rPr>
          <w:rFonts w:ascii="Arial" w:cs="Arial" w:eastAsia="Arial" w:hAnsi="Arial"/>
          <w:sz w:val="22"/>
          <w:szCs w:val="22"/>
          <w:color w:val="auto"/>
        </w:rPr>
      </w:pPr>
      <w:r>
        <w:rPr>
          <w:rFonts w:ascii="Arial" w:cs="Arial" w:eastAsia="Arial" w:hAnsi="Arial"/>
          <w:sz w:val="18"/>
          <w:szCs w:val="18"/>
          <w:b w:val="1"/>
          <w:bCs w:val="1"/>
          <w:color w:val="auto"/>
        </w:rPr>
        <w:t xml:space="preserve">Other revenue </w:t>
      </w:r>
      <w:r>
        <w:rPr>
          <w:rFonts w:ascii="Arial" w:cs="Arial" w:eastAsia="Arial" w:hAnsi="Arial"/>
          <w:sz w:val="18"/>
          <w:szCs w:val="18"/>
          <w:color w:val="auto"/>
        </w:rPr>
        <w:t>decreased 30% to $49 million, primarily driven by the elimination of some marginal and unprofitable revenue within some non-TripAdvisor branded offerings near the end of last year, which reduced revenue and increased profitability.</w:t>
      </w:r>
    </w:p>
    <w:p>
      <w:pPr>
        <w:ind w:left="380" w:hanging="372"/>
        <w:spacing w:after="0" w:line="237" w:lineRule="auto"/>
        <w:tabs>
          <w:tab w:leader="none" w:pos="380" w:val="left"/>
        </w:tabs>
        <w:numPr>
          <w:ilvl w:val="0"/>
          <w:numId w:val="40"/>
        </w:numPr>
        <w:rPr>
          <w:rFonts w:ascii="Arial" w:cs="Arial" w:eastAsia="Arial" w:hAnsi="Arial"/>
          <w:sz w:val="19"/>
          <w:szCs w:val="19"/>
          <w:color w:val="auto"/>
        </w:rPr>
      </w:pPr>
      <w:r>
        <w:rPr>
          <w:rFonts w:ascii="Arial" w:cs="Arial" w:eastAsia="Arial" w:hAnsi="Arial"/>
          <w:sz w:val="16"/>
          <w:szCs w:val="16"/>
          <w:b w:val="1"/>
          <w:bCs w:val="1"/>
          <w:color w:val="auto"/>
        </w:rPr>
        <w:t xml:space="preserve">Cash and cash equivalents and short-term marketable securities </w:t>
      </w:r>
      <w:r>
        <w:rPr>
          <w:rFonts w:ascii="Arial" w:cs="Arial" w:eastAsia="Arial" w:hAnsi="Arial"/>
          <w:sz w:val="16"/>
          <w:szCs w:val="16"/>
          <w:color w:val="auto"/>
        </w:rPr>
        <w:t>was $933 million and there was no outstanding debt as of September 30, 2019.</w:t>
      </w:r>
    </w:p>
    <w:p>
      <w:pPr>
        <w:spacing w:after="0" w:line="29" w:lineRule="exact"/>
        <w:rPr>
          <w:rFonts w:ascii="Arial" w:cs="Arial" w:eastAsia="Arial" w:hAnsi="Arial"/>
          <w:sz w:val="19"/>
          <w:szCs w:val="19"/>
          <w:color w:val="auto"/>
        </w:rPr>
      </w:pPr>
    </w:p>
    <w:p>
      <w:pPr>
        <w:ind w:left="380" w:right="160" w:hanging="372"/>
        <w:spacing w:after="0" w:line="236" w:lineRule="auto"/>
        <w:tabs>
          <w:tab w:leader="none" w:pos="380" w:val="left"/>
        </w:tabs>
        <w:numPr>
          <w:ilvl w:val="0"/>
          <w:numId w:val="40"/>
        </w:numPr>
        <w:rPr>
          <w:rFonts w:ascii="Arial" w:cs="Arial" w:eastAsia="Arial" w:hAnsi="Arial"/>
          <w:sz w:val="21"/>
          <w:szCs w:val="21"/>
          <w:color w:val="auto"/>
        </w:rPr>
      </w:pPr>
      <w:r>
        <w:rPr>
          <w:rFonts w:ascii="Arial" w:cs="Arial" w:eastAsia="Arial" w:hAnsi="Arial"/>
          <w:sz w:val="17"/>
          <w:szCs w:val="17"/>
          <w:b w:val="1"/>
          <w:bCs w:val="1"/>
          <w:color w:val="auto"/>
        </w:rPr>
        <w:t xml:space="preserve">Cash flow from operating activities </w:t>
      </w:r>
      <w:r>
        <w:rPr>
          <w:rFonts w:ascii="Arial" w:cs="Arial" w:eastAsia="Arial" w:hAnsi="Arial"/>
          <w:sz w:val="17"/>
          <w:szCs w:val="17"/>
          <w:color w:val="auto"/>
        </w:rPr>
        <w:t>for the three months ended September 30, 2019 decreased by $13 million.</w:t>
      </w:r>
      <w:r>
        <w:rPr>
          <w:rFonts w:ascii="Arial" w:cs="Arial" w:eastAsia="Arial" w:hAnsi="Arial"/>
          <w:sz w:val="17"/>
          <w:szCs w:val="17"/>
          <w:b w:val="1"/>
          <w:bCs w:val="1"/>
          <w:color w:val="auto"/>
        </w:rPr>
        <w:t xml:space="preserve"> Free cash flow </w:t>
      </w:r>
      <w:r>
        <w:rPr>
          <w:rFonts w:ascii="Arial" w:cs="Arial" w:eastAsia="Arial" w:hAnsi="Arial"/>
          <w:sz w:val="17"/>
          <w:szCs w:val="17"/>
          <w:color w:val="auto"/>
        </w:rPr>
        <w:t>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2019 decreased by $21 million year-over-year, reflecting an increase in capital expenditures year-over-year.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2019 Revenue by Source</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tcPr>
          <w:p>
            <w:pPr>
              <w:spacing w:after="0"/>
              <w:rPr>
                <w:sz w:val="14"/>
                <w:szCs w:val="14"/>
                <w:color w:val="auto"/>
              </w:rPr>
            </w:pPr>
          </w:p>
        </w:tc>
        <w:tc>
          <w:tcPr>
            <w:tcW w:w="23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4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Hotels, Media &amp; Platform</w:t>
            </w:r>
          </w:p>
        </w:tc>
        <w:tc>
          <w:tcPr>
            <w:tcW w:w="11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TripAdvisor-branded hotels</w:t>
            </w:r>
          </w:p>
        </w:tc>
        <w:tc>
          <w:tcPr>
            <w:tcW w:w="1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TripAdvisor-branded display and platform</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Experiences &amp; Dining</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440" w:hanging="379"/>
        <w:spacing w:after="0"/>
        <w:tabs>
          <w:tab w:leader="none" w:pos="1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consists of our Rentals, Flights/Cruises/Car Rentals, SmarterTravel and TripAdvisor China business units.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Declares Special Cash Dividend and Increase in Share Repurchase Program</w:t>
      </w:r>
    </w:p>
    <w:p>
      <w:pPr>
        <w:spacing w:after="0" w:line="2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1, 2019, TripAdvisor's Board of Directors declared a special cash dividend of $3.50 per share, or estimated at approximately $490 million in the aggregate. The dividend is payable on December 4, 2019 to stockholders of record on November 20, 2019.</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November 1, 2019, TripAdvisor's Board of Directors also authorized the repurchase of an additional $100 million in shares of our common stock under our existing share repurchase program, which increased the amount available to TripAdvisor under this share repurchase program to $250 million.</w:t>
      </w:r>
    </w:p>
    <w:p>
      <w:pPr>
        <w:spacing w:after="0"/>
        <w:rPr>
          <w:sz w:val="20"/>
          <w:szCs w:val="20"/>
          <w:color w:val="auto"/>
        </w:rPr>
      </w:pPr>
      <w:r>
        <w:rPr>
          <w:rFonts w:ascii="Arial" w:cs="Arial" w:eastAsia="Arial" w:hAnsi="Arial"/>
          <w:sz w:val="18"/>
          <w:szCs w:val="18"/>
          <w:b w:val="1"/>
          <w:bCs w:val="1"/>
          <w:i w:val="1"/>
          <w:iCs w:val="1"/>
          <w:color w:val="auto"/>
        </w:rPr>
        <w:t>TripAdvisor Enters Strategic Partnership with Trip.com Group Limited</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269" w:right="419" w:bottom="1440" w:gutter="0" w:footer="0" w:header="0"/>
        </w:sectPr>
      </w:pPr>
    </w:p>
    <w:bookmarkStart w:id="38" w:name="page39"/>
    <w:bookmarkEnd w:id="38"/>
    <w:p>
      <w:pPr>
        <w:spacing w:after="0" w:line="291" w:lineRule="auto"/>
        <w:rPr>
          <w:sz w:val="20"/>
          <w:szCs w:val="20"/>
          <w:color w:val="auto"/>
        </w:rPr>
      </w:pPr>
      <w:r>
        <w:rPr>
          <w:rFonts w:ascii="Arial" w:cs="Arial" w:eastAsia="Arial" w:hAnsi="Arial"/>
          <w:sz w:val="16"/>
          <w:szCs w:val="16"/>
          <w:color w:val="auto"/>
        </w:rPr>
        <w:t>On November 6, 2019, TripAdvisor’s subsidiary TripAdvisor Singapore Private Limited entered into a joint venture with Ctrip Investment Holding Ltd, a subsidiary of Trip.com Group. This strategic partnership pairs Trip.com Group’s market leadership in travel booking capabilities and China travel market expertise with TripAdvisor’s unique brand strength, rich global user-generated content, and points-of-interest database, as well as best-in-class in-destination supply. Under the terms of the transaction, Trip.com Group will be the majority shareholder of a new joint venture entity and will contribute cash and market expertise. TripAdvisor will own 40% of the joint venture, and will contribute a long-term exclusive brand and content license and certain other assets of its China business. Both companies have also agreed to share inventories in travel categories at the joint venture level. TripAdvisor anticipates its contribution of China assets to the joint venture will not have a significant impact on its ongoing consolidated operating results.</w:t>
      </w:r>
    </w:p>
    <w:p>
      <w:pPr>
        <w:spacing w:after="0" w:line="16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Simultaneously, Trip.com Group and TripAdvisor’s subsidiary have entered into Global Content Agreements providing for distribution of selected TripAdvisor content on Trip.com Group brands, including Trip.com, Ctrip, Skyscanner and Qunar. The parties also entered into a Governance Agreement pursuant to which Trip.com Group will have a nomination right for one TripAdvisor, Inc. Board seat commencing upon the relevant regulatory bodies' approvals of the transaction. To maintain this nomination right, Trip.com Group must acquire up to 6.95 million TripAdvisor shares or TripAdvisor shares valued at $317.6 million through open market transactions within one year following the regulatory approvals. TripAdvisor and its controlling stockholder, Liberty TripAdvisor Holdings, Inc. (“LTRP”), have separately agreed to provide Trip.com Group with certain information rights with respect to certain potential transactions for the sale of TripAdvisor Class B shares or LTRP Series B shares,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Services Tax</w:t>
      </w:r>
    </w:p>
    <w:p>
      <w:pPr>
        <w:spacing w:after="0" w:line="23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OECD/G20 Inclusive Framework have issued various guidelines, policy notes, and proposals that if adopted may result in an overhaul of the international taxation system under which our current tax obligations are determined. As the OECD/G20 Inclusive Framework drives toward a consensus long-term solution, several countries have introduced unilateral initiatives which impose new types of non-income taxes, including taxes based on a percentage of revenue. Several countries in which we do business have proposed or enacted taxes applicable to digital services such as online advertising, social media platforms, and online marketplaces. In July 2019, France signed into law a 3% digital services tax to be applied retroactively as of January 1, 2019. TripAdvisor recorded $3 million in the third quarter of 2019 in general and administrative expense (as a non-income tax) as an estimate of its tax liability under such digital services tax for the first nine months of 2019. For the full year 2019, TripAdvisor estimates that its digital services tax liability will be only slightly higher. Other countries, such as Italy, Spain, and the United Kingdom, have also proposed similar taxes likely to be applicable for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0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TripAdvisor posted prepared remarks and supplemental financial information on the Investor Relations section of TripAdvisor’s website at </w:t>
      </w:r>
      <w:r>
        <w:rPr>
          <w:rFonts w:ascii="Arial" w:cs="Arial" w:eastAsia="Arial" w:hAnsi="Arial"/>
          <w:sz w:val="17"/>
          <w:szCs w:val="17"/>
          <w:u w:val="single" w:color="auto"/>
          <w:color w:val="auto"/>
        </w:rPr>
        <w:t>http://ir.tripadvisor.com</w:t>
      </w:r>
      <w:r>
        <w:rPr>
          <w:rFonts w:ascii="Arial" w:cs="Arial" w:eastAsia="Arial" w:hAnsi="Arial"/>
          <w:sz w:val="17"/>
          <w:szCs w:val="17"/>
          <w:color w:val="auto"/>
        </w:rPr>
        <w:t xml:space="preserve">. TripAdvisor will host a conference call tomorrow, November 7, 2019, at 8:30 a.m., Eastern Time, to discuss TripAdvisor’s third quarter 2019 operating results, as well as other forward-looking information about TripAdvisor’s business. Domestic callers may access the earnings conference call by dialing (877) 224-9081 (International callers, dial (224) 357-2223). Investors and other interested parties may also go to the Investor Relations section of TripAdvisor’s website at </w:t>
      </w:r>
      <w:r>
        <w:rPr>
          <w:rFonts w:ascii="Arial" w:cs="Arial" w:eastAsia="Arial" w:hAnsi="Arial"/>
          <w:sz w:val="17"/>
          <w:szCs w:val="17"/>
          <w:u w:val="single" w:color="auto"/>
          <w:color w:val="auto"/>
        </w:rPr>
        <w:t>http://ir.tripadvisor.com</w:t>
      </w:r>
      <w:r>
        <w:rPr>
          <w:rFonts w:ascii="Arial" w:cs="Arial" w:eastAsia="Arial" w:hAnsi="Arial"/>
          <w:sz w:val="17"/>
          <w:szCs w:val="17"/>
          <w:color w:val="auto"/>
        </w:rPr>
        <w:t xml:space="preserve"> for a live webcast of the conference call. Please access the website at least 15 minutes prior to the call to register, download, and install any necessary audio software. A replay of the conference call will be available on TripAdvisor’s website noted above or by phone (dial (855) 859-2056 and enter the passcode 4048509) until November 13, 2019 and the webcast will be accessible at </w:t>
      </w:r>
      <w:r>
        <w:rPr>
          <w:rFonts w:ascii="Arial" w:cs="Arial" w:eastAsia="Arial" w:hAnsi="Arial"/>
          <w:sz w:val="17"/>
          <w:szCs w:val="17"/>
          <w:u w:val="single" w:color="auto"/>
          <w:color w:val="auto"/>
        </w:rPr>
        <w:t>http://ir.tripadvisor.com/events-and-presentations</w:t>
      </w:r>
      <w:r>
        <w:rPr>
          <w:rFonts w:ascii="Arial" w:cs="Arial" w:eastAsia="Arial" w:hAnsi="Arial"/>
          <w:sz w:val="17"/>
          <w:szCs w:val="17"/>
          <w:color w:val="auto"/>
        </w:rPr>
        <w:t xml:space="preserve"> for at least twelve months following the conference call.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TripAdvisor</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TripAdvisor (NASDAQ:TRIP), the world's largest travel platform*, helps nearly 460 million travelers each month** make every trip their best trip. Travelers across the globe use the TripAdvisor site and app to browse more than 830 million reviews and opinions of 8.6 million accommodations, restaurants, experiences, airlines and cruises. Whether planning or on a trip, travelers turn to TripAdvisor to compare low prices on hotels, flights and cruises, book popular tours and attractions, as well as reserve tables at great restaurants. TripAdvisor, the ultimate travel companion, is available in 49 markets and 28 languages.</w:t>
      </w:r>
    </w:p>
    <w:p>
      <w:pPr>
        <w:spacing w:after="0" w:line="80"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 xml:space="preserve">The subsidiaries and affiliates of TripAdvisor, Inc. own and operate a portfolio of websites and businesses, including the following travel media brands: </w:t>
      </w:r>
      <w:r>
        <w:rPr>
          <w:rFonts w:ascii="Arial" w:cs="Arial" w:eastAsia="Arial" w:hAnsi="Arial"/>
          <w:sz w:val="18"/>
          <w:szCs w:val="18"/>
          <w:u w:val="single" w:color="auto"/>
          <w:color w:val="202D95"/>
        </w:rPr>
        <w:t>www.airfarewatchdog.com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www.bokun.io</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www.bookingbuddy.com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www.cruisecritic.com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www.familyvacationcritic.com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www.flipkey.com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www.thefork.com</w:t>
      </w:r>
      <w:r>
        <w:rPr>
          <w:rFonts w:ascii="Arial" w:cs="Arial" w:eastAsia="Arial" w:hAnsi="Arial"/>
          <w:sz w:val="18"/>
          <w:szCs w:val="18"/>
          <w:color w:val="202D95"/>
        </w:rPr>
        <w:t xml:space="preserve"> </w:t>
      </w:r>
      <w:r>
        <w:rPr>
          <w:rFonts w:ascii="Arial" w:cs="Arial" w:eastAsia="Arial" w:hAnsi="Arial"/>
          <w:sz w:val="18"/>
          <w:szCs w:val="18"/>
          <w:color w:val="000000"/>
          <w:highlight w:val="white"/>
        </w:rPr>
        <w:t>(including</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www.lafourchette.com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www.eltenedor.com</w:t>
      </w:r>
      <w:r>
        <w:rPr>
          <w:rFonts w:ascii="Arial" w:cs="Arial" w:eastAsia="Arial" w:hAnsi="Arial"/>
          <w:sz w:val="18"/>
          <w:szCs w:val="18"/>
          <w:color w:val="000000"/>
          <w:highlight w:val="white"/>
        </w:rPr>
        <w:t>, and</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www.restorando.com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www.holidaylettings.co.uk</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www.holidaywatchdog.com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www.housetrip.com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www.jetsetter.com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www.niumba.com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www.onetime.com</w:t>
      </w:r>
      <w:r>
        <w:rPr>
          <w:rFonts w:ascii="Arial" w:cs="Arial" w:eastAsia="Arial" w:hAnsi="Arial"/>
          <w:sz w:val="18"/>
          <w:szCs w:val="18"/>
          <w:color w:val="000000"/>
          <w:highlight w:val="white"/>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www.oyster.com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www.seatguru.com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www.smartertravel.com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www.tingo.com</w:t>
      </w:r>
      <w:r>
        <w:rPr>
          <w:rFonts w:ascii="Arial" w:cs="Arial" w:eastAsia="Arial" w:hAnsi="Arial"/>
          <w:sz w:val="18"/>
          <w:szCs w:val="18"/>
          <w:color w:val="000000"/>
        </w:rPr>
        <w:t>,</w:t>
      </w:r>
      <w:r>
        <w:rPr>
          <w:rFonts w:ascii="Arial" w:cs="Arial" w:eastAsia="Arial" w:hAnsi="Arial"/>
          <w:sz w:val="18"/>
          <w:szCs w:val="18"/>
          <w:color w:val="202D95"/>
        </w:rPr>
        <w:t xml:space="preserve"> </w:t>
      </w:r>
      <w:r>
        <w:rPr>
          <w:rFonts w:ascii="Arial" w:cs="Arial" w:eastAsia="Arial" w:hAnsi="Arial"/>
          <w:sz w:val="18"/>
          <w:szCs w:val="18"/>
          <w:u w:val="single" w:color="auto"/>
          <w:color w:val="202D95"/>
        </w:rPr>
        <w:t>www.vacationhomerentals.com</w:t>
      </w:r>
      <w:r>
        <w:rPr>
          <w:rFonts w:ascii="Arial" w:cs="Arial" w:eastAsia="Arial" w:hAnsi="Arial"/>
          <w:sz w:val="18"/>
          <w:szCs w:val="18"/>
          <w:color w:val="000000"/>
          <w:highlight w:val="white"/>
        </w:rPr>
        <w:t>, and</w:t>
      </w:r>
      <w:r>
        <w:rPr>
          <w:rFonts w:ascii="Arial" w:cs="Arial" w:eastAsia="Arial" w:hAnsi="Arial"/>
          <w:sz w:val="18"/>
          <w:szCs w:val="18"/>
          <w:color w:val="202D95"/>
        </w:rPr>
        <w:t xml:space="preserve"> </w:t>
      </w:r>
      <w:r>
        <w:rPr>
          <w:rFonts w:ascii="Arial" w:cs="Arial" w:eastAsia="Arial" w:hAnsi="Arial"/>
          <w:sz w:val="18"/>
          <w:szCs w:val="18"/>
          <w:u w:val="single" w:color="auto"/>
          <w:color w:val="202D95"/>
          <w:highlight w:val="white"/>
        </w:rPr>
        <w:t>www.viator.com</w:t>
      </w:r>
      <w:r>
        <w:rPr>
          <w:rFonts w:ascii="Arial" w:cs="Arial" w:eastAsia="Arial" w:hAnsi="Arial"/>
          <w:sz w:val="18"/>
          <w:szCs w:val="18"/>
          <w:color w:val="000000"/>
          <w:highlight w:val="white"/>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Source: Jumpshot for TripAdvisor Sites, worldwide, June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Source: TripAdvisor internal log files, average monthly unique visitors, Q3 2019</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2"/>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(1)</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Technology and content (1)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(1)</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attributable to common stockholders: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Short-term marketable securities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8"/>
              </w:rPr>
              <w:t>Accounts receivable and contract assets, net of allowance for doubtful accounts of $24 and $21, respectively</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Property and equipment, net of accumulated depreciation of $296 and $240, respectively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lease right-of-use assets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$160 and $140, respectively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Preferred stock, $0.001 par value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100,000,000</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480"/>
              <w:spacing w:after="0"/>
              <w:rPr>
                <w:sz w:val="20"/>
                <w:szCs w:val="20"/>
                <w:color w:val="auto"/>
              </w:rPr>
            </w:pPr>
            <w:r>
              <w:rPr>
                <w:rFonts w:ascii="Arial" w:cs="Arial" w:eastAsia="Arial" w:hAnsi="Arial"/>
                <w:sz w:val="16"/>
                <w:szCs w:val="16"/>
                <w:color w:val="auto"/>
              </w:rPr>
              <w:t>Shares issued and outstanding: 0 and 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$0.001 par value</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480"/>
              <w:spacing w:after="0"/>
              <w:rPr>
                <w:sz w:val="20"/>
                <w:szCs w:val="20"/>
                <w:color w:val="auto"/>
              </w:rPr>
            </w:pPr>
            <w:r>
              <w:rPr>
                <w:rFonts w:ascii="Arial" w:cs="Arial" w:eastAsia="Arial" w:hAnsi="Arial"/>
                <w:sz w:val="16"/>
                <w:szCs w:val="16"/>
                <w:color w:val="auto"/>
              </w:rPr>
              <w:t>Authorized shares: 1,600,000,000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138,615,848 and 137,158,010, respectively</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480"/>
              <w:spacing w:after="0"/>
              <w:rPr>
                <w:sz w:val="20"/>
                <w:szCs w:val="20"/>
                <w:color w:val="auto"/>
              </w:rPr>
            </w:pPr>
            <w:r>
              <w:rPr>
                <w:rFonts w:ascii="Arial" w:cs="Arial" w:eastAsia="Arial" w:hAnsi="Arial"/>
                <w:sz w:val="16"/>
                <w:szCs w:val="16"/>
                <w:color w:val="auto"/>
              </w:rPr>
              <w:t>Shares outstanding: 126,559,160 and 125,101,322, respectively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B common stock, $0.001 par value</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ind w:left="480"/>
              <w:spacing w:after="0"/>
              <w:rPr>
                <w:sz w:val="20"/>
                <w:szCs w:val="20"/>
                <w:color w:val="auto"/>
              </w:rPr>
            </w:pPr>
            <w:r>
              <w:rPr>
                <w:rFonts w:ascii="Arial" w:cs="Arial" w:eastAsia="Arial" w:hAnsi="Arial"/>
                <w:sz w:val="16"/>
                <w:szCs w:val="16"/>
                <w:color w:val="auto"/>
              </w:rPr>
              <w:t>Authorized shares: 400,000,000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8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Retained earnings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stock-common stock, at cost, 12,056,688 and 12,056,688 shares, respectively</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6"/>
                <w:szCs w:val="16"/>
                <w:color w:val="auto"/>
              </w:rPr>
              <w:t>Total Stockholders’ Equity</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6"/>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Depreciation of property and equipment, including amortization of internal-</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use software and website development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Deferred tax expense (benefit)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w w:val="95"/>
              </w:rPr>
              <w:t>Changes in operating assets and liabilities, net of effects from acquisitions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Capital expenditures, including internal-use software and website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Sales of marketable securities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marketable securities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Acquisitions and other investments, net of cash acquired, and other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investing activities, net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2015 credit facility</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Payments to 2015 credit facility</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Payments to Chinese credit facilities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w w:val="98"/>
              </w:rPr>
              <w:t>Payment of withholding taxes on net share settlements of equity awards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activities, net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0"/>
              </w:rPr>
              <w:t>(354)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Effect of exchange rate changes on cash, cash equivalents and restricted</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w:t>
            </w:r>
          </w:p>
        </w:tc>
        <w:tc>
          <w:tcPr>
            <w:tcW w:w="7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Net increase (decrease) in cash, cash equivalents and restricted cash</w:t>
            </w: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w w:val="93"/>
              </w:rPr>
              <w:t>September 30, 2019</w:t>
            </w: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94"/>
              </w:rPr>
              <w:t>September 30, 2018</w:t>
            </w:r>
          </w:p>
        </w:tc>
        <w:tc>
          <w:tcPr>
            <w:tcW w:w="460" w:type="dxa"/>
            <w:vAlign w:val="bottom"/>
          </w:tcPr>
          <w:p>
            <w:pPr>
              <w:spacing w:after="0"/>
              <w:rPr>
                <w:sz w:val="13"/>
                <w:szCs w:val="13"/>
                <w:color w:val="auto"/>
              </w:rPr>
            </w:pPr>
          </w:p>
        </w:tc>
        <w:tc>
          <w:tcPr>
            <w:tcW w:w="1480" w:type="dxa"/>
            <w:vAlign w:val="bottom"/>
            <w:tcBorders>
              <w:top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c>
          <w:tcPr>
            <w:tcW w:w="4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4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Total Adjusted EBITDA </w:t>
            </w:r>
            <w:r>
              <w:rPr>
                <w:rFonts w:ascii="Arial" w:cs="Arial" w:eastAsia="Arial" w:hAnsi="Arial"/>
                <w:sz w:val="14"/>
                <w:szCs w:val="14"/>
                <w:color w:val="auto"/>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Borders>
              <w:bottom w:val="single" w:sz="8" w:color="CFF0FC"/>
            </w:tcBorders>
          </w:tcPr>
          <w:p>
            <w:pPr>
              <w:spacing w:after="0"/>
              <w:rPr>
                <w:sz w:val="22"/>
                <w:szCs w:val="22"/>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2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24%</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Total Adjusted EBITDA Margin </w:t>
            </w:r>
            <w:r>
              <w:rPr>
                <w:rFonts w:ascii="Arial" w:cs="Arial" w:eastAsia="Arial" w:hAnsi="Arial"/>
                <w:sz w:val="14"/>
                <w:szCs w:val="14"/>
                <w:color w:val="auto"/>
              </w:rPr>
              <w:t>(2)</w:t>
            </w:r>
          </w:p>
        </w:tc>
        <w:tc>
          <w:tcPr>
            <w:tcW w:w="1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32%</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Margin</w:t>
            </w:r>
          </w:p>
        </w:tc>
        <w:tc>
          <w:tcPr>
            <w:tcW w:w="120" w:type="dxa"/>
            <w:vAlign w:val="bottom"/>
          </w:tcPr>
          <w:p>
            <w:pPr>
              <w:spacing w:after="0"/>
              <w:rPr>
                <w:sz w:val="20"/>
                <w:szCs w:val="20"/>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September 30, 2019</w:t>
            </w:r>
          </w:p>
        </w:tc>
        <w:tc>
          <w:tcPr>
            <w:tcW w:w="160" w:type="dxa"/>
            <w:vAlign w:val="bottom"/>
          </w:tcPr>
          <w:p>
            <w:pPr>
              <w:spacing w:after="0"/>
              <w:rPr>
                <w:sz w:val="20"/>
                <w:szCs w:val="20"/>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4"/>
              </w:rPr>
              <w:t>September 30, 2018</w:t>
            </w: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746</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795</w:t>
            </w:r>
          </w:p>
        </w:tc>
        <w:tc>
          <w:tcPr>
            <w:tcW w:w="46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4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460" w:type="dxa"/>
            <w:vAlign w:val="bottom"/>
            <w:tcBorders>
              <w:bottom w:val="single" w:sz="8" w:color="CFF0FC"/>
            </w:tcBorders>
          </w:tcPr>
          <w:p>
            <w:pPr>
              <w:spacing w:after="0"/>
              <w:rPr>
                <w:sz w:val="21"/>
                <w:szCs w:val="21"/>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4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46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4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46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tcPr>
          <w:p>
            <w:pPr>
              <w:spacing w:after="0"/>
              <w:rPr>
                <w:sz w:val="21"/>
                <w:szCs w:val="21"/>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Total Adjusted EBITDA </w:t>
            </w:r>
            <w:r>
              <w:rPr>
                <w:rFonts w:ascii="Arial" w:cs="Arial" w:eastAsia="Arial" w:hAnsi="Arial"/>
                <w:sz w:val="14"/>
                <w:szCs w:val="14"/>
                <w:color w:val="auto"/>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460" w:type="dxa"/>
            <w:vAlign w:val="bottom"/>
            <w:tcBorders>
              <w:bottom w:val="single" w:sz="8" w:color="CFF0FC"/>
            </w:tcBorders>
          </w:tcPr>
          <w:p>
            <w:pPr>
              <w:spacing w:after="0"/>
              <w:rPr>
                <w:sz w:val="24"/>
                <w:szCs w:val="24"/>
                <w:color w:val="auto"/>
              </w:rPr>
            </w:pPr>
          </w:p>
        </w:tc>
        <w:tc>
          <w:tcPr>
            <w:tcW w:w="17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2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14%</w:t>
            </w: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Total Adjusted EBITDA Margin </w:t>
            </w:r>
            <w:r>
              <w:rPr>
                <w:rFonts w:ascii="Arial" w:cs="Arial" w:eastAsia="Arial" w:hAnsi="Arial"/>
                <w:sz w:val="14"/>
                <w:szCs w:val="14"/>
                <w:color w:val="auto"/>
              </w:rPr>
              <w:t>(2)</w:t>
            </w:r>
          </w:p>
        </w:tc>
        <w:tc>
          <w:tcPr>
            <w:tcW w:w="1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26%</w:t>
            </w: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Margin</w:t>
            </w:r>
          </w:p>
        </w:tc>
        <w:tc>
          <w:tcPr>
            <w:tcW w:w="12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136"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Flights/Cruises/Car Rentals, SmarterTravel and TripAdvisor China business units.</w:t>
      </w:r>
    </w:p>
    <w:p>
      <w:pPr>
        <w:ind w:left="360" w:right="1320" w:hanging="352"/>
        <w:spacing w:after="0" w:line="221" w:lineRule="auto"/>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Please refer to “Non-GAAP Financial Measures” below for definitions of these non-GAAP financial measures, as well as reconciliations to the most directly comparable GAAP measure.</w:t>
      </w:r>
    </w:p>
    <w:p>
      <w:pPr>
        <w:ind w:left="360" w:hanging="352"/>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amount reflects our consolidated GAAP Net Income for the periods presented. TripAdvisor does not calculate or report net income by segment.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GAAP in our press release and related conference call or webcast, we also report certain non-GAAP financial measures.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We may use the following non-GAAP measures: Adjusted EBITDA, Adjusted EBITDA margin, non-GAAP net income, non-GAAP net income per diluted share, free cash flow, non-GAAP revenue before effects of foreign exchange, and Adjusted EBITDA before effects of foreign exchange, as well as other measures.</w:t>
      </w:r>
    </w:p>
    <w:p>
      <w:pPr>
        <w:spacing w:after="0" w:line="17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presentation of these financial measures is not intended to be considered in isolation or as a substitute for, or superior to, financial information prepared and presented in accordance with GAAP and should not be considered measures of TripAdvisor’s liquidity. Investors are cautioned that there are material limitations associated with the use of non-GAAP financial measures as an analytical tool. In particular, many of the adjustments to our GAAP financial measures reflect the exclusion of certain items, as defined in our non-GAAP definitions below, which are recurring and will be reflected in our financial results for the foreseeable future. In addition, these measures may be different from non-GAAP financial measures used by other companies, even where similarly titled, limiting their usefulness for comparison purposes and therefore should not be used to compare TripAdvisor’s performance to that of other companies. We endeavor to compensate for the limitation of the non-GAAP financial measures presented by also providing the most directly comparable GAAP measures and descriptions of the reconciling items and adjustments to derive the non-GAAP financial measures.</w:t>
      </w:r>
    </w:p>
    <w:p>
      <w:pPr>
        <w:spacing w:after="0" w:line="1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believe these non-GAAP financial measures provide investors and analysts with useful supplemental information about the financial performance of our business, enable comparison of financial results between periods where certain items may vary independent of business performance, and allow for greater transparency with respect to key measures used by management to operate and analyze our business over different periods of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financial measures as below:</w:t>
      </w:r>
    </w:p>
    <w:p>
      <w:pPr>
        <w:spacing w:after="0" w:line="239"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TripAdvisor defines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assets and intangible asset impairments; (7) legal reserves and settlements; and</w:t>
      </w:r>
    </w:p>
    <w:p>
      <w:pPr>
        <w:ind w:right="60" w:firstLine="8"/>
        <w:spacing w:after="0" w:line="288"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non-recurring expenses and income. These items are excluded from our Adjusted EBITDA measure because these items are noncash in nature, or because the amount is not driven by core operating results and renders comparisons with prior periods less meaningful. During the fourth quarter of 2018, the Company revised its Adjusted EBITDA definition to exclude legal reserves and settlements, as the Company believes these costs are not directly tied to the core operations of our businesses. The Company believes that excluding these amounts better enables management and investors to compare financial results between periods as these costs may vary independent of business performance. This revision to our Adjusted EBITDA definition did not have a material impact on our segment or non-GAAP financial results for any period prior to the three months and year ended December 31, 2018, and therefore no reclassifications have been made to conform the prior periods to the current period presentation. This revision had no effect on GAAP results in any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TripAdvisor defines “Adjusted EBITDA margin” as Adjusted EBITDA divided by revenue.</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EBITDA and Adjusted EBITDA margin are key operating performance measures used by our management and board of directors to understand and evaluate the financial performance of our business as a whole and our individual business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core business performance. Accordingly, we believe that Adjusted EBITDA and Adjusted EBITDA margin provide useful information to investors and others in understanding and evaluating our operating results in the same manner as our management and Board of Directors and allows for another useful comparison of our performance with our historical results from prior periods.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right="300"/>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ectPr>
          <w:pgSz w:w="11900" w:h="16838" w:orient="portrait"/>
          <w:cols w:equalWidth="0" w:num="1">
            <w:col w:w="11420"/>
          </w:cols>
          <w:pgMar w:left="240" w:top="341" w:right="239" w:bottom="1440" w:gutter="0" w:footer="0" w:header="0"/>
        </w:sectPr>
      </w:pPr>
    </w:p>
    <w:p>
      <w:pPr>
        <w:spacing w:after="0" w:line="56" w:lineRule="exact"/>
        <w:rPr>
          <w:sz w:val="20"/>
          <w:szCs w:val="20"/>
          <w:color w:val="auto"/>
        </w:rPr>
      </w:pPr>
    </w:p>
    <w:p>
      <w:pPr>
        <w:ind w:left="660"/>
        <w:spacing w:after="0"/>
        <w:rPr>
          <w:sz w:val="20"/>
          <w:szCs w:val="20"/>
          <w:color w:val="auto"/>
        </w:rPr>
      </w:pPr>
      <w:r>
        <w:rPr>
          <w:rFonts w:ascii="Arial" w:cs="Arial" w:eastAsia="Arial" w:hAnsi="Arial"/>
          <w:sz w:val="27"/>
          <w:szCs w:val="27"/>
          <w:color w:val="auto"/>
        </w:rPr>
        <w:t>•</w:t>
      </w:r>
    </w:p>
    <w:p>
      <w:pPr>
        <w:ind w:left="660"/>
        <w:spacing w:after="0" w:line="237"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740"/>
        <w:spacing w:after="0" w:line="344" w:lineRule="auto"/>
        <w:rPr>
          <w:sz w:val="20"/>
          <w:szCs w:val="20"/>
          <w:color w:val="auto"/>
        </w:rPr>
      </w:pPr>
      <w:r>
        <w:rPr>
          <w:rFonts w:ascii="Arial" w:cs="Arial" w:eastAsia="Arial" w:hAnsi="Arial"/>
          <w:sz w:val="18"/>
          <w:szCs w:val="18"/>
          <w:color w:val="auto"/>
        </w:rPr>
        <w:t>Adjusted EBITDA does not reflect our cash expenditures or future requirements for capital expenditures or contractual commitments; Adjusted EBITDA does not reflect changes in, or cash requirements for, our working capital needs;</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Adjusted EBITDA does not reflect the interest expense or cash requirements necessary to service interest or principal payments on our debt, if any;</w:t>
      </w:r>
    </w:p>
    <w:p>
      <w:pPr>
        <w:spacing w:after="0" w:line="14" w:lineRule="exact"/>
        <w:rPr>
          <w:sz w:val="20"/>
          <w:szCs w:val="20"/>
          <w:color w:val="auto"/>
        </w:rPr>
      </w:pPr>
    </w:p>
    <w:p>
      <w:pPr>
        <w:sectPr>
          <w:pgSz w:w="11900" w:h="16838" w:orient="portrait"/>
          <w:cols w:equalWidth="0" w:num="2">
            <w:col w:w="760" w:space="280"/>
            <w:col w:w="10380"/>
          </w:cols>
          <w:pgMar w:left="240" w:top="341" w:right="239" w:bottom="1440" w:gutter="0" w:footer="0" w:header="0"/>
          <w:type w:val="continuous"/>
        </w:sectPr>
      </w:pPr>
    </w:p>
    <w:p>
      <w:pPr>
        <w:ind w:left="660"/>
        <w:spacing w:after="0"/>
        <w:rPr>
          <w:sz w:val="20"/>
          <w:szCs w:val="20"/>
          <w:color w:val="auto"/>
        </w:rPr>
      </w:pPr>
      <w:r>
        <w:rPr>
          <w:rFonts w:ascii="Arial" w:cs="Arial" w:eastAsia="Arial" w:hAnsi="Arial"/>
          <w:sz w:val="27"/>
          <w:szCs w:val="27"/>
          <w:color w:val="auto"/>
        </w:rPr>
        <w:t>•</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9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sz w:val="20"/>
          <w:szCs w:val="20"/>
          <w:color w:val="auto"/>
        </w:rPr>
      </w:pPr>
    </w:p>
    <w:p>
      <w:pPr>
        <w:sectPr>
          <w:pgSz w:w="11900" w:h="16838" w:orient="portrait"/>
          <w:cols w:equalWidth="0" w:num="2">
            <w:col w:w="760" w:space="280"/>
            <w:col w:w="10380"/>
          </w:cols>
          <w:pgMar w:left="240" w:top="341" w:right="239" w:bottom="1440" w:gutter="0" w:footer="0" w:header="0"/>
          <w:type w:val="continuous"/>
        </w:sectPr>
      </w:pPr>
    </w:p>
    <w:p>
      <w:pPr>
        <w:ind w:left="1040" w:right="200" w:hanging="384"/>
        <w:spacing w:after="0" w:line="194" w:lineRule="auto"/>
        <w:tabs>
          <w:tab w:leader="none" w:pos="1040" w:val="left"/>
        </w:tabs>
        <w:numPr>
          <w:ilvl w:val="0"/>
          <w:numId w:val="44"/>
        </w:numPr>
        <w:rPr>
          <w:rFonts w:ascii="Arial" w:cs="Arial" w:eastAsia="Arial" w:hAnsi="Arial"/>
          <w:sz w:val="27"/>
          <w:szCs w:val="27"/>
          <w:color w:val="auto"/>
        </w:rPr>
      </w:pPr>
      <w:r>
        <w:rPr>
          <w:rFonts w:ascii="Arial" w:cs="Arial" w:eastAsia="Arial" w:hAnsi="Arial"/>
          <w:sz w:val="18"/>
          <w:szCs w:val="18"/>
          <w:color w:val="auto"/>
        </w:rPr>
        <w:t>Adjusted EBITDA does not reflect certain income and expenses not directly tied to the core operations of our business, such as legal reserves and settlements;</w:t>
      </w:r>
    </w:p>
    <w:p>
      <w:pPr>
        <w:sectPr>
          <w:pgSz w:w="11900" w:h="16838" w:orient="portrait"/>
          <w:cols w:equalWidth="0" w:num="1">
            <w:col w:w="11420"/>
          </w:cols>
          <w:pgMar w:left="240" w:top="341" w:right="239" w:bottom="1440" w:gutter="0" w:footer="0" w:header="0"/>
          <w:type w:val="continuous"/>
        </w:sectPr>
      </w:pPr>
    </w:p>
    <w:p>
      <w:pPr>
        <w:spacing w:after="0" w:line="20" w:lineRule="exact"/>
        <w:rPr>
          <w:sz w:val="20"/>
          <w:szCs w:val="20"/>
          <w:color w:val="auto"/>
        </w:rPr>
      </w:pPr>
    </w:p>
    <w:p>
      <w:pPr>
        <w:ind w:left="660"/>
        <w:spacing w:after="0"/>
        <w:rPr>
          <w:sz w:val="20"/>
          <w:szCs w:val="20"/>
          <w:color w:val="auto"/>
        </w:rPr>
      </w:pPr>
      <w:r>
        <w:rPr>
          <w:rFonts w:ascii="Arial" w:cs="Arial" w:eastAsia="Arial" w:hAnsi="Arial"/>
          <w:sz w:val="27"/>
          <w:szCs w:val="27"/>
          <w:color w:val="auto"/>
        </w:rPr>
        <w:t>•</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97" w:lineRule="exact"/>
        <w:rPr>
          <w:sz w:val="20"/>
          <w:szCs w:val="20"/>
          <w:color w:val="auto"/>
        </w:rPr>
      </w:pPr>
    </w:p>
    <w:p>
      <w:pPr>
        <w:sectPr>
          <w:pgSz w:w="11900" w:h="16838" w:orient="portrait"/>
          <w:cols w:equalWidth="0" w:num="2">
            <w:col w:w="760" w:space="280"/>
            <w:col w:w="10380"/>
          </w:cols>
          <w:pgMar w:left="240" w:top="341" w:right="239" w:bottom="1440" w:gutter="0" w:footer="0" w:header="0"/>
          <w:type w:val="continuous"/>
        </w:sectPr>
      </w:pPr>
    </w:p>
    <w:p>
      <w:pPr>
        <w:spacing w:after="0" w:line="286" w:lineRule="auto"/>
        <w:rPr>
          <w:sz w:val="20"/>
          <w:szCs w:val="20"/>
          <w:color w:val="auto"/>
        </w:rPr>
      </w:pPr>
      <w:r>
        <w:rPr>
          <w:rFonts w:ascii="Arial" w:cs="Arial" w:eastAsia="Arial" w:hAnsi="Arial"/>
          <w:sz w:val="16"/>
          <w:szCs w:val="16"/>
          <w:color w:val="auto"/>
        </w:rPr>
        <w:t>TripAdvisor defines “non-GAAP net income” as GAAP net income (loss) excluding, net of their related tax effects (which excludes the impact of significant one-time changes resulting from tax legislation such as the U.S. Tax Cuts and Jobs Act of 2017 (the “2017 Tax Act”): (1) stock-based compensation expense and other stock-settled obligations; (2) amortization of intangible assets; (3) goodwill, intangible asset, and other long-lived asset impairments; (4) legal reserves and settlements; and (5) certain gains, losses, and other non-recurring income or expenses that we do not believe are indicative of our ongoing operating results. We believe non-GAAP net income is an operating performance measure which provides investors and analysts with useful supplemental information about the financial performance of our business, as it incorporates our unaudited condensed consolidated statement of operations, taking into account depreciation, which management believes is an ongoing cost of doing business, but excluding the impact of certain expenses, infrequently occurring items and items not directly tied to the core operations of our businesses, and also enables comparison of financial results between periods where certain items may vary independent of business performance. During the fourth quarter of 2018, the Company revised its non-GAAP net income definition to exclude legal reserves and settlements, as the Company believes these costs are not directly tied to the core operations of our businesses. The Company believes this change better enables management and investors to compare financial results between periods as these costs may vary independent of business performance. This revision to our non-GAAP net income definition did not have a material impact on our segment or non-GAAP financial results for any period prior to the three months and year ended December 31, 2018, and therefore no reclassifications have been made to conform the prior periods to the current period presentation. This revision had no effect on GAAP results in any period.</w:t>
      </w:r>
    </w:p>
    <w:p>
      <w:pPr>
        <w:spacing w:after="0" w:line="1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TripAdvisor defines “non-GAAP net income per diluted share”, or non-GAAP diluted EPS, as non-GAAP net income divided by GAAP diluted shares. We believe non-GAAP diluted EPS is useful to investors because it represents, on a per share basis, our unaudited condensed consolidated statement of operations, taking into account depreciation, which we believe is an ongoing cost of doing business, as well as other items which are not allocated to the operating businesses such as interest expense, interest income, income taxes and foreign exchange gains or losses, but excluding the effects of certain expenses not directly tied to the core operations of our businesses. TripAdvisor calculates non-GAAP diluted EPS using GAAP diluted shares determined under the treasury stock method.</w:t>
      </w:r>
    </w:p>
    <w:p>
      <w:pPr>
        <w:spacing w:after="0" w:line="19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Non-GAAP net income and non-GAAP diluted EPS have some of the same limitations as Adjusted EBITDA. In addition, non-GAAP net income does not include all items that affect our net income and GAAP diluted EPS for the period. Therefore, we think it is important to evaluate these measures along with our unaudited condensed consolidated statements of operations.</w:t>
      </w:r>
    </w:p>
    <w:p>
      <w:pPr>
        <w:spacing w:after="0" w:line="19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TripAdvisor defines “free cash flow” as net cash provided by operating activities less capital expenditures, which are purchases of property and equipment, including capitalization of internal-use software development costs. We believe this financial measure can provide useful supplemental information to help investors better understand underlying trends in our business, as it represents the operating cash flow that our operating businesses generate, less capital expenditures but before taking into account other cash movements that are not directly tied to the core operations of our businesses, such as financing activities, foreign exchange or certain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5" w:name="page46"/>
    <w:bookmarkEnd w:id="45"/>
    <w:p>
      <w:pPr>
        <w:spacing w:after="0" w:line="264" w:lineRule="auto"/>
        <w:rPr>
          <w:sz w:val="20"/>
          <w:szCs w:val="20"/>
          <w:color w:val="auto"/>
        </w:rPr>
      </w:pPr>
      <w:r>
        <w:rPr>
          <w:rFonts w:ascii="Arial" w:cs="Arial" w:eastAsia="Arial" w:hAnsi="Arial"/>
          <w:sz w:val="18"/>
          <w:szCs w:val="18"/>
          <w:color w:val="auto"/>
        </w:rPr>
        <w:t>investing activities. Free cash flow has certain limitations in that it does not represent the total increase or decrease in the cash balance for the period, nor does it represent the residual cash flow for discretionary expenditures. Therefore, it is important to evaluate free cash flow along with the unaudited condensed consolidated statements of cash flows.</w:t>
      </w:r>
    </w:p>
    <w:p>
      <w:pPr>
        <w:spacing w:after="0" w:line="19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TripAdvisor calculates our foreign exchange effect of revenue, or “non-GAAP revenue before effects of foreign exchange” on a constant currency basis by excluding the estimated effects of foreign currency exchange on revenue by translating actual revenue for the current year three months ended using the prior period foreign currency exchange rates. We believe this is a useful measure that facilitates management's internal comparison to our historical performance because it excludes the effects of foreign currency volatility that is not indicative of our core operating results.</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TripAdvisor calculates our foreign exchange effect of Adjusted EBITDA, or “Adjusted EBITDA before effects of foreign exchange,” on a constant currency basis, by excluding the estimated effects of foreign currency exchange by translating all amounts included in Adjusted EBITDA for the current year three months ended using the prior period foreign currency exchange rates. We believe this is a useful measure that facilitates management's internal comparison to our historical performance because it excludes the effects of foreign currency volatility that is not indicative of our core operating results.</w:t>
      </w:r>
    </w:p>
    <w:p>
      <w:pPr>
        <w:spacing w:after="0" w:line="1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Regulation G, we present reconciliations of these non-GAAP financial measures to the most directly comparable GAAP measure below.</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and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Borders>
              <w:top w:val="single" w:sz="8" w:color="auto"/>
            </w:tcBorders>
            <w:gridSpan w:val="3"/>
          </w:tcPr>
          <w:p>
            <w:pPr>
              <w:jc w:val="right"/>
              <w:ind w:right="480"/>
              <w:spacing w:after="0" w:line="205" w:lineRule="exact"/>
              <w:rPr>
                <w:sz w:val="20"/>
                <w:szCs w:val="20"/>
                <w:color w:val="auto"/>
              </w:rPr>
            </w:pPr>
            <w:r>
              <w:rPr>
                <w:rFonts w:ascii="Arial" w:cs="Arial" w:eastAsia="Arial" w:hAnsi="Arial"/>
                <w:sz w:val="18"/>
                <w:szCs w:val="18"/>
                <w:b w:val="1"/>
                <w:bCs w:val="1"/>
                <w:color w:val="auto"/>
                <w:w w:val="92"/>
              </w:rPr>
              <w:t>September 30,</w:t>
            </w:r>
          </w:p>
        </w:tc>
        <w:tc>
          <w:tcPr>
            <w:tcW w:w="126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gridSpan w:val="3"/>
          </w:tcPr>
          <w:p>
            <w:pPr>
              <w:jc w:val="right"/>
              <w:ind w:right="320"/>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b w:val="1"/>
                <w:bCs w:val="1"/>
                <w:color w:val="auto"/>
                <w:w w:val="94"/>
              </w:rPr>
              <w:t>Reconciliation of GAAP Net Income to Adjusted EBITDA (Non-</w:t>
            </w:r>
          </w:p>
        </w:tc>
        <w:tc>
          <w:tcPr>
            <w:tcW w:w="20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GAAP):</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Add: Provision for income taxes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 Other expense (income), net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 and amortization of intangible assets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Stock-based compensation expense</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(Non-GAAP)</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(GAAP)</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margin (GAAP)</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Adjusted EBITDA margin (Non-GAAP) (1)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w w:val="96"/>
              </w:rPr>
              <w:t>Reconciliation from GAAP Net Income and GAAP Net Income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w w:val="95"/>
              </w:rPr>
              <w:t>per diluted share to Non-GAAP net income and Non-GAAP net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income per diluted share:</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GAAP Net Income</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Add: Amortization of intangible assets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Subtract: Other gain on investment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Subtract: Income tax effect of Non-GAAP adjustments (2)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w w:val="97"/>
              </w:rPr>
              <w:t>Add: Income tax impact related to U.S. Tax Cuts and Jobs Act of</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2017 (3)</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GAAP diluted shares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GAAP Net Income per diluted share</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0.36</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Non-GAAP net income per diluted share (4)</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0.58</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w w:val="94"/>
              </w:rPr>
              <w:t>Reconciliation of GAAP cash flows from operating activities to</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Free Cash Flow (Non-GAAP):</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Subtract: Capital expenditures</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Before Effects of Foreign Exchange:</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Total Revenue (GAAP)</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428</w:t>
            </w:r>
          </w:p>
        </w:tc>
        <w:tc>
          <w:tcPr>
            <w:tcW w:w="38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Estimated effects of foreign exchange</w:t>
            </w:r>
          </w:p>
        </w:tc>
        <w:tc>
          <w:tcPr>
            <w:tcW w:w="2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Arial" w:cs="Arial" w:eastAsia="Arial" w:hAnsi="Arial"/>
                <w:sz w:val="18"/>
                <w:szCs w:val="18"/>
                <w:color w:val="auto"/>
              </w:rPr>
              <w:t>Non-GAAP Total revenue before effects of foreign exchange</w:t>
            </w:r>
          </w:p>
        </w:tc>
        <w:tc>
          <w:tcPr>
            <w:tcW w:w="200" w:type="dxa"/>
            <w:vAlign w:val="bottom"/>
          </w:tcPr>
          <w:p>
            <w:pPr>
              <w:spacing w:after="0"/>
              <w:rPr>
                <w:sz w:val="21"/>
                <w:szCs w:val="21"/>
                <w:color w:val="auto"/>
              </w:rPr>
            </w:pPr>
          </w:p>
        </w:tc>
        <w:tc>
          <w:tcPr>
            <w:tcW w:w="880" w:type="dxa"/>
            <w:vAlign w:val="bottom"/>
            <w:tcBorders>
              <w:bottom w:val="single" w:sz="8" w:color="auto"/>
            </w:tcBorders>
          </w:tcPr>
          <w:p>
            <w:pPr>
              <w:jc w:val="right"/>
              <w:ind w:right="72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FF0FC"/>
            </w:tcBorders>
            <w:vMerge w:val="restart"/>
            <w:shd w:val="clear" w:color="auto" w:fill="CFF0FC"/>
          </w:tcPr>
          <w:p>
            <w:pPr>
              <w:ind w:left="3400"/>
              <w:spacing w:after="0"/>
              <w:rPr>
                <w:sz w:val="20"/>
                <w:szCs w:val="20"/>
                <w:color w:val="auto"/>
              </w:rPr>
            </w:pPr>
            <w:r>
              <w:rPr>
                <w:rFonts w:ascii="Arial" w:cs="Arial" w:eastAsia="Arial" w:hAnsi="Arial"/>
                <w:sz w:val="18"/>
                <w:szCs w:val="18"/>
                <w:i w:val="1"/>
                <w:iCs w:val="1"/>
                <w:color w:val="auto"/>
                <w:w w:val="95"/>
              </w:rPr>
              <w:t>Year/Year Growth (5)</w:t>
            </w: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4"/>
          </w:tcPr>
          <w:p>
            <w:pPr>
              <w:ind w:lef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top w:val="single" w:sz="8" w:color="auto"/>
            </w:tcBorders>
            <w:gridSpan w:val="3"/>
          </w:tcPr>
          <w:p>
            <w:pPr>
              <w:jc w:val="right"/>
              <w:ind w:right="310"/>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340" w:type="dxa"/>
            <w:vAlign w:val="bottom"/>
          </w:tcPr>
          <w:p>
            <w:pPr>
              <w:spacing w:after="0"/>
              <w:rPr>
                <w:sz w:val="17"/>
                <w:szCs w:val="17"/>
                <w:color w:val="auto"/>
              </w:rPr>
            </w:pPr>
          </w:p>
        </w:tc>
        <w:tc>
          <w:tcPr>
            <w:tcW w:w="162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 Before Effects of Foreign Exchange:</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Adjusted EBITDA (Non-GAAP)</w:t>
            </w:r>
          </w:p>
        </w:tc>
        <w:tc>
          <w:tcPr>
            <w:tcW w:w="10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Estimated effects of foreign exchange</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Arial" w:cs="Arial" w:eastAsia="Arial" w:hAnsi="Arial"/>
                <w:sz w:val="18"/>
                <w:szCs w:val="18"/>
                <w:color w:val="auto"/>
              </w:rPr>
              <w:t>Total Adjusted EBITDA before effects of foreign exchange (Non-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gridSpan w:val="2"/>
          </w:tcPr>
          <w:p>
            <w:pPr>
              <w:spacing w:after="0"/>
              <w:rPr>
                <w:sz w:val="20"/>
                <w:szCs w:val="20"/>
                <w:color w:val="auto"/>
              </w:rPr>
            </w:pPr>
            <w:r>
              <w:rPr>
                <w:rFonts w:ascii="Arial" w:cs="Arial" w:eastAsia="Arial" w:hAnsi="Arial"/>
                <w:sz w:val="18"/>
                <w:szCs w:val="18"/>
                <w:color w:val="auto"/>
              </w:rPr>
              <w:t>GAAP)</w:t>
            </w:r>
          </w:p>
        </w:tc>
        <w:tc>
          <w:tcPr>
            <w:tcW w:w="140" w:type="dxa"/>
            <w:vAlign w:val="bottom"/>
          </w:tcPr>
          <w:p>
            <w:pPr>
              <w:spacing w:after="0"/>
              <w:rPr>
                <w:sz w:val="21"/>
                <w:szCs w:val="21"/>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FF0FC"/>
            </w:tcBorders>
            <w:vMerge w:val="restart"/>
            <w:shd w:val="clear" w:color="auto" w:fill="CFF0FC"/>
          </w:tcPr>
          <w:p>
            <w:pPr>
              <w:ind w:left="3500"/>
              <w:spacing w:after="0"/>
              <w:rPr>
                <w:sz w:val="20"/>
                <w:szCs w:val="20"/>
                <w:color w:val="auto"/>
              </w:rPr>
            </w:pPr>
            <w:r>
              <w:rPr>
                <w:rFonts w:ascii="Arial" w:cs="Arial" w:eastAsia="Arial" w:hAnsi="Arial"/>
                <w:sz w:val="18"/>
                <w:szCs w:val="18"/>
                <w:i w:val="1"/>
                <w:iCs w:val="1"/>
                <w:color w:val="auto"/>
                <w:w w:val="97"/>
              </w:rPr>
              <w:t>Year/Year Growth (5)</w:t>
            </w: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Hotels, Media &amp; Platform Segment Revenue Before Effects of</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Foreign Exchange:</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Total Hotels, Media &amp; Platform Segment Revenue (GAAP)</w:t>
            </w:r>
          </w:p>
        </w:tc>
        <w:tc>
          <w:tcPr>
            <w:tcW w:w="10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9"/>
                <w:szCs w:val="19"/>
                <w:color w:val="auto"/>
              </w:rPr>
            </w:pP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Estimated effects of foreign exchange</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Arial" w:cs="Arial" w:eastAsia="Arial" w:hAnsi="Arial"/>
                <w:sz w:val="18"/>
                <w:szCs w:val="18"/>
                <w:color w:val="auto"/>
                <w:w w:val="96"/>
              </w:rPr>
              <w:t>Non-GAAP Total Hotels, Media &amp; Platform segment revenue before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effects of foreign exchange</w:t>
            </w:r>
          </w:p>
        </w:tc>
        <w:tc>
          <w:tcPr>
            <w:tcW w:w="140" w:type="dxa"/>
            <w:vAlign w:val="bottom"/>
          </w:tcPr>
          <w:p>
            <w:pPr>
              <w:spacing w:after="0"/>
              <w:rPr>
                <w:sz w:val="23"/>
                <w:szCs w:val="23"/>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i w:val="1"/>
                <w:iCs w:val="1"/>
                <w:color w:val="auto"/>
                <w:w w:val="97"/>
              </w:rPr>
              <w:t>Year/Year Growth (5)</w:t>
            </w:r>
          </w:p>
        </w:tc>
        <w:tc>
          <w:tcPr>
            <w:tcW w:w="1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 Segment Adjusted EBITDA Before</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Effects of Foreign Exchange:</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Total Hotels, Media &amp; Platform Segment Adjusted EBITDA</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(GAAP)</w:t>
            </w:r>
          </w:p>
        </w:tc>
        <w:tc>
          <w:tcPr>
            <w:tcW w:w="10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Estimated effects of foreign exchange</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Arial" w:cs="Arial" w:eastAsia="Arial" w:hAnsi="Arial"/>
                <w:sz w:val="18"/>
                <w:szCs w:val="18"/>
                <w:color w:val="auto"/>
              </w:rPr>
              <w:t>Non-GAAP Total Hotels, Media &amp; Platform Segment Adjusted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gridSpan w:val="2"/>
          </w:tcPr>
          <w:p>
            <w:pPr>
              <w:spacing w:after="0"/>
              <w:rPr>
                <w:sz w:val="20"/>
                <w:szCs w:val="20"/>
                <w:color w:val="auto"/>
              </w:rPr>
            </w:pPr>
            <w:r>
              <w:rPr>
                <w:rFonts w:ascii="Arial" w:cs="Arial" w:eastAsia="Arial" w:hAnsi="Arial"/>
                <w:sz w:val="18"/>
                <w:szCs w:val="18"/>
                <w:color w:val="auto"/>
              </w:rPr>
              <w:t>EBITDA before effects of foreign exchange</w:t>
            </w:r>
          </w:p>
        </w:tc>
        <w:tc>
          <w:tcPr>
            <w:tcW w:w="140" w:type="dxa"/>
            <w:vAlign w:val="bottom"/>
          </w:tcPr>
          <w:p>
            <w:pPr>
              <w:spacing w:after="0"/>
              <w:rPr>
                <w:sz w:val="21"/>
                <w:szCs w:val="21"/>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FF0FC"/>
            </w:tcBorders>
            <w:vMerge w:val="restart"/>
            <w:shd w:val="clear" w:color="auto" w:fill="CFF0FC"/>
          </w:tcPr>
          <w:p>
            <w:pPr>
              <w:ind w:left="3500"/>
              <w:spacing w:after="0"/>
              <w:rPr>
                <w:sz w:val="20"/>
                <w:szCs w:val="20"/>
                <w:color w:val="auto"/>
              </w:rPr>
            </w:pPr>
            <w:r>
              <w:rPr>
                <w:rFonts w:ascii="Arial" w:cs="Arial" w:eastAsia="Arial" w:hAnsi="Arial"/>
                <w:sz w:val="18"/>
                <w:szCs w:val="18"/>
                <w:i w:val="1"/>
                <w:iCs w:val="1"/>
                <w:color w:val="auto"/>
                <w:w w:val="97"/>
              </w:rPr>
              <w:t>Year/Year Growth (5)</w:t>
            </w: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Experiences &amp; Dining Segment Revenue Before Effects of</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Foreign Exchange:</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Total Experiences &amp; Dining Segment Revenue (GAAP)</w:t>
            </w:r>
          </w:p>
        </w:tc>
        <w:tc>
          <w:tcPr>
            <w:tcW w:w="10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Estimated effects of foreign exchange</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Arial" w:cs="Arial" w:eastAsia="Arial" w:hAnsi="Arial"/>
                <w:sz w:val="18"/>
                <w:szCs w:val="18"/>
                <w:color w:val="auto"/>
              </w:rPr>
              <w:t>Non-GAAP Total Experiences &amp; Dining segment revenue before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gridSpan w:val="2"/>
          </w:tcPr>
          <w:p>
            <w:pPr>
              <w:spacing w:after="0"/>
              <w:rPr>
                <w:sz w:val="20"/>
                <w:szCs w:val="20"/>
                <w:color w:val="auto"/>
              </w:rPr>
            </w:pPr>
            <w:r>
              <w:rPr>
                <w:rFonts w:ascii="Arial" w:cs="Arial" w:eastAsia="Arial" w:hAnsi="Arial"/>
                <w:sz w:val="18"/>
                <w:szCs w:val="18"/>
                <w:color w:val="auto"/>
              </w:rPr>
              <w:t>effects of foreign exchange</w:t>
            </w:r>
          </w:p>
        </w:tc>
        <w:tc>
          <w:tcPr>
            <w:tcW w:w="140" w:type="dxa"/>
            <w:vAlign w:val="bottom"/>
          </w:tcPr>
          <w:p>
            <w:pPr>
              <w:spacing w:after="0"/>
              <w:rPr>
                <w:sz w:val="21"/>
                <w:szCs w:val="21"/>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FF0FC"/>
            </w:tcBorders>
            <w:vMerge w:val="restart"/>
            <w:shd w:val="clear" w:color="auto" w:fill="CFF0FC"/>
          </w:tcPr>
          <w:p>
            <w:pPr>
              <w:ind w:left="3500"/>
              <w:spacing w:after="0"/>
              <w:rPr>
                <w:sz w:val="20"/>
                <w:szCs w:val="20"/>
                <w:color w:val="auto"/>
              </w:rPr>
            </w:pPr>
            <w:r>
              <w:rPr>
                <w:rFonts w:ascii="Arial" w:cs="Arial" w:eastAsia="Arial" w:hAnsi="Arial"/>
                <w:sz w:val="18"/>
                <w:szCs w:val="18"/>
                <w:i w:val="1"/>
                <w:iCs w:val="1"/>
                <w:color w:val="auto"/>
                <w:w w:val="97"/>
              </w:rPr>
              <w:t>Year/Year Growth (5)</w:t>
            </w: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TripAdvisor defines “Adjusted EBITDA margin” as Adjusted EBITDA divided by revenue.</w:t>
      </w:r>
    </w:p>
    <w:p>
      <w:pPr>
        <w:ind w:left="380" w:right="120" w:hanging="372"/>
        <w:spacing w:after="0" w:line="221"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non-GAAP adjustments described above are reported on a pre-tax basis. The income tax effect on non-GAAP adjustments was calculated based on the individual impact that these items had on our GAAP consolidated income tax expense for the periods presented.</w:t>
      </w:r>
    </w:p>
    <w:p>
      <w:pPr>
        <w:ind w:left="380" w:hanging="372"/>
        <w:spacing w:after="0" w:line="221"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an expense for income taxes related to the 2017 Tax Act Transition Tax of $2 million recorded during the three months ended September 30, 2018.</w:t>
      </w:r>
    </w:p>
    <w:p>
      <w:pPr>
        <w:ind w:left="380" w:hanging="372"/>
        <w:spacing w:after="0" w:line="221"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TripAdvisor defines “non-GAAP net income per diluted share” as non-GAAP net income divided by GAAP diluted shares.</w:t>
      </w:r>
    </w:p>
    <w:p>
      <w:pPr>
        <w:ind w:left="380" w:right="60" w:hanging="372"/>
        <w:spacing w:after="0" w:line="237"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constant currency growth, as a percentage, which is calculated by determining the change in current period revenues and Adjusted EBITDA figures over prior period revenues and Adjusted EBITDA figures, where current period figures are translated using prior period foreign currency exchange rates.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Statements in this press release regarding management’s future expectations, beliefs, intentions, goals, strategies, plans or prospects, including, without limitation, statements relating to TripAdvisor’s future financial performance on both a GAAP and non-GAAP basis</w:t>
      </w:r>
      <w:r>
        <w:rPr>
          <w:rFonts w:ascii="Arial" w:cs="Arial" w:eastAsia="Arial" w:hAnsi="Arial"/>
          <w:sz w:val="17"/>
          <w:szCs w:val="17"/>
          <w:i w:val="1"/>
          <w:iCs w:val="1"/>
          <w:color w:val="auto"/>
        </w:rPr>
        <w:t>,</w:t>
      </w:r>
      <w:r>
        <w:rPr>
          <w:rFonts w:ascii="Arial" w:cs="Arial" w:eastAsia="Arial" w:hAnsi="Arial"/>
          <w:sz w:val="17"/>
          <w:szCs w:val="17"/>
          <w:color w:val="auto"/>
        </w:rPr>
        <w:t xml:space="preserve"> and TripAdvisor’s prospects as a comprehensive destination for hotels, experiences, and restaurants, may constitute forward-looking statements within the meaning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Investors are cautioned that statements in this press release, which are not strictly historical statements, including, without limitation, statements by our executive officers with respect to growth objectives, strategic investments, and statements regarding management’s plans, objectives and strategies, constitute forward-looking statements. Such forward-looking statements involve known and unknown risks, uncertainties and other factors including those risks, uncertainties and factors detailed in TripAdvisor’s filings with the SEC. As a result of such risks, uncertainties and factors, TripAdvisor’s actual results may differ materially from any future results, performance or achievements discussed in or implied by the forward-looking statements contained herein. TripAdvisor is providing the information in this press release as of this date and assumes no obligations to update the information included in this press release or revise any forward-looking statements, whether as a result of new information, future events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800.7848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ir@tripadvisor.com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800.5061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uspr@tripadvisor.com</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337" w:right="279" w:bottom="1440" w:gutter="0" w:footer="0" w:header="0"/>
        </w:sectPr>
      </w:pPr>
    </w:p>
    <w:bookmarkStart w:id="49" w:name="page50"/>
    <w:bookmarkEnd w:id="49"/>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7385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738568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80"/>
        <w:spacing w:after="0"/>
        <w:rPr>
          <w:sz w:val="20"/>
          <w:szCs w:val="20"/>
          <w:color w:val="auto"/>
        </w:rPr>
      </w:pPr>
      <w:r>
        <w:rPr>
          <w:rFonts w:ascii="Arial" w:cs="Arial" w:eastAsia="Arial" w:hAnsi="Arial"/>
          <w:sz w:val="20"/>
          <w:szCs w:val="20"/>
          <w:b w:val="1"/>
          <w:bCs w:val="1"/>
          <w:color w:val="auto"/>
        </w:rPr>
        <w:t>TripAdvisor, Inc. Q3 2019 Prepared Remarks</w:t>
      </w:r>
    </w:p>
    <w:p>
      <w:pPr>
        <w:spacing w:after="0" w:line="22" w:lineRule="exact"/>
        <w:rPr>
          <w:sz w:val="20"/>
          <w:szCs w:val="20"/>
          <w:color w:val="auto"/>
        </w:rPr>
      </w:pPr>
    </w:p>
    <w:p>
      <w:pPr>
        <w:jc w:val="center"/>
        <w:ind w:right="880"/>
        <w:spacing w:after="0"/>
        <w:rPr>
          <w:sz w:val="20"/>
          <w:szCs w:val="20"/>
          <w:color w:val="auto"/>
        </w:rPr>
      </w:pPr>
      <w:r>
        <w:rPr>
          <w:rFonts w:ascii="Arial" w:cs="Arial" w:eastAsia="Arial" w:hAnsi="Arial"/>
          <w:sz w:val="18"/>
          <w:szCs w:val="18"/>
          <w:i w:val="1"/>
          <w:iCs w:val="1"/>
          <w:color w:val="auto"/>
        </w:rPr>
        <w:t>(All comparisons are against the same period of the prior year, unless otherwise noted; some calculations may not foot</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20"/>
          <w:szCs w:val="20"/>
          <w:i w:val="1"/>
          <w:iCs w:val="1"/>
          <w:color w:val="auto"/>
        </w:rPr>
        <w:t>due to rounding)</w:t>
      </w:r>
    </w:p>
    <w:p>
      <w:pPr>
        <w:spacing w:after="0" w:line="213" w:lineRule="exact"/>
        <w:rPr>
          <w:sz w:val="20"/>
          <w:szCs w:val="20"/>
          <w:color w:val="auto"/>
        </w:rPr>
      </w:pPr>
    </w:p>
    <w:p>
      <w:pPr>
        <w:ind w:right="1140"/>
        <w:spacing w:after="0" w:line="250" w:lineRule="auto"/>
        <w:rPr>
          <w:sz w:val="20"/>
          <w:szCs w:val="20"/>
          <w:color w:val="auto"/>
        </w:rPr>
      </w:pPr>
      <w:r>
        <w:rPr>
          <w:rFonts w:ascii="Arial" w:cs="Arial" w:eastAsia="Arial" w:hAnsi="Arial"/>
          <w:sz w:val="20"/>
          <w:szCs w:val="20"/>
          <w:color w:val="auto"/>
        </w:rPr>
        <w:t>We are dissatisfied with our Q3 results, which are particularly frustrating considering we entered 2019 with such great momentum built on strong profit growth, improving auction trends, and a return to sustained Hotel revenue growth seemingly well within our sights.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Q3 was more difficult than we anticipated.</w:t>
      </w:r>
    </w:p>
    <w:p>
      <w:pPr>
        <w:spacing w:after="0" w:line="235" w:lineRule="exact"/>
        <w:rPr>
          <w:sz w:val="20"/>
          <w:szCs w:val="20"/>
          <w:color w:val="auto"/>
        </w:rPr>
      </w:pPr>
    </w:p>
    <w:p>
      <w:pPr>
        <w:ind w:left="720" w:right="900" w:hanging="355"/>
        <w:spacing w:after="0" w:line="244"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Trends worsened in our Hotel click-based auction, leading to a 14% decline in TripAdvisor-branded Hotels revenue and 12% decline in Hotel Media &amp; Platform segment (HM&amp;P) revenue. We believe our most significant challenge remains Google pushing its own hotel products in search results and siphoning off quality traffic that would otherwise find TripAdvisor via free links and generate high margin revenue in our hotel click-based auction.</w:t>
      </w:r>
    </w:p>
    <w:p>
      <w:pPr>
        <w:spacing w:after="0" w:line="208" w:lineRule="exact"/>
        <w:rPr>
          <w:rFonts w:ascii="Arial" w:cs="Arial" w:eastAsia="Arial" w:hAnsi="Arial"/>
          <w:sz w:val="20"/>
          <w:szCs w:val="20"/>
          <w:color w:val="auto"/>
        </w:rPr>
      </w:pPr>
    </w:p>
    <w:p>
      <w:pPr>
        <w:ind w:left="720" w:right="940" w:hanging="355"/>
        <w:spacing w:after="0" w:line="246"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our Experience &amp; Dining segment (E&amp;D), we expected revenue growth to taper in the back half as we lap last year’s hyper growth on the TripAdvisor channel; however, 19% revenue growth in Q3 was still slower than forecast. While a competitive environment exists, we believe we can and should execute more efficiently to capitalize on our differentiated assets and market leadership.</w:t>
      </w:r>
    </w:p>
    <w:p>
      <w:pPr>
        <w:spacing w:after="0" w:line="205" w:lineRule="exact"/>
        <w:rPr>
          <w:rFonts w:ascii="Arial" w:cs="Arial" w:eastAsia="Arial" w:hAnsi="Arial"/>
          <w:sz w:val="20"/>
          <w:szCs w:val="20"/>
          <w:color w:val="auto"/>
        </w:rPr>
      </w:pPr>
    </w:p>
    <w:p>
      <w:pPr>
        <w:ind w:left="720" w:right="1120" w:hanging="355"/>
        <w:spacing w:after="0" w:line="291"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These softer than expected revenue trends caused consolidated revenue, GAAP Net Income and adjusted EBITDA to decrease 7%, 28% and 12% year-over-year, respectively. Changes in foreign currency negatively impacted revenue and adjusted EBITDA growth by an estimated 2% and 3%,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taking the following actions:</w:t>
      </w:r>
    </w:p>
    <w:p>
      <w:pPr>
        <w:spacing w:after="0" w:line="229" w:lineRule="exact"/>
        <w:rPr>
          <w:sz w:val="20"/>
          <w:szCs w:val="20"/>
          <w:color w:val="auto"/>
        </w:rPr>
      </w:pPr>
    </w:p>
    <w:p>
      <w:pPr>
        <w:ind w:right="1140"/>
        <w:spacing w:after="0" w:line="267" w:lineRule="auto"/>
        <w:rPr>
          <w:sz w:val="20"/>
          <w:szCs w:val="20"/>
          <w:color w:val="auto"/>
        </w:rPr>
      </w:pPr>
      <w:r>
        <w:rPr>
          <w:rFonts w:ascii="Arial" w:cs="Arial" w:eastAsia="Arial" w:hAnsi="Arial"/>
          <w:sz w:val="20"/>
          <w:szCs w:val="20"/>
          <w:b w:val="1"/>
          <w:bCs w:val="1"/>
          <w:color w:val="auto"/>
        </w:rPr>
        <w:t xml:space="preserve">First, we are focused on driving non-auction revenue growth. </w:t>
      </w:r>
      <w:r>
        <w:rPr>
          <w:rFonts w:ascii="Arial" w:cs="Arial" w:eastAsia="Arial" w:hAnsi="Arial"/>
          <w:sz w:val="20"/>
          <w:szCs w:val="20"/>
          <w:color w:val="auto"/>
        </w:rPr>
        <w:t>Looking inside HM&amp;P and E&amp;D, we are growing in</w:t>
      </w:r>
      <w:r>
        <w:rPr>
          <w:rFonts w:ascii="Arial" w:cs="Arial" w:eastAsia="Arial" w:hAnsi="Arial"/>
          <w:sz w:val="20"/>
          <w:szCs w:val="20"/>
          <w:b w:val="1"/>
          <w:bCs w:val="1"/>
          <w:color w:val="auto"/>
        </w:rPr>
        <w:t xml:space="preserve"> </w:t>
      </w:r>
      <w:r>
        <w:rPr>
          <w:rFonts w:ascii="Arial" w:cs="Arial" w:eastAsia="Arial" w:hAnsi="Arial"/>
          <w:sz w:val="20"/>
          <w:szCs w:val="20"/>
          <w:color w:val="auto"/>
        </w:rPr>
        <w:t>our key non-auction revenue lines:</w:t>
      </w:r>
    </w:p>
    <w:p>
      <w:pPr>
        <w:spacing w:after="0" w:line="183" w:lineRule="exact"/>
        <w:rPr>
          <w:sz w:val="20"/>
          <w:szCs w:val="20"/>
          <w:color w:val="auto"/>
        </w:rPr>
      </w:pPr>
    </w:p>
    <w:p>
      <w:pPr>
        <w:ind w:left="720" w:right="900" w:hanging="355"/>
        <w:spacing w:after="0" w:line="291"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HM&amp;P, both our display advertising and our hotel B2B solutions have grown year-to-date, and we believe there is plenty of opportunity for double-digit growth for these revenue lines in the years ahead given our global salesforces and our ongoing influence with hundreds of millions of travelers on our platform planning trips.</w:t>
      </w:r>
    </w:p>
    <w:p>
      <w:pPr>
        <w:spacing w:after="0" w:line="165" w:lineRule="exact"/>
        <w:rPr>
          <w:rFonts w:ascii="Arial" w:cs="Arial" w:eastAsia="Arial" w:hAnsi="Arial"/>
          <w:sz w:val="18"/>
          <w:szCs w:val="18"/>
          <w:color w:val="auto"/>
        </w:rPr>
      </w:pPr>
    </w:p>
    <w:p>
      <w:pPr>
        <w:ind w:left="720" w:right="960" w:hanging="355"/>
        <w:spacing w:after="0" w:line="269" w:lineRule="auto"/>
        <w:tabs>
          <w:tab w:leader="none" w:pos="7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E&amp;D, Experiences revenue continues to grow by double digits, and inventory at triple digits. We are in the early stages of educating the TripAdvisor traveler that all of these exciting things to do are available to book on TripAdvisor, which can drive improved conversion, repeat bookings and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147955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1067" w:right="239" w:bottom="1440" w:gutter="0" w:footer="0" w:header="0"/>
        </w:sectPr>
      </w:pPr>
    </w:p>
    <w:bookmarkStart w:id="50" w:name="page51"/>
    <w:bookmarkEnd w:id="50"/>
    <w:p>
      <w:pPr>
        <w:ind w:left="720" w:right="1120" w:hanging="355"/>
        <w:spacing w:after="0" w:line="282"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7179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7179945"/>
                    </a:xfrm>
                    <a:prstGeom prst="rect">
                      <a:avLst/>
                    </a:prstGeom>
                    <a:noFill/>
                  </pic:spPr>
                </pic:pic>
              </a:graphicData>
            </a:graphic>
          </wp:anchor>
        </w:drawing>
        <w:t>Finally, Restaurants transaction revenue also continues to grow by double digits in current markets, and is expanding in new countries, establishing leadership positions and building habit with consumers, particularly on mobile. Our Restaurants media ads revenue continues to grow by double digits as well, and we have an opportunity to deliver value to more of the 5.1 million restaurants on our platform.</w:t>
      </w:r>
    </w:p>
    <w:p>
      <w:pPr>
        <w:spacing w:after="0" w:line="175" w:lineRule="exact"/>
        <w:rPr>
          <w:sz w:val="20"/>
          <w:szCs w:val="20"/>
          <w:color w:val="auto"/>
        </w:rPr>
      </w:pPr>
    </w:p>
    <w:p>
      <w:pPr>
        <w:ind w:right="1080"/>
        <w:spacing w:after="0" w:line="246" w:lineRule="auto"/>
        <w:rPr>
          <w:sz w:val="20"/>
          <w:szCs w:val="20"/>
          <w:color w:val="auto"/>
        </w:rPr>
      </w:pPr>
      <w:r>
        <w:rPr>
          <w:rFonts w:ascii="Arial" w:cs="Arial" w:eastAsia="Arial" w:hAnsi="Arial"/>
          <w:sz w:val="20"/>
          <w:szCs w:val="20"/>
          <w:color w:val="auto"/>
        </w:rPr>
        <w:t>Digging further into HM&amp;P, during the past 12 months, we appointed new Presidents to both the Hotels and Core Experience teams to lead growth initiatives aimed at deepening customer engagement on our platform and monetizing our influence. We see growth opportunities in 2020 and beyond, and we are addressing them with urgency. As outlined last quarter, these include:</w:t>
      </w:r>
    </w:p>
    <w:p>
      <w:pPr>
        <w:spacing w:after="0" w:line="205" w:lineRule="exact"/>
        <w:rPr>
          <w:sz w:val="20"/>
          <w:szCs w:val="20"/>
          <w:color w:val="auto"/>
        </w:rPr>
      </w:pPr>
    </w:p>
    <w:p>
      <w:pPr>
        <w:ind w:left="720" w:hanging="355"/>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Modernizing our media advertising platform to accelerate Display and platform growth;</w:t>
      </w:r>
    </w:p>
    <w:p>
      <w:pPr>
        <w:spacing w:after="0" w:line="15" w:lineRule="exact"/>
        <w:rPr>
          <w:rFonts w:ascii="Arial" w:cs="Arial" w:eastAsia="Arial" w:hAnsi="Arial"/>
          <w:sz w:val="20"/>
          <w:szCs w:val="20"/>
          <w:color w:val="auto"/>
        </w:rPr>
      </w:pPr>
    </w:p>
    <w:p>
      <w:pPr>
        <w:ind w:left="720" w:right="1260" w:hanging="355"/>
        <w:spacing w:after="0" w:line="239"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Reimagining our TripAdvisor app (anticipated Q3 2020 launch) and growing and serving members through product, loyalty and membership initiatives;</w:t>
      </w:r>
    </w:p>
    <w:p>
      <w:pPr>
        <w:spacing w:after="0" w:line="1" w:lineRule="exact"/>
        <w:rPr>
          <w:rFonts w:ascii="Arial" w:cs="Arial" w:eastAsia="Arial" w:hAnsi="Arial"/>
          <w:sz w:val="20"/>
          <w:szCs w:val="20"/>
          <w:color w:val="auto"/>
        </w:rPr>
      </w:pPr>
    </w:p>
    <w:p>
      <w:pPr>
        <w:ind w:left="720" w:right="1600" w:hanging="355"/>
        <w:spacing w:after="0" w:line="239"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Launching impactful brand advertising that lays claim to our differentiated consumer value proposition (anticipated Q2 2020 launch);</w:t>
      </w:r>
    </w:p>
    <w:p>
      <w:pPr>
        <w:spacing w:after="0" w:line="1" w:lineRule="exact"/>
        <w:rPr>
          <w:rFonts w:ascii="Arial" w:cs="Arial" w:eastAsia="Arial" w:hAnsi="Arial"/>
          <w:sz w:val="20"/>
          <w:szCs w:val="20"/>
          <w:color w:val="auto"/>
        </w:rPr>
      </w:pPr>
    </w:p>
    <w:p>
      <w:pPr>
        <w:ind w:left="720" w:hanging="355"/>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Broadening our hotel B2B offerings, with the objective of launching at least two new products in 2020.</w:t>
      </w:r>
    </w:p>
    <w:p>
      <w:pPr>
        <w:spacing w:after="0" w:line="213" w:lineRule="exact"/>
        <w:rPr>
          <w:sz w:val="20"/>
          <w:szCs w:val="20"/>
          <w:color w:val="auto"/>
        </w:rPr>
      </w:pPr>
    </w:p>
    <w:p>
      <w:pPr>
        <w:ind w:right="1220"/>
        <w:spacing w:after="0" w:line="287" w:lineRule="auto"/>
        <w:rPr>
          <w:sz w:val="20"/>
          <w:szCs w:val="20"/>
          <w:color w:val="auto"/>
        </w:rPr>
      </w:pPr>
      <w:r>
        <w:rPr>
          <w:rFonts w:ascii="Arial" w:cs="Arial" w:eastAsia="Arial" w:hAnsi="Arial"/>
          <w:sz w:val="19"/>
          <w:szCs w:val="19"/>
          <w:color w:val="auto"/>
        </w:rPr>
        <w:t>In addition, though not a Q3 development, we have begun taking steps to offer rentals inventory within our hotel sort order to better serve consumers’ evolving needs, and to drive conversion and improve monetization.</w:t>
      </w:r>
    </w:p>
    <w:p>
      <w:pPr>
        <w:spacing w:after="0" w:line="166" w:lineRule="exact"/>
        <w:rPr>
          <w:sz w:val="20"/>
          <w:szCs w:val="20"/>
          <w:color w:val="auto"/>
        </w:rPr>
      </w:pPr>
    </w:p>
    <w:p>
      <w:pPr>
        <w:ind w:right="940"/>
        <w:spacing w:after="0" w:line="259" w:lineRule="auto"/>
        <w:rPr>
          <w:sz w:val="20"/>
          <w:szCs w:val="20"/>
          <w:color w:val="auto"/>
        </w:rPr>
      </w:pPr>
      <w:r>
        <w:rPr>
          <w:rFonts w:ascii="Arial" w:cs="Arial" w:eastAsia="Arial" w:hAnsi="Arial"/>
          <w:sz w:val="19"/>
          <w:szCs w:val="19"/>
          <w:color w:val="auto"/>
        </w:rPr>
        <w:t>In E&amp;D, we are investing in product enhancements, inventory growth, and marketing to bolster our Experiences and Restaurants offerings and gain share in these attractive categories. For Experiences, owning the transaction experience is an advantage, and TripAdvisor has significant consumer demand shopping for things to do. In Restaurants, The Fork is a leader in its markets, and its transaction business enables a more local and more frequent consumer relationship and strong mobile app engagement. Our Restaurants media offerings enable us to serve an even broader, global customer base and drive high-margin revenue.</w:t>
      </w:r>
    </w:p>
    <w:p>
      <w:pPr>
        <w:spacing w:after="0" w:line="206" w:lineRule="exact"/>
        <w:rPr>
          <w:sz w:val="20"/>
          <w:szCs w:val="20"/>
          <w:color w:val="auto"/>
        </w:rPr>
      </w:pPr>
    </w:p>
    <w:p>
      <w:pPr>
        <w:jc w:val="both"/>
        <w:ind w:right="1240"/>
        <w:spacing w:after="0" w:line="250" w:lineRule="auto"/>
        <w:rPr>
          <w:sz w:val="20"/>
          <w:szCs w:val="20"/>
          <w:color w:val="auto"/>
        </w:rPr>
      </w:pPr>
      <w:r>
        <w:rPr>
          <w:rFonts w:ascii="Arial" w:cs="Arial" w:eastAsia="Arial" w:hAnsi="Arial"/>
          <w:sz w:val="20"/>
          <w:szCs w:val="20"/>
          <w:color w:val="auto"/>
        </w:rPr>
        <w:t>In all, we are making excellent progress on non-auction revenue objectives in these two segments. As these offerings gain scale and profitability, we believe they collectively can more than offset auction headwinds that are dampening near-term growth.</w:t>
      </w:r>
    </w:p>
    <w:p>
      <w:pPr>
        <w:spacing w:after="0" w:line="194" w:lineRule="exact"/>
        <w:rPr>
          <w:sz w:val="20"/>
          <w:szCs w:val="20"/>
          <w:color w:val="auto"/>
        </w:rPr>
      </w:pPr>
    </w:p>
    <w:p>
      <w:pPr>
        <w:jc w:val="both"/>
        <w:ind w:right="1460"/>
        <w:spacing w:after="0" w:line="253" w:lineRule="auto"/>
        <w:rPr>
          <w:sz w:val="20"/>
          <w:szCs w:val="20"/>
          <w:color w:val="auto"/>
        </w:rPr>
      </w:pPr>
      <w:r>
        <w:rPr>
          <w:rFonts w:ascii="Arial" w:cs="Arial" w:eastAsia="Arial" w:hAnsi="Arial"/>
          <w:sz w:val="20"/>
          <w:szCs w:val="20"/>
          <w:b w:val="1"/>
          <w:bCs w:val="1"/>
          <w:color w:val="auto"/>
        </w:rPr>
        <w:t>Second, we are evaluating our cost structure</w:t>
      </w:r>
      <w:r>
        <w:rPr>
          <w:rFonts w:ascii="Arial" w:cs="Arial" w:eastAsia="Arial" w:hAnsi="Arial"/>
          <w:sz w:val="20"/>
          <w:szCs w:val="20"/>
          <w:color w:val="auto"/>
        </w:rPr>
        <w:t>. Loss of revenue in our SEO channel in hotel has been negatively</w:t>
      </w:r>
      <w:r>
        <w:rPr>
          <w:rFonts w:ascii="Arial" w:cs="Arial" w:eastAsia="Arial" w:hAnsi="Arial"/>
          <w:sz w:val="20"/>
          <w:szCs w:val="20"/>
          <w:b w:val="1"/>
          <w:bCs w:val="1"/>
          <w:color w:val="auto"/>
        </w:rPr>
        <w:t xml:space="preserve"> </w:t>
      </w:r>
      <w:r>
        <w:rPr>
          <w:rFonts w:ascii="Arial" w:cs="Arial" w:eastAsia="Arial" w:hAnsi="Arial"/>
          <w:sz w:val="20"/>
          <w:szCs w:val="20"/>
          <w:color w:val="auto"/>
        </w:rPr>
        <w:t>affecting our bottom line, and we will prudently reduce and re-allocate expenses in certain parts of our business to preserve strong profitability while investing in strategic growth areas.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We expect to drive material savings against our current run-rate by:</w:t>
      </w:r>
    </w:p>
    <w:p>
      <w:pPr>
        <w:spacing w:after="0" w:line="229" w:lineRule="exact"/>
        <w:rPr>
          <w:sz w:val="20"/>
          <w:szCs w:val="20"/>
          <w:color w:val="auto"/>
        </w:rPr>
      </w:pPr>
    </w:p>
    <w:p>
      <w:pPr>
        <w:ind w:left="720" w:hanging="355"/>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Right-sizing E&amp;D to grow more efficiently following a period of considerable investment;</w:t>
      </w:r>
    </w:p>
    <w:p>
      <w:pPr>
        <w:spacing w:after="0" w:line="15" w:lineRule="exact"/>
        <w:rPr>
          <w:rFonts w:ascii="Arial" w:cs="Arial" w:eastAsia="Arial" w:hAnsi="Arial"/>
          <w:sz w:val="20"/>
          <w:szCs w:val="20"/>
          <w:color w:val="auto"/>
        </w:rPr>
      </w:pPr>
    </w:p>
    <w:p>
      <w:pPr>
        <w:ind w:left="720" w:hanging="355"/>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Reducing other targeted costs across the company; and</w:t>
      </w:r>
    </w:p>
    <w:p>
      <w:pPr>
        <w:ind w:left="720" w:right="1000" w:hanging="355"/>
        <w:spacing w:after="0" w:line="244"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Optimizing brand advertising investments across newer, more impactful mediums compared to our historically television-focused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147955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1068" w:right="239" w:bottom="1440" w:gutter="0" w:footer="0" w:header="0"/>
        </w:sectPr>
      </w:pPr>
    </w:p>
    <w:bookmarkStart w:id="51" w:name="page52"/>
    <w:bookmarkEnd w:id="51"/>
    <w:p>
      <w:pPr>
        <w:jc w:val="both"/>
        <w:ind w:right="1680"/>
        <w:spacing w:after="0" w:line="3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73171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7317105"/>
                    </a:xfrm>
                    <a:prstGeom prst="rect">
                      <a:avLst/>
                    </a:prstGeom>
                    <a:noFill/>
                  </pic:spPr>
                </pic:pic>
              </a:graphicData>
            </a:graphic>
          </wp:anchor>
        </w:drawing>
        <w:t>We plan to reinvest some – but not all – of the abovementioned savings into newer growth areas, such as media advertising revenue, TripAdvisor Restaurant services, Hotel B2B services, and membership and loyalty efforts.</w:t>
      </w:r>
    </w:p>
    <w:p>
      <w:pPr>
        <w:spacing w:after="0" w:line="97" w:lineRule="exact"/>
        <w:rPr>
          <w:sz w:val="20"/>
          <w:szCs w:val="20"/>
          <w:color w:val="auto"/>
        </w:rPr>
      </w:pPr>
    </w:p>
    <w:p>
      <w:pPr>
        <w:ind w:right="900"/>
        <w:spacing w:after="0" w:line="260" w:lineRule="auto"/>
        <w:rPr>
          <w:sz w:val="20"/>
          <w:szCs w:val="20"/>
          <w:color w:val="auto"/>
        </w:rPr>
      </w:pPr>
      <w:r>
        <w:rPr>
          <w:rFonts w:ascii="Arial" w:cs="Arial" w:eastAsia="Arial" w:hAnsi="Arial"/>
          <w:sz w:val="20"/>
          <w:szCs w:val="20"/>
          <w:color w:val="auto"/>
        </w:rPr>
        <w:t>Our variable costs (cost of revenue, revenue related taxes and performance marketing) are broadly expected to grow with revenue.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We believe these measures will enable us to continue to generate strong adjusted EBITDA and free cash flow in 2020.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Third, we are returning more capital to shareholders. </w:t>
      </w:r>
      <w:r>
        <w:rPr>
          <w:rFonts w:ascii="Arial" w:cs="Arial" w:eastAsia="Arial" w:hAnsi="Arial"/>
          <w:sz w:val="20"/>
          <w:szCs w:val="20"/>
          <w:color w:val="auto"/>
        </w:rPr>
        <w:t>Our board has approved that we do this in two ways:</w:t>
      </w:r>
    </w:p>
    <w:p>
      <w:pPr>
        <w:spacing w:after="0" w:line="235" w:lineRule="exact"/>
        <w:rPr>
          <w:sz w:val="20"/>
          <w:szCs w:val="20"/>
          <w:color w:val="auto"/>
        </w:rPr>
      </w:pPr>
    </w:p>
    <w:p>
      <w:pPr>
        <w:ind w:left="720" w:hanging="355"/>
        <w:spacing w:after="0"/>
        <w:tabs>
          <w:tab w:leader="none" w:pos="720"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Declaring a special cash dividend of $3.50 per share; and</w:t>
      </w:r>
    </w:p>
    <w:p>
      <w:pPr>
        <w:spacing w:after="0" w:line="15" w:lineRule="exact"/>
        <w:rPr>
          <w:rFonts w:ascii="Arial" w:cs="Arial" w:eastAsia="Arial" w:hAnsi="Arial"/>
          <w:sz w:val="20"/>
          <w:szCs w:val="20"/>
          <w:b w:val="1"/>
          <w:bCs w:val="1"/>
          <w:color w:val="auto"/>
        </w:rPr>
      </w:pPr>
    </w:p>
    <w:p>
      <w:pPr>
        <w:ind w:left="720" w:hanging="355"/>
        <w:spacing w:after="0"/>
        <w:tabs>
          <w:tab w:leader="none" w:pos="720"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Increasing our existing share repurchase authorization by $100 million to $250 million.</w:t>
      </w:r>
    </w:p>
    <w:p>
      <w:pPr>
        <w:spacing w:after="0" w:line="213" w:lineRule="exact"/>
        <w:rPr>
          <w:sz w:val="20"/>
          <w:szCs w:val="20"/>
          <w:color w:val="auto"/>
        </w:rPr>
      </w:pPr>
    </w:p>
    <w:p>
      <w:pPr>
        <w:ind w:right="1300"/>
        <w:spacing w:after="0" w:line="260" w:lineRule="auto"/>
        <w:rPr>
          <w:sz w:val="20"/>
          <w:szCs w:val="20"/>
          <w:color w:val="auto"/>
        </w:rPr>
      </w:pPr>
      <w:r>
        <w:rPr>
          <w:rFonts w:ascii="Arial" w:cs="Arial" w:eastAsia="Arial" w:hAnsi="Arial"/>
          <w:sz w:val="20"/>
          <w:szCs w:val="20"/>
          <w:color w:val="auto"/>
        </w:rPr>
        <w:t>The special cash dividend is payable on December 4, 2019 and we expect to total approximately $490 million in the aggregate.</w:t>
      </w:r>
    </w:p>
    <w:p>
      <w:pPr>
        <w:spacing w:after="0" w:line="184" w:lineRule="exact"/>
        <w:rPr>
          <w:sz w:val="20"/>
          <w:szCs w:val="20"/>
          <w:color w:val="auto"/>
        </w:rPr>
      </w:pPr>
    </w:p>
    <w:p>
      <w:pPr>
        <w:ind w:right="1020"/>
        <w:spacing w:after="0" w:line="243" w:lineRule="auto"/>
        <w:rPr>
          <w:sz w:val="20"/>
          <w:szCs w:val="20"/>
          <w:color w:val="auto"/>
        </w:rPr>
      </w:pPr>
      <w:r>
        <w:rPr>
          <w:rFonts w:ascii="Arial" w:cs="Arial" w:eastAsia="Arial" w:hAnsi="Arial"/>
          <w:sz w:val="20"/>
          <w:szCs w:val="20"/>
          <w:color w:val="auto"/>
        </w:rPr>
        <w:t>We have ample liquidity to execute our capital allocation strategy</w:t>
      </w:r>
      <w:r>
        <w:rPr>
          <w:rFonts w:ascii="Arial" w:cs="Arial" w:eastAsia="Arial" w:hAnsi="Arial"/>
          <w:sz w:val="20"/>
          <w:szCs w:val="20"/>
          <w:b w:val="1"/>
          <w:bCs w:val="1"/>
          <w:color w:val="auto"/>
        </w:rPr>
        <w:t>.</w:t>
      </w:r>
      <w:r>
        <w:rPr>
          <w:rFonts w:ascii="Arial" w:cs="Arial" w:eastAsia="Arial" w:hAnsi="Arial"/>
          <w:sz w:val="20"/>
          <w:szCs w:val="20"/>
          <w:color w:val="auto"/>
        </w:rPr>
        <w:t xml:space="preserve"> We operate a very profitable and cash generative business, with year-to-date adjusted EBITDA of $347 million, cash flow from operations of $364 million and free cash flow of $304 million, as of September 30, 2019. We have a strong balance sheet with cash, cash equivalents and short-term marketable securities of $933 million as of quarter end, and no outstanding debt. We have additional access to capital through a $1.2 billion revolving credit facility. M&amp;A remains part of our capital allocation strategy, and we have the requisite flexibility to be opportunistic on that front. Our strong balance sheet and cash generative business give us the flexibility, both now and in the future, to simultaneously invest in growth areas, fund M&amp;A and return cash to shareholders.</w:t>
      </w:r>
    </w:p>
    <w:p>
      <w:pPr>
        <w:spacing w:after="0" w:line="203" w:lineRule="exact"/>
        <w:rPr>
          <w:sz w:val="20"/>
          <w:szCs w:val="20"/>
          <w:color w:val="auto"/>
        </w:rPr>
      </w:pPr>
    </w:p>
    <w:p>
      <w:pPr>
        <w:ind w:right="1460"/>
        <w:spacing w:after="0" w:line="273" w:lineRule="auto"/>
        <w:rPr>
          <w:sz w:val="20"/>
          <w:szCs w:val="20"/>
          <w:color w:val="auto"/>
        </w:rPr>
      </w:pPr>
      <w:r>
        <w:rPr>
          <w:rFonts w:ascii="Arial" w:cs="Arial" w:eastAsia="Arial" w:hAnsi="Arial"/>
          <w:sz w:val="19"/>
          <w:szCs w:val="19"/>
          <w:b w:val="1"/>
          <w:bCs w:val="1"/>
          <w:color w:val="auto"/>
        </w:rPr>
        <w:t xml:space="preserve">Beyond Q3 results and the above measures, we are also pleased to have entered into an exciting strategic partnership with Trip.com Group Limited </w:t>
      </w:r>
      <w:r>
        <w:rPr>
          <w:rFonts w:ascii="Arial" w:cs="Arial" w:eastAsia="Arial" w:hAnsi="Arial"/>
          <w:sz w:val="19"/>
          <w:szCs w:val="19"/>
          <w:color w:val="auto"/>
        </w:rPr>
        <w:t>(Nasdaq: TCOM) (“Trip.com Group”, formerly known as Ctrip.com</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Ltd. (Nasdaq: CTRP)). This strategic partnership has three components:</w:t>
      </w:r>
    </w:p>
    <w:p>
      <w:pPr>
        <w:spacing w:after="0" w:line="179" w:lineRule="exact"/>
        <w:rPr>
          <w:sz w:val="20"/>
          <w:szCs w:val="20"/>
          <w:color w:val="auto"/>
        </w:rPr>
      </w:pPr>
    </w:p>
    <w:p>
      <w:pPr>
        <w:jc w:val="both"/>
        <w:ind w:left="720" w:right="900" w:hanging="355"/>
        <w:spacing w:after="0" w:line="272"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First, we entered into a joint venture for our TripAdvisor China business. We will own 40% of the joint venture, and will contribute a long-term exclusive brand and content license, as well as certain other assets of our China business. Both companies have also agreed to share inventories in travel categories at the joint venture level.</w:t>
      </w:r>
    </w:p>
    <w:p>
      <w:pPr>
        <w:spacing w:after="0" w:line="1" w:lineRule="exact"/>
        <w:rPr>
          <w:rFonts w:ascii="Arial" w:cs="Arial" w:eastAsia="Arial" w:hAnsi="Arial"/>
          <w:sz w:val="18"/>
          <w:szCs w:val="18"/>
          <w:color w:val="auto"/>
        </w:rPr>
      </w:pPr>
    </w:p>
    <w:p>
      <w:pPr>
        <w:ind w:left="720" w:right="1300"/>
        <w:spacing w:after="0" w:line="244" w:lineRule="auto"/>
        <w:rPr>
          <w:rFonts w:ascii="Arial" w:cs="Arial" w:eastAsia="Arial" w:hAnsi="Arial"/>
          <w:sz w:val="18"/>
          <w:szCs w:val="18"/>
          <w:color w:val="auto"/>
        </w:rPr>
      </w:pPr>
      <w:r>
        <w:rPr>
          <w:rFonts w:ascii="Arial" w:cs="Arial" w:eastAsia="Arial" w:hAnsi="Arial"/>
          <w:sz w:val="20"/>
          <w:szCs w:val="20"/>
          <w:color w:val="auto"/>
        </w:rPr>
        <w:t>We anticipate our contribution of China assets to the joint venture will not have a significant impact on our ongoing consolidated operating results.</w:t>
      </w:r>
    </w:p>
    <w:p>
      <w:pPr>
        <w:spacing w:after="0" w:line="205" w:lineRule="exact"/>
        <w:rPr>
          <w:rFonts w:ascii="Arial" w:cs="Arial" w:eastAsia="Arial" w:hAnsi="Arial"/>
          <w:sz w:val="18"/>
          <w:szCs w:val="18"/>
          <w:color w:val="auto"/>
        </w:rPr>
      </w:pPr>
    </w:p>
    <w:p>
      <w:pPr>
        <w:ind w:left="720" w:right="1120" w:hanging="355"/>
        <w:spacing w:after="0" w:line="260"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Second, we entered into global content agreements providing for distribution of selected TripAdvisor content onto Trip.com Group, including Trip.com, Ctrip.com, Skyscanner and Qunar.</w:t>
      </w:r>
    </w:p>
    <w:p>
      <w:pPr>
        <w:spacing w:after="0" w:line="190" w:lineRule="exact"/>
        <w:rPr>
          <w:rFonts w:ascii="Arial" w:cs="Arial" w:eastAsia="Arial" w:hAnsi="Arial"/>
          <w:sz w:val="20"/>
          <w:szCs w:val="20"/>
          <w:color w:val="auto"/>
        </w:rPr>
      </w:pPr>
    </w:p>
    <w:p>
      <w:pPr>
        <w:ind w:left="720" w:right="1200" w:hanging="355"/>
        <w:spacing w:after="0" w:line="244"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Third, we entered into a Governance Agreement pursuant to which Trip.com Group will have a nomination right for one TripAdvisor, Inc. Board seat commencing upon the relevant regulatory bodies' approvals of the transaction. To maintain the nomination right, Trip.com Group must acquire up to 6.95 million TripAdvisor shares or TripAdvisor shares valued at $317.6 million through open market transactions within one year following the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147955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1068" w:right="2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7317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7317105"/>
                    </a:xfrm>
                    <a:prstGeom prst="rect">
                      <a:avLst/>
                    </a:prstGeom>
                    <a:noFill/>
                  </pic:spPr>
                </pic:pic>
              </a:graphicData>
            </a:graphic>
          </wp:anchor>
        </w:drawing>
        <w:t>HM&amp;P update</w:t>
      </w:r>
    </w:p>
    <w:p>
      <w:pPr>
        <w:spacing w:after="0" w:line="229" w:lineRule="exact"/>
        <w:rPr>
          <w:sz w:val="20"/>
          <w:szCs w:val="20"/>
          <w:color w:val="auto"/>
        </w:rPr>
      </w:pPr>
    </w:p>
    <w:p>
      <w:pPr>
        <w:ind w:right="1140"/>
        <w:spacing w:after="0" w:line="328" w:lineRule="auto"/>
        <w:rPr>
          <w:sz w:val="20"/>
          <w:szCs w:val="20"/>
          <w:color w:val="auto"/>
        </w:rPr>
      </w:pPr>
      <w:r>
        <w:rPr>
          <w:rFonts w:ascii="Arial" w:cs="Arial" w:eastAsia="Arial" w:hAnsi="Arial"/>
          <w:sz w:val="16"/>
          <w:szCs w:val="16"/>
          <w:color w:val="auto"/>
        </w:rPr>
        <w:t>HM&amp;P segment revenue was $238 million, a 12% decrease year-over-year, due to continued hotel click-based auction headwinds. HM&amp;P adjusted EBITDA was $93 million, a 4% decrease year-over-year, and HM&amp;P adjusted EBITDA margin was 39%, a three-percentage point increase year-over-year. We estimate that, excluding changes in foreign currency, HM&amp;P revenue and adjusted EBITDA decreased approximately 11% and 2% year-over-year,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Here are Q3 updates on our stated HM&amp;P growth initiatives aimed at long-term non-auction revenue growth:</w:t>
      </w:r>
    </w:p>
    <w:p>
      <w:pPr>
        <w:spacing w:after="0" w:line="223" w:lineRule="exact"/>
        <w:rPr>
          <w:sz w:val="20"/>
          <w:szCs w:val="20"/>
          <w:color w:val="auto"/>
        </w:rPr>
      </w:pPr>
    </w:p>
    <w:p>
      <w:pPr>
        <w:ind w:left="720" w:right="1040" w:hanging="355"/>
        <w:spacing w:after="0" w:line="274"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Scaling high-margin media advertising revenue: </w:t>
      </w:r>
      <w:r>
        <w:rPr>
          <w:rFonts w:ascii="Arial" w:cs="Arial" w:eastAsia="Arial" w:hAnsi="Arial"/>
          <w:sz w:val="18"/>
          <w:szCs w:val="18"/>
          <w:color w:val="auto"/>
        </w:rPr>
        <w:t>TripAdvisor’s high intent, global audience (nearly 460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monthly unique visitors in Q3); brand-safe, non-competitive platform; and travel domain expertise are attractive attributes in what eMarketer estimates is a growing, $479 billion digital media advertising market. It is still early days, but we increased inventory availability via programmatic in Q3. We have introduced in-app monetization and a number of new ad formats. While Q3 was still too early for revenue benefits to accrue, our sales pipeline is growing, and we are gaining traction. As we continue to build out a more modernized, high-powered media advertising product suite spanning native, video and programmatic, we expect to drive more value for a bigger and broader advertiser base and faster media revenue growth in Q4 and beyond.</w:t>
      </w:r>
    </w:p>
    <w:p>
      <w:pPr>
        <w:spacing w:after="0" w:line="175" w:lineRule="exact"/>
        <w:rPr>
          <w:rFonts w:ascii="Arial" w:cs="Arial" w:eastAsia="Arial" w:hAnsi="Arial"/>
          <w:sz w:val="18"/>
          <w:szCs w:val="18"/>
          <w:color w:val="auto"/>
        </w:rPr>
      </w:pPr>
    </w:p>
    <w:p>
      <w:pPr>
        <w:ind w:left="720" w:right="900" w:hanging="355"/>
        <w:spacing w:after="0" w:line="262" w:lineRule="auto"/>
        <w:tabs>
          <w:tab w:leader="none" w:pos="720"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Driving consumer product enhancements that grow membership and cultivate long-term loyalty: </w:t>
      </w:r>
      <w:r>
        <w:rPr>
          <w:rFonts w:ascii="Arial" w:cs="Arial" w:eastAsia="Arial" w:hAnsi="Arial"/>
          <w:sz w:val="19"/>
          <w:szCs w:val="19"/>
          <w:color w:val="auto"/>
        </w:rPr>
        <w:t>TripAdvisor membership growth accelerated for the fifth straight quarter and we are currently adding more than 200,000 members per day. We are focused on serving members through personalization and loyalty initiatives, as part of a broader goal to deepen consumer relationships. We believe our growth potential here is huge, as more frequent consumer engagement increases monetization dramatically.</w:t>
      </w:r>
    </w:p>
    <w:p>
      <w:pPr>
        <w:spacing w:after="0" w:line="184" w:lineRule="exact"/>
        <w:rPr>
          <w:rFonts w:ascii="Arial" w:cs="Arial" w:eastAsia="Arial" w:hAnsi="Arial"/>
          <w:sz w:val="19"/>
          <w:szCs w:val="19"/>
          <w:b w:val="1"/>
          <w:bCs w:val="1"/>
          <w:color w:val="auto"/>
        </w:rPr>
      </w:pPr>
    </w:p>
    <w:p>
      <w:pPr>
        <w:ind w:left="720" w:right="1000" w:hanging="355"/>
        <w:spacing w:after="0" w:line="253" w:lineRule="auto"/>
        <w:tabs>
          <w:tab w:leader="none" w:pos="7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Executing impactful TripAdvisor brand advertising: </w:t>
      </w:r>
      <w:r>
        <w:rPr>
          <w:rFonts w:ascii="Arial" w:cs="Arial" w:eastAsia="Arial" w:hAnsi="Arial"/>
          <w:sz w:val="20"/>
          <w:szCs w:val="20"/>
          <w:color w:val="auto"/>
        </w:rPr>
        <w:t>We recently partnered with new media buying and</w:t>
      </w:r>
      <w:r>
        <w:rPr>
          <w:rFonts w:ascii="Arial" w:cs="Arial" w:eastAsia="Arial" w:hAnsi="Arial"/>
          <w:sz w:val="20"/>
          <w:szCs w:val="20"/>
          <w:b w:val="1"/>
          <w:bCs w:val="1"/>
          <w:color w:val="auto"/>
        </w:rPr>
        <w:t xml:space="preserve"> </w:t>
      </w:r>
      <w:r>
        <w:rPr>
          <w:rFonts w:ascii="Arial" w:cs="Arial" w:eastAsia="Arial" w:hAnsi="Arial"/>
          <w:sz w:val="20"/>
          <w:szCs w:val="20"/>
          <w:color w:val="auto"/>
        </w:rPr>
        <w:t>creative agencies and started working on cost-effective ways to amplify TripAdvisor’s differentiated consumer value proposition.</w:t>
      </w:r>
    </w:p>
    <w:p>
      <w:pPr>
        <w:spacing w:after="0" w:line="191" w:lineRule="exact"/>
        <w:rPr>
          <w:rFonts w:ascii="Arial" w:cs="Arial" w:eastAsia="Arial" w:hAnsi="Arial"/>
          <w:sz w:val="20"/>
          <w:szCs w:val="20"/>
          <w:b w:val="1"/>
          <w:bCs w:val="1"/>
          <w:color w:val="auto"/>
        </w:rPr>
      </w:pPr>
    </w:p>
    <w:p>
      <w:pPr>
        <w:ind w:left="720" w:right="1040" w:hanging="355"/>
        <w:spacing w:after="0" w:line="248" w:lineRule="auto"/>
        <w:tabs>
          <w:tab w:leader="none" w:pos="7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Expanding hotel B2B product offerings: </w:t>
      </w:r>
      <w:r>
        <w:rPr>
          <w:rFonts w:ascii="Arial" w:cs="Arial" w:eastAsia="Arial" w:hAnsi="Arial"/>
          <w:sz w:val="20"/>
          <w:szCs w:val="20"/>
          <w:color w:val="auto"/>
        </w:rPr>
        <w:t>On the hotel B2B side, our revenue grew by double-digits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third straight quarter driven by hotel sponsored placements, which is on track to nearly double this year. We plan to leverage our existing global sales force and traffic scale to bring at least two new products to market in 2020.</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E&amp;D update</w:t>
      </w:r>
    </w:p>
    <w:p>
      <w:pPr>
        <w:spacing w:after="0" w:line="229" w:lineRule="exact"/>
        <w:rPr>
          <w:sz w:val="20"/>
          <w:szCs w:val="20"/>
          <w:color w:val="auto"/>
        </w:rPr>
      </w:pPr>
    </w:p>
    <w:p>
      <w:pPr>
        <w:ind w:right="1180"/>
        <w:spacing w:after="0" w:line="250" w:lineRule="auto"/>
        <w:rPr>
          <w:sz w:val="20"/>
          <w:szCs w:val="20"/>
          <w:color w:val="auto"/>
        </w:rPr>
      </w:pPr>
      <w:r>
        <w:rPr>
          <w:rFonts w:ascii="Arial" w:cs="Arial" w:eastAsia="Arial" w:hAnsi="Arial"/>
          <w:sz w:val="20"/>
          <w:szCs w:val="20"/>
          <w:color w:val="auto"/>
        </w:rPr>
        <w:t>E&amp;D revenue grew 19% to $141 million, while Experiences &amp; Dining segment adjusted EBITDA reflected ongoing long-term growth investments. We estimate that, excluding year-over-year changes in foreign currency, E&amp;D revenue grew approximately 23%.</w:t>
      </w:r>
    </w:p>
    <w:p>
      <w:pPr>
        <w:spacing w:after="0" w:line="194" w:lineRule="exact"/>
        <w:rPr>
          <w:sz w:val="20"/>
          <w:szCs w:val="20"/>
          <w:color w:val="auto"/>
        </w:rPr>
      </w:pPr>
    </w:p>
    <w:p>
      <w:pPr>
        <w:jc w:val="both"/>
        <w:ind w:left="720" w:right="1160" w:hanging="355"/>
        <w:spacing w:after="0" w:line="253"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 xml:space="preserve">In Experiences: </w:t>
      </w:r>
      <w:r>
        <w:rPr>
          <w:rFonts w:ascii="Arial" w:cs="Arial" w:eastAsia="Arial" w:hAnsi="Arial"/>
          <w:sz w:val="20"/>
          <w:szCs w:val="20"/>
          <w:color w:val="auto"/>
        </w:rPr>
        <w:t>Strategic investments in new product categories with attractive consumer price points (e.g.,</w:t>
      </w:r>
      <w:r>
        <w:rPr>
          <w:rFonts w:ascii="Arial" w:cs="Arial" w:eastAsia="Arial" w:hAnsi="Arial"/>
          <w:sz w:val="20"/>
          <w:szCs w:val="20"/>
          <w:b w:val="1"/>
          <w:bCs w:val="1"/>
          <w:color w:val="auto"/>
        </w:rPr>
        <w:t xml:space="preserve"> </w:t>
      </w:r>
      <w:r>
        <w:rPr>
          <w:rFonts w:ascii="Arial" w:cs="Arial" w:eastAsia="Arial" w:hAnsi="Arial"/>
          <w:sz w:val="20"/>
          <w:szCs w:val="20"/>
          <w:color w:val="auto"/>
        </w:rPr>
        <w:t>events, tickets and unique experiences), as well as our TripAdvisor, mobile and non-English channels helped accelerate bookable experiences inventory growth to 115%, drive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147955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1298" w:right="239" w:bottom="1440" w:gutter="0" w:footer="0" w:header="0"/>
        </w:sectPr>
      </w:pPr>
    </w:p>
    <w:bookmarkStart w:id="53" w:name="page54"/>
    <w:bookmarkEnd w:id="53"/>
    <w:p>
      <w:pPr>
        <w:ind w:left="720" w:right="1160"/>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73171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7317105"/>
                    </a:xfrm>
                    <a:prstGeom prst="rect">
                      <a:avLst/>
                    </a:prstGeom>
                    <a:noFill/>
                  </pic:spPr>
                </pic:pic>
              </a:graphicData>
            </a:graphic>
          </wp:anchor>
        </w:drawing>
        <w:t>strong conversion growth, and deliver mid-30% bookings growth in Q3. Having established best-in-class inventory, our focus increasingly centers on merchandising inventory to improve conversion, helping consumers search and discover things to do, especially on mobile and our TripAdvisor channel. TripAdvisor remains our fastest growing channel for experiences bookings, and our strong top of funnel position gives us ample growth opportunity.</w:t>
      </w:r>
    </w:p>
    <w:p>
      <w:pPr>
        <w:spacing w:after="0" w:line="202" w:lineRule="exact"/>
        <w:rPr>
          <w:sz w:val="20"/>
          <w:szCs w:val="20"/>
          <w:color w:val="auto"/>
        </w:rPr>
      </w:pPr>
    </w:p>
    <w:p>
      <w:pPr>
        <w:ind w:left="720" w:hanging="355"/>
        <w:spacing w:after="0"/>
        <w:tabs>
          <w:tab w:leader="none" w:pos="720"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In Restaurants: </w:t>
      </w:r>
      <w:r>
        <w:rPr>
          <w:rFonts w:ascii="Arial" w:cs="Arial" w:eastAsia="Arial" w:hAnsi="Arial"/>
          <w:sz w:val="19"/>
          <w:szCs w:val="19"/>
          <w:color w:val="auto"/>
        </w:rPr>
        <w:t>Bookable restaurants grew 27% to 67,000, and seated diners growth accelerated to mid-30%.</w:t>
      </w:r>
    </w:p>
    <w:p>
      <w:pPr>
        <w:spacing w:after="0" w:line="33" w:lineRule="exact"/>
        <w:rPr>
          <w:rFonts w:ascii="Arial" w:cs="Arial" w:eastAsia="Arial" w:hAnsi="Arial"/>
          <w:sz w:val="19"/>
          <w:szCs w:val="19"/>
          <w:color w:val="auto"/>
        </w:rPr>
      </w:pPr>
    </w:p>
    <w:p>
      <w:pPr>
        <w:ind w:left="720" w:right="1000"/>
        <w:spacing w:after="0" w:line="274" w:lineRule="auto"/>
        <w:rPr>
          <w:rFonts w:ascii="Arial" w:cs="Arial" w:eastAsia="Arial" w:hAnsi="Arial"/>
          <w:sz w:val="19"/>
          <w:szCs w:val="19"/>
          <w:color w:val="auto"/>
        </w:rPr>
      </w:pPr>
      <w:r>
        <w:rPr>
          <w:rFonts w:ascii="Arial" w:cs="Arial" w:eastAsia="Arial" w:hAnsi="Arial"/>
          <w:sz w:val="18"/>
          <w:szCs w:val="18"/>
          <w:color w:val="auto"/>
        </w:rPr>
        <w:t>Restaurants remains a strategic business for us: it adds frequency with consumers when they are not on a trip, more than 70% of bookings are coming via mobile, and it provides helpful data points that enable us to delight consumers and deliver a more robust in-destination experience. On the media revenue side, Restaurants media ad placements and premium subscription offerings once again contributed growth. We have ample runway to drive more value to more of the 5.1 million restaurants listed on TripAdvisor.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update</w:t>
      </w:r>
    </w:p>
    <w:p>
      <w:pPr>
        <w:spacing w:after="0" w:line="229" w:lineRule="exact"/>
        <w:rPr>
          <w:sz w:val="20"/>
          <w:szCs w:val="20"/>
          <w:color w:val="auto"/>
        </w:rPr>
      </w:pPr>
    </w:p>
    <w:p>
      <w:pPr>
        <w:jc w:val="both"/>
        <w:ind w:right="1180"/>
        <w:spacing w:after="0" w:line="250" w:lineRule="auto"/>
        <w:rPr>
          <w:sz w:val="20"/>
          <w:szCs w:val="20"/>
          <w:color w:val="auto"/>
        </w:rPr>
      </w:pPr>
      <w:r>
        <w:rPr>
          <w:rFonts w:ascii="Arial" w:cs="Arial" w:eastAsia="Arial" w:hAnsi="Arial"/>
          <w:sz w:val="20"/>
          <w:szCs w:val="20"/>
          <w:color w:val="auto"/>
        </w:rPr>
        <w:t>Other revenue decreased 30% to $49 million and adjusted EBITDA margin improved to 43%, primarily driven by the elimination of some marginal and unprofitable revenue within some non-TripAdvisor branded offerings in late 2018, which reduced revenue and slightly increased profitability.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Given current hotel click-based auction trends:</w:t>
      </w:r>
    </w:p>
    <w:p>
      <w:pPr>
        <w:spacing w:after="0" w:line="16" w:lineRule="exact"/>
        <w:rPr>
          <w:sz w:val="20"/>
          <w:szCs w:val="20"/>
          <w:color w:val="auto"/>
        </w:rPr>
      </w:pPr>
    </w:p>
    <w:p>
      <w:pPr>
        <w:ind w:left="720" w:right="1220" w:hanging="355"/>
        <w:spacing w:after="0" w:line="239"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We continue to expect Q4 HM&amp;P revenue performance to improve versus Q3, although we do not expect to achieve Q4 HM&amp;P revenue growth;</w:t>
      </w:r>
    </w:p>
    <w:p>
      <w:pPr>
        <w:spacing w:after="0" w:line="1" w:lineRule="exact"/>
        <w:rPr>
          <w:rFonts w:ascii="Arial" w:cs="Arial" w:eastAsia="Arial" w:hAnsi="Arial"/>
          <w:sz w:val="20"/>
          <w:szCs w:val="20"/>
          <w:color w:val="auto"/>
        </w:rPr>
      </w:pPr>
    </w:p>
    <w:p>
      <w:pPr>
        <w:ind w:left="720" w:hanging="355"/>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We expect year-over-year consolidated revenue and adjusted EBITDA trends to improve in Q4; and</w:t>
      </w:r>
    </w:p>
    <w:p>
      <w:pPr>
        <w:ind w:left="720" w:hanging="355"/>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We expect single digit adjusted EBITDA growth for full year 2019.</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Although 2020 planning is ongoing, we point to the following puts and takes for next year:</w:t>
      </w:r>
    </w:p>
    <w:p>
      <w:pPr>
        <w:spacing w:after="0" w:line="229" w:lineRule="exact"/>
        <w:rPr>
          <w:sz w:val="20"/>
          <w:szCs w:val="20"/>
          <w:color w:val="auto"/>
        </w:rPr>
      </w:pPr>
    </w:p>
    <w:p>
      <w:pPr>
        <w:ind w:left="720" w:right="940" w:hanging="355"/>
        <w:spacing w:after="0" w:line="282"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HM&amp;P, we will fully lap hotel auction performance marketing optimizations in Q1 2020. After Q1, we don’t anticipate a revenue headwind or a profit tailwind from year-over-year efficiency target differences. Although difficult to forecast, we prudently anticipate that SEO headwinds will remain a challenge to both top and bottom lines next year. However, we expect to grow both media advertising revenue and hotel B2B revenue.</w:t>
      </w:r>
    </w:p>
    <w:p>
      <w:pPr>
        <w:spacing w:after="0" w:line="175" w:lineRule="exact"/>
        <w:rPr>
          <w:rFonts w:ascii="Arial" w:cs="Arial" w:eastAsia="Arial" w:hAnsi="Arial"/>
          <w:sz w:val="18"/>
          <w:szCs w:val="18"/>
          <w:color w:val="auto"/>
        </w:rPr>
      </w:pPr>
    </w:p>
    <w:p>
      <w:pPr>
        <w:ind w:left="720" w:right="1000" w:hanging="355"/>
        <w:spacing w:after="0" w:line="260"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E&amp;D, we expect continued growth, improved profit margins and continued enhancement of our competitive position and long-term shareholder value.</w:t>
      </w:r>
    </w:p>
    <w:p>
      <w:pPr>
        <w:spacing w:after="0" w:line="190" w:lineRule="exact"/>
        <w:rPr>
          <w:sz w:val="20"/>
          <w:szCs w:val="20"/>
          <w:color w:val="auto"/>
        </w:rPr>
      </w:pPr>
    </w:p>
    <w:p>
      <w:pPr>
        <w:jc w:val="center"/>
        <w:ind w:right="88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jc w:val="both"/>
        <w:ind w:right="880"/>
        <w:spacing w:after="0" w:line="276" w:lineRule="auto"/>
        <w:rPr>
          <w:sz w:val="20"/>
          <w:szCs w:val="20"/>
          <w:color w:val="auto"/>
        </w:rPr>
      </w:pPr>
      <w:r>
        <w:rPr>
          <w:rFonts w:ascii="Arial" w:cs="Arial" w:eastAsia="Arial" w:hAnsi="Arial"/>
          <w:sz w:val="18"/>
          <w:szCs w:val="18"/>
          <w:color w:val="auto"/>
        </w:rPr>
        <w:t xml:space="preserve">TripAdvisor’s third quarter 2019 earnings press release is available on the Investor Relations section of the TripAdvisor website at </w:t>
      </w:r>
      <w:r>
        <w:rPr>
          <w:rFonts w:ascii="Arial" w:cs="Arial" w:eastAsia="Arial" w:hAnsi="Arial"/>
          <w:sz w:val="18"/>
          <w:szCs w:val="18"/>
          <w:u w:val="single" w:color="auto"/>
          <w:color w:val="auto"/>
        </w:rPr>
        <w:t>ir.tripadvisor.com</w:t>
      </w:r>
      <w:r>
        <w:rPr>
          <w:rFonts w:ascii="Arial" w:cs="Arial" w:eastAsia="Arial" w:hAnsi="Arial"/>
          <w:sz w:val="18"/>
          <w:szCs w:val="18"/>
          <w:color w:val="auto"/>
        </w:rPr>
        <w:t xml:space="preserve">. The earnings release is also included as Exhibit 99.1 to our Current Report on Form 8-K as furnished to the U.S. Securities Exchange Commission, or SEC, on November 6, 2019, which is available on the Investor Relations section of our website at </w:t>
      </w:r>
      <w:r>
        <w:rPr>
          <w:rFonts w:ascii="Arial" w:cs="Arial" w:eastAsia="Arial" w:hAnsi="Arial"/>
          <w:sz w:val="18"/>
          <w:szCs w:val="18"/>
          <w:u w:val="single" w:color="auto"/>
          <w:color w:val="auto"/>
        </w:rPr>
        <w:t>ir.tripadvisor.com</w:t>
      </w:r>
      <w:r>
        <w:rPr>
          <w:rFonts w:ascii="Arial" w:cs="Arial" w:eastAsia="Arial" w:hAnsi="Arial"/>
          <w:sz w:val="18"/>
          <w:szCs w:val="18"/>
          <w:color w:val="auto"/>
        </w:rPr>
        <w:t xml:space="preserve"> and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147955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1068" w:right="239"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7171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7171690"/>
                    </a:xfrm>
                    <a:prstGeom prst="rect">
                      <a:avLst/>
                    </a:prstGeom>
                    <a:noFill/>
                  </pic:spPr>
                </pic:pic>
              </a:graphicData>
            </a:graphic>
          </wp:anchor>
        </w:drawing>
        <w:t>Forward-Looking Statements:</w:t>
      </w:r>
    </w:p>
    <w:p>
      <w:pPr>
        <w:spacing w:after="0" w:line="229" w:lineRule="exact"/>
        <w:rPr>
          <w:sz w:val="20"/>
          <w:szCs w:val="20"/>
          <w:color w:val="auto"/>
        </w:rPr>
      </w:pPr>
    </w:p>
    <w:p>
      <w:pPr>
        <w:ind w:right="900"/>
        <w:spacing w:after="0" w:line="269" w:lineRule="auto"/>
        <w:rPr>
          <w:sz w:val="20"/>
          <w:szCs w:val="20"/>
          <w:color w:val="auto"/>
        </w:rPr>
      </w:pPr>
      <w:r>
        <w:rPr>
          <w:rFonts w:ascii="Arial" w:cs="Arial" w:eastAsia="Arial" w:hAnsi="Arial"/>
          <w:sz w:val="18"/>
          <w:szCs w:val="18"/>
          <w:color w:val="auto"/>
        </w:rPr>
        <w:t>These prepared remarks contain “forward-looking statements” within the meaning of Section 27A of the Securities Act of 1933, as amended, and Section 21E of the Securities Exchange Act of 1934, as amended. The following words, when used, are intended to identify forward-looking statements: “anticipate,” “believe,” “could,” “estimate,” “expect,” “intend,” “may,” “might,” “plan,” “project,” “should,” “will,” and similar expressions which do not relate solely to historical matters. We caution investors that any forward-looking statements in these prepared remarks,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of our Annual Report on Form 10-K.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86" w:lineRule="exact"/>
        <w:rPr>
          <w:sz w:val="20"/>
          <w:szCs w:val="20"/>
          <w:color w:val="auto"/>
        </w:rPr>
      </w:pPr>
    </w:p>
    <w:p>
      <w:pPr>
        <w:ind w:right="1000"/>
        <w:spacing w:after="0" w:line="282"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Use of Non-GAAP Financial Measures:</w:t>
      </w:r>
    </w:p>
    <w:p>
      <w:pPr>
        <w:spacing w:after="0" w:line="229" w:lineRule="exact"/>
        <w:rPr>
          <w:sz w:val="20"/>
          <w:szCs w:val="20"/>
          <w:color w:val="auto"/>
        </w:rPr>
      </w:pPr>
    </w:p>
    <w:p>
      <w:pPr>
        <w:ind w:right="880"/>
        <w:spacing w:after="0" w:line="276" w:lineRule="auto"/>
        <w:rPr>
          <w:sz w:val="20"/>
          <w:szCs w:val="20"/>
          <w:color w:val="auto"/>
        </w:rPr>
      </w:pPr>
      <w:r>
        <w:rPr>
          <w:rFonts w:ascii="Arial" w:cs="Arial" w:eastAsia="Arial" w:hAnsi="Arial"/>
          <w:sz w:val="18"/>
          <w:szCs w:val="18"/>
          <w:color w:val="auto"/>
        </w:rPr>
        <w:t>These prepared remarks may include references to non-GAAP measures, such as adjusted EBITDA (including forecasted adjusted EBITDA), free cash flow, and constant currency measurements, such as, non-GAAP revenue before effects of foreign exchange, and adjusted EBITDA before effects of foreign exchange, which are considered non-GAAP financial measures as they are not prepared in conformity with accounting principles generally accepted in the United States (“GAAP”). These non-GAAP financial measures are not prepared under a comprehensive set of accounting rules and, therefore, should only be reviewed alongside results reported under GAAP.</w:t>
      </w:r>
    </w:p>
    <w:p>
      <w:pPr>
        <w:spacing w:after="0" w:line="179" w:lineRule="exact"/>
        <w:rPr>
          <w:sz w:val="20"/>
          <w:szCs w:val="20"/>
          <w:color w:val="auto"/>
        </w:rPr>
      </w:pPr>
    </w:p>
    <w:p>
      <w:pPr>
        <w:ind w:right="1040"/>
        <w:spacing w:after="0" w:line="243" w:lineRule="auto"/>
        <w:rPr>
          <w:sz w:val="20"/>
          <w:szCs w:val="20"/>
          <w:color w:val="auto"/>
        </w:rPr>
      </w:pPr>
      <w:r>
        <w:rPr>
          <w:rFonts w:ascii="Arial" w:cs="Arial" w:eastAsia="Arial" w:hAnsi="Arial"/>
          <w:sz w:val="20"/>
          <w:szCs w:val="20"/>
          <w:color w:val="auto"/>
        </w:rPr>
        <w:t>We encourage investors to review our earnings press release as it contains important information about our financial results, including tabular reconciliations to the most directly comparable GAAP financial measure, definitions, limitations and other related information about these non-GAAP financial measures. We have not reconciled consolidated adjusted EBITDA guidance to projected consolidated GAAP net income (loss) because we do not provide guidance on GAAP net income (loss) or the reconciling items between adjusted EBITDA and GAAP net income (loss), as a result of the uncertainty regarding, and the potential variability of, certain of these items. Accordingly, a reconciliation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147955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60" w:top="1068" w:right="23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4993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4993005"/>
                    </a:xfrm>
                    <a:prstGeom prst="rect">
                      <a:avLst/>
                    </a:prstGeom>
                    <a:noFill/>
                  </pic:spPr>
                </pic:pic>
              </a:graphicData>
            </a:graphic>
          </wp:anchor>
        </w:drawing>
        <w:t>non-GAAP financial measure guidance to the corresponding GAAP measure is not available without unreasonable effort.</w:t>
      </w:r>
    </w:p>
    <w:p>
      <w:pPr>
        <w:spacing w:after="0" w:line="241" w:lineRule="exact"/>
        <w:rPr>
          <w:sz w:val="20"/>
          <w:szCs w:val="20"/>
          <w:color w:val="auto"/>
        </w:rPr>
      </w:pPr>
    </w:p>
    <w:p>
      <w:pPr>
        <w:ind w:right="960"/>
        <w:spacing w:after="0" w:line="243" w:lineRule="auto"/>
        <w:rPr>
          <w:sz w:val="20"/>
          <w:szCs w:val="20"/>
          <w:color w:val="auto"/>
        </w:rPr>
      </w:pPr>
      <w:r>
        <w:rPr>
          <w:rFonts w:ascii="Arial" w:cs="Arial" w:eastAsia="Arial" w:hAnsi="Arial"/>
          <w:sz w:val="20"/>
          <w:szCs w:val="20"/>
          <w:color w:val="auto"/>
        </w:rPr>
        <w:t xml:space="preserve">The earning press release in addition to other supplemental financial information is available on the Investor Relations section of our website at http://ir.tripadvisor.com/. The earnings press release is also included as Exhibit 99.1 to our Current Report on Form 8-K as furnished to the SEC on November 6, 2019, which is available on the Investor Relations section of our website at </w:t>
      </w:r>
      <w:r>
        <w:rPr>
          <w:rFonts w:ascii="Arial" w:cs="Arial" w:eastAsia="Arial" w:hAnsi="Arial"/>
          <w:sz w:val="20"/>
          <w:szCs w:val="20"/>
          <w:u w:val="single" w:color="auto"/>
          <w:color w:val="auto"/>
        </w:rPr>
        <w:t>http://ir.tripadvisor.com/</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the SEC’s website at </w:t>
      </w:r>
      <w:r>
        <w:rPr>
          <w:rFonts w:ascii="Arial" w:cs="Arial" w:eastAsia="Arial" w:hAnsi="Arial"/>
          <w:sz w:val="20"/>
          <w:szCs w:val="20"/>
          <w:u w:val="single" w:color="auto"/>
          <w:color w:val="1155CC"/>
        </w:rPr>
        <w:t>www.sec.gov</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Key Business Metrics:</w:t>
      </w:r>
    </w:p>
    <w:p>
      <w:pPr>
        <w:spacing w:after="0" w:line="229" w:lineRule="exact"/>
        <w:rPr>
          <w:sz w:val="20"/>
          <w:szCs w:val="20"/>
          <w:color w:val="auto"/>
        </w:rPr>
      </w:pPr>
    </w:p>
    <w:p>
      <w:pPr>
        <w:ind w:right="880"/>
        <w:spacing w:after="0" w:line="270" w:lineRule="auto"/>
        <w:rPr>
          <w:sz w:val="20"/>
          <w:szCs w:val="20"/>
          <w:color w:val="auto"/>
        </w:rPr>
      </w:pPr>
      <w:r>
        <w:rPr>
          <w:rFonts w:ascii="Arial" w:cs="Arial" w:eastAsia="Arial" w:hAnsi="Arial"/>
          <w:sz w:val="18"/>
          <w:szCs w:val="18"/>
          <w:color w:val="auto"/>
        </w:rPr>
        <w:t>We review a number of metrics, including unique visitors, hotel shoppers, and revenue per hotel shopper, to evaluate our business, measure our performance, identify trends affecting our business, formulate business plans and make strategic decisions. While these numbers are based on what we believe to be reasonable estimates for the applicable period of measurement, there are inherent challenges in measuring usage and user engagement across our large user base around the world. For example, a single user may have multiple member accounts or browse the internet on multiple browsers or devices, some users may restrict our ability to accurately identify them across visits, and we are not always able to capture user information on all of our platforms. As such, the calculations of our active users may not accurately reflect the actual number of people or organizations using our platform. Our metrics are also affected by applications that automatically contact our servers for regular updates with no discernible user action involved, and this activity can cause our system to count the users associated with such applications as active users on the day or days such contact occurs. As such, the calculation of some of the metrics presented may be affected as a result of this activity. We regularly review our process and may adjust how we calculate our internal metrics to improve their accuracy.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00"/>
          </w:cols>
          <w:pgMar w:left="1160" w:top="106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99.3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TripAdvisor and Trip.Com Group Announce Strategic Partnership</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b w:val="1"/>
          <w:bCs w:val="1"/>
          <w:color w:val="auto"/>
        </w:rPr>
        <w:t xml:space="preserve">NEEDHAM, Mass. and SHANGHAI – Nov. 6, 2019 </w:t>
      </w:r>
      <w:r>
        <w:rPr>
          <w:rFonts w:ascii="Arial" w:cs="Arial" w:eastAsia="Arial" w:hAnsi="Arial"/>
          <w:sz w:val="19"/>
          <w:szCs w:val="19"/>
          <w:color w:val="auto"/>
        </w:rPr>
        <w:t>– Trip.com Group Limited (Nasdaq: TCOM) (“Trip.com Group”, formerly known as</w:t>
      </w:r>
      <w:r>
        <w:rPr>
          <w:rFonts w:ascii="Arial" w:cs="Arial" w:eastAsia="Arial" w:hAnsi="Arial"/>
          <w:sz w:val="19"/>
          <w:szCs w:val="19"/>
          <w:b w:val="1"/>
          <w:bCs w:val="1"/>
          <w:color w:val="auto"/>
        </w:rPr>
        <w:t xml:space="preserve"> </w:t>
      </w:r>
      <w:r>
        <w:rPr>
          <w:rFonts w:ascii="Arial" w:cs="Arial" w:eastAsia="Arial" w:hAnsi="Arial"/>
          <w:sz w:val="19"/>
          <w:szCs w:val="19"/>
          <w:color w:val="auto"/>
        </w:rPr>
        <w:t>Ctrip.com International Ltd. (Nasdaq: CTRP)) and TripAdvisor, Inc. (Nasdaq: TRIP) (“TripAdvisor”) today announced a strategic partnership to expand global cooperation, including a joint venture, global content agreements and a governance agreement.</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First, Ctrip Investment Holding Ltd., a subsidiary of Trip.com Group has entered into a joint venture with TripAdvisor’s subsidiary TripAdvisor Singapore Private Limited. Trip.com Group will be the majority shareholder of the new joint venture entity and will contribute cash and market expertise. TripAdvisor will own 40% of the joint venture and will contribute a long-term exclusive brand and content license and other assets of its China business. Both companies have agreed to share inventories in travel categories at the joint venture level. The joint venture will operate globally as TripAdvisor China.</w:t>
      </w:r>
    </w:p>
    <w:p>
      <w:pPr>
        <w:spacing w:after="0" w:line="208"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Second, Trip.com Group and TripAdvisor have entered into global content agreements providing for distribution of selected TripAdvisor content on major Trip.com Group brands, including Trip.com, Ctrip, Skyscanner and Qunar.</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Furthermore, Trip.com Group and TripAdvisor also entered into a Governance Agreement pursuant to which Trip.com Group will have a nomination right for one TripAdvisor, Inc. Board seat commencing upon the relevant regulatory bodies' approvals of the transaction. To maintain the Board seat, Trip.com Group shall acquire up to 6.95 million TripAdvisor shares or TripAdvisor shares valued at USD317.6 million through open market transactions within one year following regulatory approvals. TripAdvisor and its controlling shareholder Liberty TripAdvisor Holdings, Inc. (“LTRP”) have separately agreed to provide Trip.com Group with certain information rights with respect to potential transactions for the sale of TripAdvisor Class B shares or LTRP Series B shares, respectively.</w:t>
      </w:r>
    </w:p>
    <w:p>
      <w:pPr>
        <w:spacing w:after="0" w:line="19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broad strategic partnership pairs Trip.com Group’s market leadership in travel booking capabilities and China travel market expertise with TripAdvisor’s unique brand strength, rich global user-generated content, and points-of-interest database, as well as best-in-class in-destination supply. The strategic partnership marks an important step for Trip.com Group to realize its globalization vision with greater quality services, and for TripAdvisor to further strengthen its position as a global travel leader.</w:t>
      </w:r>
    </w:p>
    <w:p>
      <w:pPr>
        <w:spacing w:after="0" w:line="205"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“We are pleased to announce this strategic partnership with Trip.com Group to expand TripAdvisor’s global reach and also help outbound Chinese travelers plan more meaningful trips,” said Stephen Kaufer, president and chief executive officer, TripAdvisor. “China is one of the largest and fastest growing travel markets in the world. Trip.com Group, with its established brands and travel market leadership, is the perfect partner to help us achieve our long-term goals in the region.”</w:t>
      </w:r>
    </w:p>
    <w:p>
      <w:pPr>
        <w:spacing w:after="0" w:line="20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“TripAdvisor is a leading global travel platform and an ideal partner for Trip.com Group," said Jane Sun, CEO of Trip.com Group. “As we expand our footprint overseas, it is important that we offer not only seamless access to global travel inventory, but also quality reviews, opinions and pictures generated by other fellow travelers. We are very excited about this strategic partnership, which will undoubtedly further enhance the travel experience for our customers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About Trip.com Group</w:t>
      </w:r>
    </w:p>
    <w:p>
      <w:pPr>
        <w:spacing w:after="0" w:line="22"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auto"/>
        </w:rPr>
        <w:t>Trip.com Group Limited (Nasdaq: TCOM) is a leading one-stop travel service provider consisting of Trip.com, Ctrip, Skyscanner and Qunar. Across its platforms, Trip.com Group enables local partners and travelers around the world to make informed and cost-effective bookings for travel products and services, through aggregation of comprehensive travel-related information and resources, and an advanced transaction platform consisting of mobile apps, Internet websites, and 24/7 customer service centers. Founded in 1999 and listed on Nasdaq in 2003, Trip.com Group has become one of the largest travel companies in the world in terms of gross merchandise value.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TripAdvisor</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TripAdvisor (NASDAQ:TRIP), the world’s largest travel platform*, helps nearly 460 million travelers each month** make every trip their best trip. Travelers across the globe use the TripAdvisor site and app to browse more than 830 million reviews and opinions of 8.6 million accommodations, restaurants, experiences, airlines and cruises. Whether planning or on a trip, travelers turn to TripAdvisor to compare low prices on hotels, flights and cruises, book popular tours and attractions, as well as reserve tables at great restaurants. TripAdvisor, the ultimate travel companion, is available in 49 markets and 28 languages.</w:t>
      </w:r>
    </w:p>
    <w:p>
      <w:pPr>
        <w:spacing w:after="0" w:line="21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 xml:space="preserve">The subsidiaries and affiliates of TripAdvisor, Inc. own and operate a portfolio of websites and businesses, including the following travel media brands: </w:t>
      </w:r>
      <w:r>
        <w:rPr>
          <w:rFonts w:ascii="Arial" w:cs="Arial" w:eastAsia="Arial" w:hAnsi="Arial"/>
          <w:sz w:val="19"/>
          <w:szCs w:val="19"/>
          <w:u w:val="single" w:color="auto"/>
          <w:color w:val="auto"/>
        </w:rPr>
        <w:t>www.airfarewatchdog.com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www.bokun.io</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www.bookingbuddy.com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www.cruisecritic.com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www.family vacation critic.com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www.flipkey.com</w:t>
      </w:r>
      <w:r>
        <w:rPr>
          <w:rFonts w:ascii="Arial" w:cs="Arial" w:eastAsia="Arial" w:hAnsi="Arial"/>
          <w:sz w:val="19"/>
          <w:szCs w:val="19"/>
          <w:color w:val="auto"/>
        </w:rPr>
        <w:t>,</w:t>
      </w:r>
      <w:r>
        <w:rPr>
          <w:rFonts w:ascii="Arial" w:cs="Arial" w:eastAsia="Arial" w:hAnsi="Arial"/>
          <w:sz w:val="19"/>
          <w:szCs w:val="19"/>
          <w:u w:val="single" w:color="auto"/>
          <w:color w:val="auto"/>
        </w:rPr>
        <w:t>www.thefork.com</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www.lafourchette.com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www.eltenedor.com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www.restorando.com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www.holidaylettings.co.uk</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www.holiday watchdog.com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www.housetrip.com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www.jetsetter.com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www.niumba.com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www.onetime.com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www.oyster.com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www.seatguru.com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www.smartertravel.com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www.tingo.com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www.vacationhomerentals.com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www.viator.com</w:t>
      </w:r>
      <w:r>
        <w:rPr>
          <w:rFonts w:ascii="Arial" w:cs="Arial" w:eastAsia="Arial" w:hAnsi="Arial"/>
          <w:sz w:val="19"/>
          <w:szCs w:val="19"/>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*Source: Jumpshot for TripAdvisor Sites, worldwide, June 2019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Source: TripAdvisor internal log files, average monthly unique visitors in Q3 2019</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Statements in this press release regarding management’s future expectations, beliefs, intentions, goals, strategies, plans or prospects, including, without limitation, statements relating to TripAdvisor’s future financial performance on both a GAAP and non-GAAP basis</w:t>
      </w:r>
      <w:r>
        <w:rPr>
          <w:rFonts w:ascii="Arial" w:cs="Arial" w:eastAsia="Arial" w:hAnsi="Arial"/>
          <w:sz w:val="18"/>
          <w:szCs w:val="18"/>
          <w:i w:val="1"/>
          <w:iCs w:val="1"/>
          <w:color w:val="auto"/>
        </w:rPr>
        <w:t>,</w:t>
      </w:r>
      <w:r>
        <w:rPr>
          <w:rFonts w:ascii="Arial" w:cs="Arial" w:eastAsia="Arial" w:hAnsi="Arial"/>
          <w:sz w:val="18"/>
          <w:szCs w:val="18"/>
          <w:color w:val="auto"/>
        </w:rPr>
        <w:t xml:space="preserve"> and TripAdvisor’s prospects as a comprehensive destination for hotels, experiences, and restaurants, may constitute forward-looking statements within the meaning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Investors are cautioned that statements in this press release, which are not strictly historical statements, including, without limitation, statements by our executive officers with respect to growth objectives, strategic investments, and statements regarding management’s plans, objectives and strategies, constitute forward-looking statements. Such forward-looking statements involve known and unknown risks, uncertainties and other factors including those risks, uncertainties and factors detailed in TripAdvisor’s filings with the SEC. As a result of such risks, uncertainties and factors, TripAdvisor’s actual results may differ materially from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8" w:name="page59"/>
    <w:bookmarkEnd w:id="58"/>
    <w:p>
      <w:pPr>
        <w:spacing w:after="0" w:line="269" w:lineRule="auto"/>
        <w:rPr>
          <w:sz w:val="20"/>
          <w:szCs w:val="20"/>
          <w:color w:val="auto"/>
        </w:rPr>
      </w:pPr>
      <w:r>
        <w:rPr>
          <w:rFonts w:ascii="Arial" w:cs="Arial" w:eastAsia="Arial" w:hAnsi="Arial"/>
          <w:sz w:val="19"/>
          <w:szCs w:val="19"/>
          <w:color w:val="auto"/>
        </w:rPr>
        <w:t>future results, performance or achievements discussed in or implied by the forward-looking statements contained herein. TripAdvisor is providing the information in this press release as of this date and assumes no obligations to update the information included in this press release or revise any forward-looking statements, whether as a result of new information, future events or otherwise.</w:t>
      </w:r>
    </w:p>
    <w:sectPr>
      <w:pgSz w:w="11900" w:h="16838" w:orient="portrait"/>
      <w:cols w:equalWidth="0" w:num="1">
        <w:col w:w="11400"/>
      </w:cols>
      <w:pgMar w:left="240" w:top="2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04"/>
    </w:lvl>
  </w:abstractNum>
  <w:abstractNum w:abstractNumId="2">
    <w:nsid w:val="7C3DBD3D"/>
    <w:multiLevelType w:val="hybridMultilevel"/>
    <w:lvl w:ilvl="0">
      <w:lvlJc w:val="left"/>
      <w:lvlText w:val="(%1)"/>
      <w:numFmt w:val="lowerLetter"/>
      <w:start w:val="5"/>
    </w:lvl>
  </w:abstractNum>
  <w:abstractNum w:abstractNumId="3">
    <w:nsid w:val="737B8DDC"/>
    <w:multiLevelType w:val="hybridMultilevel"/>
    <w:lvl w:ilvl="0">
      <w:lvlJc w:val="left"/>
      <w:lvlText w:val="%1"/>
      <w:numFmt w:val="lowerLetter"/>
      <w:start w:val="1"/>
    </w:lvl>
    <w:lvl w:ilvl="1">
      <w:lvlJc w:val="left"/>
      <w:lvlText w:val="(%2)"/>
      <w:numFmt w:val="lowerLetter"/>
      <w:start w:val="2"/>
    </w:lvl>
  </w:abstractNum>
  <w:abstractNum w:abstractNumId="4">
    <w:nsid w:val="6CEAF087"/>
    <w:multiLevelType w:val="hybridMultilevel"/>
    <w:lvl w:ilvl="0">
      <w:lvlJc w:val="left"/>
      <w:lvlText w:val="(%1)"/>
      <w:numFmt w:val="lowerLetter"/>
      <w:start w:val="24"/>
    </w:lvl>
    <w:lvl w:ilvl="1">
      <w:lvlJc w:val="left"/>
      <w:lvlText w:val="%2"/>
      <w:numFmt w:val="lowerLetter"/>
      <w:start w:val="1"/>
    </w:lvl>
  </w:abstractNum>
  <w:abstractNum w:abstractNumId="5">
    <w:nsid w:val="22221A70"/>
    <w:multiLevelType w:val="hybridMultilevel"/>
    <w:lvl w:ilvl="0">
      <w:lvlJc w:val="left"/>
      <w:lvlText w:val="(%1)"/>
      <w:numFmt w:val="lowerLetter"/>
      <w:start w:val="2"/>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1)"/>
      <w:numFmt w:val="lowerLetter"/>
      <w:start w:val="1"/>
    </w:lvl>
  </w:abstractNum>
  <w:abstractNum w:abstractNumId="8">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9">
    <w:nsid w:val="419AC24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0">
    <w:nsid w:val="5577F8E1"/>
    <w:multiLevelType w:val="hybridMultilevel"/>
    <w:lvl w:ilvl="0">
      <w:lvlJc w:val="left"/>
      <w:lvlText w:val="(%1)"/>
      <w:numFmt w:val="lowerRoman"/>
      <w:start w:val="3"/>
    </w:lvl>
  </w:abstractNum>
  <w:abstractNum w:abstractNumId="11">
    <w:nsid w:val="440BADFC"/>
    <w:multiLevelType w:val="hybridMultilevel"/>
    <w:lvl w:ilvl="0">
      <w:lvlJc w:val="left"/>
      <w:lvlText w:val="(%1)"/>
      <w:numFmt w:val="lowerRoman"/>
      <w:start w:val="4"/>
    </w:lvl>
  </w:abstractNum>
  <w:abstractNum w:abstractNumId="12">
    <w:nsid w:val="5072367"/>
    <w:multiLevelType w:val="hybridMultilevel"/>
    <w:lvl w:ilvl="0">
      <w:lvlJc w:val="left"/>
      <w:lvlText w:val="(%1)"/>
      <w:numFmt w:val="lowerLetter"/>
      <w:start w:val="2"/>
    </w:lvl>
  </w:abstractNum>
  <w:abstractNum w:abstractNumId="13">
    <w:nsid w:val="380482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5">
    <w:nsid w:val="7724C67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6">
    <w:nsid w:val="5C482A97"/>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7">
    <w:nsid w:val="2463B9EA"/>
    <w:multiLevelType w:val="hybridMultilevel"/>
    <w:lvl w:ilvl="0">
      <w:lvlJc w:val="left"/>
      <w:lvlText w:val="(%1)"/>
      <w:numFmt w:val="lowerRoman"/>
      <w:start w:val="2"/>
    </w:lvl>
  </w:abstractNum>
  <w:abstractNum w:abstractNumId="18">
    <w:nsid w:val="5E884ADC"/>
    <w:multiLevelType w:val="hybridMultilevel"/>
    <w:lvl w:ilvl="0">
      <w:lvlJc w:val="left"/>
      <w:lvlText w:val="%1"/>
      <w:numFmt w:val="decimal"/>
      <w:start w:val="1"/>
    </w:lvl>
    <w:lvl w:ilvl="1">
      <w:lvlJc w:val="left"/>
      <w:lvlText w:val="(%2)"/>
      <w:numFmt w:val="lowerLetter"/>
      <w:start w:val="4"/>
    </w:lvl>
  </w:abstractNum>
  <w:abstractNum w:abstractNumId="19">
    <w:nsid w:val="51EAD36B"/>
    <w:multiLevelType w:val="hybridMultilevel"/>
    <w:lvl w:ilvl="0">
      <w:lvlJc w:val="left"/>
      <w:lvlText w:val="(%1)"/>
      <w:numFmt w:val="decimal"/>
      <w:start w:val="1"/>
    </w:lvl>
    <w:lvl w:ilvl="1">
      <w:lvlJc w:val="left"/>
      <w:lvlText w:val="(%2)"/>
      <w:numFmt w:val="lowerLetter"/>
      <w:start w:val="5"/>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2"/>
    </w:lvl>
  </w:abstractNum>
  <w:abstractNum w:abstractNumId="22">
    <w:nsid w:val="153EA438"/>
    <w:multiLevelType w:val="hybridMultilevel"/>
    <w:lvl w:ilvl="0">
      <w:lvlJc w:val="left"/>
      <w:lvlText w:val="(%1)"/>
      <w:numFmt w:val="lowerLetter"/>
      <w:start w:val="6"/>
    </w:lvl>
    <w:lvl w:ilvl="1">
      <w:lvlJc w:val="left"/>
      <w:lvlText w:val="(%2)"/>
      <w:numFmt w:val="lowerRoman"/>
      <w:start w:val="1"/>
    </w:lvl>
  </w:abstractNum>
  <w:abstractNum w:abstractNumId="23">
    <w:nsid w:val="3855585C"/>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24">
    <w:nsid w:val="70A64E2A"/>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2"/>
    </w:lvl>
  </w:abstractNum>
  <w:abstractNum w:abstractNumId="28">
    <w:nsid w:val="725A06FB"/>
    <w:multiLevelType w:val="hybridMultilevel"/>
    <w:lvl w:ilvl="0">
      <w:lvlJc w:val="left"/>
      <w:lvlText w:val="(%1)"/>
      <w:numFmt w:val="lowerLetter"/>
      <w:start w:val="2"/>
    </w:lvl>
  </w:abstractNum>
  <w:abstractNum w:abstractNumId="29">
    <w:nsid w:val="2CD89A32"/>
    <w:multiLevelType w:val="hybridMultilevel"/>
    <w:lvl w:ilvl="0">
      <w:lvlJc w:val="left"/>
      <w:lvlText w:val="(%1)"/>
      <w:numFmt w:val="lowerLetter"/>
      <w:start w:val="3"/>
    </w:lvl>
  </w:abstractNum>
  <w:abstractNum w:abstractNumId="30">
    <w:nsid w:val="57E4CCAF"/>
    <w:multiLevelType w:val="hybridMultilevel"/>
    <w:lvl w:ilvl="0">
      <w:lvlJc w:val="left"/>
      <w:lvlText w:val="(%1)"/>
      <w:numFmt w:val="lowerLetter"/>
      <w:start w:val="2"/>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1"/>
    </w:lvl>
    <w:lvl w:ilvl="1">
      <w:lvlJc w:val="left"/>
      <w:lvlText w:val="(%2)"/>
      <w:numFmt w:val="lowerRoman"/>
      <w:start w:val="1"/>
    </w:lvl>
  </w:abstractNum>
  <w:abstractNum w:abstractNumId="33">
    <w:nsid w:val="542289EC"/>
    <w:multiLevelType w:val="hybridMultilevel"/>
    <w:lvl w:ilvl="0">
      <w:lvlJc w:val="left"/>
      <w:lvlText w:val="%1"/>
      <w:numFmt w:val="lowerRoman"/>
      <w:start w:val="1"/>
    </w:lvl>
    <w:lvl w:ilvl="1">
      <w:lvlJc w:val="left"/>
      <w:lvlText w:val="(%2)"/>
      <w:numFmt w:val="lowerLetter"/>
      <w:start w:val="2"/>
    </w:lvl>
  </w:abstractNum>
  <w:abstractNum w:abstractNumId="34">
    <w:nsid w:val="6DE91B18"/>
    <w:multiLevelType w:val="hybridMultilevel"/>
    <w:lvl w:ilvl="0">
      <w:lvlJc w:val="left"/>
      <w:lvlText w:val="(%1)"/>
      <w:numFmt w:val="lowerRoman"/>
      <w:start w:val="4"/>
    </w:lvl>
    <w:lvl w:ilvl="1">
      <w:lvlJc w:val="left"/>
      <w:lvlText w:val="(%2)"/>
      <w:numFmt w:val="lowerLetter"/>
      <w:start w:val="4"/>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lvl w:ilvl="1">
      <w:lvlJc w:val="left"/>
      <w:lvlText w:val="o"/>
      <w:numFmt w:val="bullet"/>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8"/>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781"/>
    </w:lvl>
  </w:abstractNum>
  <w:abstractNum w:abstractNumId="46">
    <w:nsid w:val="70C6A529"/>
    <w:multiLevelType w:val="hybridMultilevel"/>
    <w:lvl w:ilvl="0">
      <w:lvlJc w:val="left"/>
      <w:lvlText w:val="(%1)"/>
      <w:numFmt w:val="decimal"/>
      <w:start w:val="78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2019-12-28T02:41:28Z</dcterms:created>
  <dcterms:modified xsi:type="dcterms:W3CDTF">2019-12-28T02:41:28Z</dcterms:modified>
</cp:coreProperties>
</file>