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207010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___)</w:t>
      </w:r>
    </w:p>
    <w:p>
      <w:pPr>
        <w:spacing w:after="0" w:line="225" w:lineRule="exact"/>
        <w:rPr>
          <w:sz w:val="24"/>
          <w:szCs w:val="24"/>
          <w:color w:val="auto"/>
        </w:rPr>
      </w:pPr>
    </w:p>
    <w:p>
      <w:pPr>
        <w:ind w:left="480" w:hanging="460"/>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 w:lineRule="exact"/>
        <w:rPr>
          <w:sz w:val="24"/>
          <w:szCs w:val="24"/>
          <w:color w:val="auto"/>
        </w:rPr>
      </w:pPr>
    </w:p>
    <w:p>
      <w:pPr>
        <w:ind w:left="20" w:right="6759"/>
        <w:spacing w:after="0" w:line="520" w:lineRule="auto"/>
        <w:tabs>
          <w:tab w:leader="none" w:pos="471"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Filed by a Party other than the Registrant Check the appropriate box:</w:t>
      </w:r>
    </w:p>
    <w:p>
      <w:pPr>
        <w:ind w:left="480" w:hanging="460"/>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5" w:lineRule="exact"/>
        <w:rPr>
          <w:sz w:val="24"/>
          <w:szCs w:val="24"/>
          <w:color w:val="auto"/>
        </w:rPr>
      </w:pPr>
    </w:p>
    <w:p>
      <w:pPr>
        <w:ind w:left="480" w:hanging="460"/>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8" w:lineRule="exact"/>
        <w:rPr>
          <w:rFonts w:ascii="Wingdings" w:cs="Wingdings" w:eastAsia="Wingdings" w:hAnsi="Wingdings"/>
          <w:sz w:val="18"/>
          <w:szCs w:val="18"/>
          <w:b w:val="1"/>
          <w:bCs w:val="1"/>
          <w:color w:val="auto"/>
        </w:rPr>
      </w:pPr>
    </w:p>
    <w:p>
      <w:pPr>
        <w:ind w:left="480" w:hanging="460"/>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8" w:lineRule="exact"/>
        <w:rPr>
          <w:rFonts w:ascii="Wingdings" w:cs="Wingdings" w:eastAsia="Wingdings" w:hAnsi="Wingdings"/>
          <w:sz w:val="18"/>
          <w:szCs w:val="18"/>
          <w:b w:val="1"/>
          <w:bCs w:val="1"/>
          <w:color w:val="auto"/>
        </w:rPr>
      </w:pPr>
    </w:p>
    <w:p>
      <w:pPr>
        <w:ind w:left="480" w:hanging="460"/>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8" w:lineRule="exact"/>
        <w:rPr>
          <w:rFonts w:ascii="Wingdings" w:cs="Wingdings" w:eastAsia="Wingdings" w:hAnsi="Wingdings"/>
          <w:sz w:val="18"/>
          <w:szCs w:val="18"/>
          <w:b w:val="1"/>
          <w:bCs w:val="1"/>
          <w:color w:val="auto"/>
        </w:rPr>
      </w:pPr>
    </w:p>
    <w:p>
      <w:pPr>
        <w:ind w:left="480" w:hanging="460"/>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9" w:lineRule="exact"/>
        <w:rPr>
          <w:sz w:val="24"/>
          <w:szCs w:val="24"/>
          <w:color w:val="auto"/>
        </w:rPr>
      </w:pPr>
    </w:p>
    <w:p>
      <w:pPr>
        <w:ind w:left="420" w:hanging="414"/>
        <w:spacing w:after="0"/>
        <w:tabs>
          <w:tab w:leader="none" w:pos="42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18" w:lineRule="exact"/>
        <w:rPr>
          <w:sz w:val="24"/>
          <w:szCs w:val="24"/>
          <w:color w:val="auto"/>
        </w:rPr>
      </w:pPr>
    </w:p>
    <w:p>
      <w:pPr>
        <w:ind w:left="440" w:hanging="434"/>
        <w:spacing w:after="0"/>
        <w:tabs>
          <w:tab w:leader="none" w:pos="4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8" w:lineRule="exact"/>
        <w:rPr>
          <w:rFonts w:ascii="MS PGothic" w:cs="MS PGothic" w:eastAsia="MS PGothic" w:hAnsi="MS PGothic"/>
          <w:sz w:val="18"/>
          <w:szCs w:val="18"/>
          <w:color w:val="auto"/>
        </w:rPr>
      </w:pPr>
    </w:p>
    <w:p>
      <w:pPr>
        <w:ind w:left="440" w:hanging="434"/>
        <w:spacing w:after="0"/>
        <w:tabs>
          <w:tab w:leader="none" w:pos="4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1120140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1136650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1554480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1" w:name="page2"/>
    <w:bookmarkEnd w:id="1"/>
    <w:p>
      <w:pPr>
        <w:ind w:left="6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2576830</wp:posOffset>
            </wp:positionH>
            <wp:positionV relativeFrom="page">
              <wp:posOffset>88900</wp:posOffset>
            </wp:positionV>
            <wp:extent cx="2369820" cy="370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369820" cy="370840"/>
                    </a:xfrm>
                    <a:prstGeom prst="rect">
                      <a:avLst/>
                    </a:prstGeom>
                    <a:noFill/>
                  </pic:spPr>
                </pic:pic>
              </a:graphicData>
            </a:graphic>
          </wp:anchor>
        </w:drawing>
        <w:t>April [  ],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00" w:lineRule="exact"/>
        <w:rPr>
          <w:sz w:val="20"/>
          <w:szCs w:val="20"/>
          <w:color w:val="auto"/>
        </w:rPr>
      </w:pPr>
    </w:p>
    <w:p>
      <w:pPr>
        <w:spacing w:after="0" w:line="23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Fiscal 2022 was an exciting year for Tripadvisor Group, marked by a robust recovery in the travel industry, a seamless transition in our leadership, and hard work by our teams to deliver strong financial results. While the macro environment was mixed, the traveler returned with determination to get out and experience the world, relying on our trusted advice, recommendations, and marketplaces to help make it happen. Our financial performance reflected the continued revenue recovery and a balanced approach to ongoing cost management and prudent investments in our growth opportunities, particularly around the high-growth experiences category. Total consolidated revenue in fiscal 2022 reached nearly $1.5 billion, reflecting year over year growth of 65%. GAAP net income was $20 million, adjusted EBITDA was $295 million, and free cash flow was $344 million.</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 personal note, I was excited to join Tripadvisor Group in 2022, which represents my return to the travel industry, my passion for innovation to serve the wants and needs of the traveler, and my enthusiasm and respect for the company’s history: its emphasis on trust and community, the scale it has assembled in content, reviews, and visitors to its platform, and a company culture built around a shared purpose. All of this has combined to create enduring assets that are hard to replicate, and together form the unique position the company holds, for both travelers and partners, in this large and growing travel industry.</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2022, we began the work to establish a long-term strategy that builds on this heritage and locks into our common vision for the group as whole: to be the world’s most trusted source for travel and experiences and to connect people to experiences worth sharing through our Tripadvisor, Viator, TheFork, and other brands. We plan to support our vision by pursuing unique value creation strategies for each of our segments, balancing stages of growth, market opportunities, and competitive positioning, while reinforcing the group as a whole</w:t>
      </w:r>
      <w:r>
        <w:rPr>
          <w:rFonts w:ascii="Times New Roman" w:cs="Times New Roman" w:eastAsia="Times New Roman" w:hAnsi="Times New Roman"/>
          <w:sz w:val="21"/>
          <w:szCs w:val="21"/>
          <w:color w:val="auto"/>
        </w:rPr>
        <w:t>:</w:t>
      </w:r>
    </w:p>
    <w:p>
      <w:pPr>
        <w:spacing w:after="0" w:line="66" w:lineRule="exact"/>
        <w:rPr>
          <w:sz w:val="20"/>
          <w:szCs w:val="20"/>
          <w:color w:val="auto"/>
        </w:rPr>
      </w:pPr>
    </w:p>
    <w:p>
      <w:pPr>
        <w:ind w:left="1020" w:hanging="505"/>
        <w:spacing w:after="0" w:line="27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Tripadvisor Core, we will drive deeper traveler engagement, enhancing our products to build on our differentiated assets in brand, trust, community, and content</w:t>
      </w:r>
    </w:p>
    <w:p>
      <w:pPr>
        <w:spacing w:after="0" w:line="56" w:lineRule="exact"/>
        <w:rPr>
          <w:rFonts w:ascii="Times New Roman" w:cs="Times New Roman" w:eastAsia="Times New Roman" w:hAnsi="Times New Roman"/>
          <w:sz w:val="18"/>
          <w:szCs w:val="18"/>
          <w:color w:val="auto"/>
        </w:rPr>
      </w:pPr>
    </w:p>
    <w:p>
      <w:pPr>
        <w:ind w:left="1020" w:hanging="505"/>
        <w:spacing w:after="0" w:line="27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Viator, we will continue to accelerate our leadership position in experiences, by driving awareness, repeat bookings, and share gains in this large and underpenetrated market</w:t>
      </w:r>
    </w:p>
    <w:p>
      <w:pPr>
        <w:spacing w:after="0" w:line="56"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TheFork, we will continue to build on our leadership position in the European dining industry, delivering value to both diners and restaurants</w:t>
      </w:r>
    </w:p>
    <w:p>
      <w:pPr>
        <w:spacing w:after="0" w:line="23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we think about 2023 and beyond, we are excited about the opportunities we can drive for Tripadvisor Group. We believe that we are uniquely positioned with our large global audience, wealth of data, and trusted platforms to address large and growing opportunities in travel and experiences, digital advertising and emerging marketplaces, and across multiple categories.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talented and dedicated employees have been key to all that we do—not only in delivering a strong 2022 but also in establishing our plans for the future. We thank them for their contribution to the culture of this company, to the community we are building, and for their consistent engagement and hard work. Over 3,100 employees, in multiple locations across the globe, work tirelessly each day to drive Tripadvisor Group forward.</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also thank our shareholders, whose support along the journey has demonstrated recognition of the potential in this industry, our team, and our future opportunities. We believe that the best way to drive long-term value for the portfolio of assets is through the execution of our strategic priorities across our segments.</w:t>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Tripadvisor, Inc. to be held on Tuesday, June 6, 2023, at 11:00 a.m. Eastern Time. As in prior years, the annual meeting will be completely virtual. You may attend the meeting, submit questions and vote your shares electronically during the meeting via the Internet by visiting www.virtualshareholdermeeting.com/TRIP2023. To enter the annual meeting electronically, you will need the control number that is printed in the box marked by the arrow on your proxy card. We recommend logging in at least fifteen minutes before the meeting to ensure that you are logged in when the meeting starts. Online check-in will start shortly before the meeting on June 6, 2023.</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the matters described in the accompanying notice of annual meeting and proxy statement, as well as such other business that may properly come before the meeting and any adjournments or postponements thereof. Your vote is very important to us. Please review the instructions for each voting option described in the Notice and in this Proxy Statement. Your prompt cooperation will be greatly appreciated.</w:t>
      </w:r>
    </w:p>
    <w:p>
      <w:pPr>
        <w:spacing w:after="0" w:line="18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8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MATT GOLDBERG</w:t>
      </w:r>
    </w:p>
    <w:p>
      <w:pPr>
        <w:spacing w:after="0" w:line="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PREMILINARY PROXY STATEMENT FOR THE ANNUAL MEETING OF STOCKHOLDERS – SUBJECT TO COMPLETION</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400 1st Avenue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Needham, Massachusetts 02494</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June 6, 2023</w:t>
      </w:r>
    </w:p>
    <w:p>
      <w:pPr>
        <w:spacing w:after="0" w:line="22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2023 Annual Meeting of Stockholders of Tripadvisor, Inc., a Delaware corporation, will be held on Tuesday, June 6, 2023, at 11:00 a.m. Eastern Time. The Annual Meeting will be held via the Internet and will be a completely virtual meeting. You may attend the Annual Meeting, submit questions, and vote your shares electronically during the meeting via the Internet by visiting </w:t>
      </w:r>
      <w:r>
        <w:rPr>
          <w:rFonts w:ascii="Times New Roman" w:cs="Times New Roman" w:eastAsia="Times New Roman" w:hAnsi="Times New Roman"/>
          <w:sz w:val="18"/>
          <w:szCs w:val="18"/>
          <w:u w:val="single" w:color="auto"/>
          <w:color w:val="auto"/>
        </w:rPr>
        <w:t>www.virtualshareholdermeeting.com/TRIP2023</w:t>
      </w:r>
      <w:r>
        <w:rPr>
          <w:rFonts w:ascii="Times New Roman" w:cs="Times New Roman" w:eastAsia="Times New Roman" w:hAnsi="Times New Roman"/>
          <w:sz w:val="18"/>
          <w:szCs w:val="18"/>
          <w:color w:val="auto"/>
        </w:rPr>
        <w:t>. To enter the Annual Meeting, you will need the 16-digit control number that is printed in the box marked by the arrow on your proxy card. We recommend logging in at least fifteen minutes before the meeting to ensure that you are correctly logged in when the Annual Meeting begins. The online check-in will start shortly before the Annual Meeting on June 6, 2023. At the Annual Meeting, stockholders will be asked to consider the following:</w:t>
      </w:r>
    </w:p>
    <w:p>
      <w:pPr>
        <w:spacing w:after="0" w:line="183" w:lineRule="exact"/>
        <w:rPr>
          <w:sz w:val="20"/>
          <w:szCs w:val="20"/>
          <w:color w:val="auto"/>
        </w:rPr>
      </w:pPr>
    </w:p>
    <w:p>
      <w:pPr>
        <w:ind w:left="1260" w:hanging="370"/>
        <w:spacing w:after="0" w:line="275"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ten directors named in this Proxy Statement, each to serve for a one-year term from the date of his or her election and until such director’s successor is elected or until such director’s earlier resignation or removal.</w:t>
      </w:r>
    </w:p>
    <w:p>
      <w:pPr>
        <w:spacing w:after="0" w:line="163" w:lineRule="exact"/>
        <w:rPr>
          <w:rFonts w:ascii="Times New Roman" w:cs="Times New Roman" w:eastAsia="Times New Roman" w:hAnsi="Times New Roman"/>
          <w:sz w:val="18"/>
          <w:szCs w:val="18"/>
          <w:color w:val="auto"/>
        </w:rPr>
      </w:pPr>
    </w:p>
    <w:p>
      <w:pPr>
        <w:ind w:left="1260" w:hanging="370"/>
        <w:spacing w:after="0" w:line="275"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2023;</w:t>
      </w:r>
    </w:p>
    <w:p>
      <w:pPr>
        <w:spacing w:after="0" w:line="163" w:lineRule="exact"/>
        <w:rPr>
          <w:rFonts w:ascii="Times New Roman" w:cs="Times New Roman" w:eastAsia="Times New Roman" w:hAnsi="Times New Roman"/>
          <w:sz w:val="18"/>
          <w:szCs w:val="18"/>
          <w:color w:val="auto"/>
        </w:rPr>
      </w:pPr>
    </w:p>
    <w:p>
      <w:pPr>
        <w:ind w:left="1260" w:hanging="370"/>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redomestication of the Company to the State of Nevada by conversion;</w:t>
      </w:r>
    </w:p>
    <w:p>
      <w:pPr>
        <w:spacing w:after="0" w:line="218" w:lineRule="exact"/>
        <w:rPr>
          <w:rFonts w:ascii="Times New Roman" w:cs="Times New Roman" w:eastAsia="Times New Roman" w:hAnsi="Times New Roman"/>
          <w:sz w:val="18"/>
          <w:szCs w:val="18"/>
          <w:color w:val="auto"/>
        </w:rPr>
      </w:pPr>
    </w:p>
    <w:p>
      <w:pPr>
        <w:ind w:left="1260" w:hanging="370"/>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Tripadvisor, Inc. 2023 Stock and Annual Incentive Plan; and</w:t>
      </w:r>
    </w:p>
    <w:p>
      <w:pPr>
        <w:spacing w:after="0" w:line="218" w:lineRule="exact"/>
        <w:rPr>
          <w:rFonts w:ascii="Times New Roman" w:cs="Times New Roman" w:eastAsia="Times New Roman" w:hAnsi="Times New Roman"/>
          <w:sz w:val="18"/>
          <w:szCs w:val="18"/>
          <w:color w:val="auto"/>
        </w:rPr>
      </w:pPr>
    </w:p>
    <w:p>
      <w:pPr>
        <w:ind w:left="1260" w:hanging="370"/>
        <w:spacing w:after="0" w:line="275"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business that may properly come before the Annual Meeting and any adjournments or postponements thereof.</w:t>
      </w:r>
    </w:p>
    <w:p>
      <w:pPr>
        <w:spacing w:after="0" w:line="163"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Only holders of record of outstanding shares of Tripadvisor capital stock at the close of business on April 17, 2023 are entitled to notice of and to vote at the Annual Meeting and at any adjournments or postponements thereof. We will furnish the Notice of Annual Meeting of Stockholders, Proxy Statement and Annual Report on Form 10-K for the fiscal year ended December 31, 2022 over the Internet. Whether or not you plan to attend the Annual Meeting, we encourage you to access and read the accompanying Proxy Statement. We will send to our stockholders a Notice of Internet Availability of Proxy Materials on or about April 27, 2023, and provide access to our proxy materials over the Internet to our holders of record and beneficial owners of our capital stock as of the close of business on the record date. You may request paper copies by following the instructions on the Notice of Internet Availability of Proxy Materials.</w:t>
      </w:r>
    </w:p>
    <w:p>
      <w:pPr>
        <w:spacing w:after="0" w:line="1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90805</wp:posOffset>
            </wp:positionV>
            <wp:extent cx="1256665" cy="556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666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SETH J. KALVERT</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3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April [</w:t>
      </w:r>
      <w:r>
        <w:rPr>
          <w:sz w:val="20"/>
          <w:szCs w:val="20"/>
          <w:color w:val="auto"/>
        </w:rPr>
        <w:tab/>
      </w:r>
      <w:r>
        <w:rPr>
          <w:rFonts w:ascii="Times New Roman" w:cs="Times New Roman" w:eastAsia="Times New Roman" w:hAnsi="Times New Roman"/>
          <w:sz w:val="17"/>
          <w:szCs w:val="17"/>
          <w:color w:val="auto"/>
        </w:rPr>
        <w:t>], 2023</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Important Notice Regarding the Availability of Proxy Materials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for the Annual Meeting of Stockholders to Be Held on June 6, 2023</w:t>
      </w:r>
    </w:p>
    <w:p>
      <w:pPr>
        <w:spacing w:after="0" w:line="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This Proxy Statement and the 2022 Annual Report are available at: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2AE90"/>
        </w:rPr>
        <w:t>http://ir.Tripadvisor.com/annual-proxy.cfm</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2104390</wp:posOffset>
            </wp:positionH>
            <wp:positionV relativeFrom="page">
              <wp:posOffset>88900</wp:posOffset>
            </wp:positionV>
            <wp:extent cx="330581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305810" cy="52260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340" w:type="dxa"/>
            <w:vAlign w:val="bottom"/>
            <w:gridSpan w:val="24"/>
          </w:tcPr>
          <w:p>
            <w:pPr>
              <w:spacing w:after="0" w:line="206" w:lineRule="exact"/>
              <w:rPr>
                <w:sz w:val="20"/>
                <w:szCs w:val="20"/>
                <w:color w:val="auto"/>
              </w:rPr>
            </w:pPr>
            <w:r>
              <w:rPr>
                <w:rFonts w:ascii="Times New Roman" w:cs="Times New Roman" w:eastAsia="Times New Roman" w:hAnsi="Times New Roman"/>
                <w:sz w:val="18"/>
                <w:szCs w:val="18"/>
                <w:b w:val="1"/>
                <w:bCs w:val="1"/>
                <w:color w:val="0000FF"/>
              </w:rPr>
              <w:t>Annual Meeting Matters</w:t>
            </w:r>
          </w:p>
        </w:tc>
        <w:tc>
          <w:tcPr>
            <w:tcW w:w="88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Proposal 1: Election of Directors</w:t>
            </w: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Corporate Governance</w:t>
            </w:r>
          </w:p>
        </w:tc>
        <w:tc>
          <w:tcPr>
            <w:tcW w:w="78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9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w w:val="98"/>
              </w:rPr>
              <w:t>Proposal 2: Ratification of Appointment of Independent Registered Public Accounting Firm</w:t>
            </w:r>
          </w:p>
        </w:tc>
        <w:tc>
          <w:tcPr>
            <w:tcW w:w="3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Audit Committee Report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5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7"/>
              </w:rPr>
              <w:t>Proposal 3: Approval of the Redomestication in Nevada by Conversion</w:t>
            </w:r>
          </w:p>
        </w:tc>
        <w:tc>
          <w:tcPr>
            <w:tcW w:w="20" w:type="dxa"/>
            <w:vAlign w:val="bottom"/>
            <w:tcBorders>
              <w:bottom w:val="single" w:sz="8" w:color="0000EE"/>
            </w:tcBorders>
          </w:tcPr>
          <w:p>
            <w:pPr>
              <w:spacing w:after="0"/>
              <w:rPr>
                <w:sz w:val="24"/>
                <w:szCs w:val="24"/>
                <w:color w:val="auto"/>
              </w:rPr>
            </w:pPr>
          </w:p>
        </w:tc>
        <w:tc>
          <w:tcPr>
            <w:tcW w:w="498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7"/>
              </w:rPr>
              <w:t>Proposal 4: Approval of the Tripadvisor, Inc. 2023 Stock and Annual Incentive Plan</w:t>
            </w:r>
          </w:p>
        </w:tc>
        <w:tc>
          <w:tcPr>
            <w:tcW w:w="402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Executive Officers</w:t>
            </w:r>
          </w:p>
        </w:tc>
        <w:tc>
          <w:tcPr>
            <w:tcW w:w="20" w:type="dxa"/>
            <w:vAlign w:val="bottom"/>
            <w:tcBorders>
              <w:bottom w:val="single" w:sz="8" w:color="0000EE"/>
            </w:tcBorders>
          </w:tcPr>
          <w:p>
            <w:pPr>
              <w:spacing w:after="0"/>
              <w:rPr>
                <w:sz w:val="24"/>
                <w:szCs w:val="24"/>
                <w:color w:val="auto"/>
              </w:rPr>
            </w:pPr>
          </w:p>
        </w:tc>
        <w:tc>
          <w:tcPr>
            <w:tcW w:w="8920" w:type="dxa"/>
            <w:vAlign w:val="bottom"/>
            <w:gridSpan w:val="20"/>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Compensation Discussion and Analysis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rPr>
              <w:t>CEO Pay Ratio</w:t>
            </w:r>
          </w:p>
        </w:tc>
        <w:tc>
          <w:tcPr>
            <w:tcW w:w="740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Pay versus Performance</w:t>
            </w:r>
          </w:p>
        </w:tc>
        <w:tc>
          <w:tcPr>
            <w:tcW w:w="8460" w:type="dxa"/>
            <w:vAlign w:val="bottom"/>
            <w:gridSpan w:val="16"/>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Executive Compensation</w:t>
            </w:r>
          </w:p>
        </w:tc>
        <w:tc>
          <w:tcPr>
            <w:tcW w:w="846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Director Compensation</w:t>
            </w:r>
          </w:p>
        </w:tc>
        <w:tc>
          <w:tcPr>
            <w:tcW w:w="20" w:type="dxa"/>
            <w:vAlign w:val="bottom"/>
            <w:tcBorders>
              <w:bottom w:val="single" w:sz="8" w:color="0000EE"/>
            </w:tcBorders>
          </w:tcPr>
          <w:p>
            <w:pPr>
              <w:spacing w:after="0"/>
              <w:rPr>
                <w:sz w:val="24"/>
                <w:szCs w:val="24"/>
                <w:color w:val="auto"/>
              </w:rPr>
            </w:pPr>
          </w:p>
        </w:tc>
        <w:tc>
          <w:tcPr>
            <w:tcW w:w="854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7"/>
              </w:rPr>
              <w:t>Security Ownership of Certain Beneficial Owners and Management</w:t>
            </w:r>
          </w:p>
        </w:tc>
        <w:tc>
          <w:tcPr>
            <w:tcW w:w="522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and Related Person Transactions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5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7"/>
              </w:rPr>
              <w:t>Where You Can Find More Information and Incorporation By Reference</w:t>
            </w:r>
          </w:p>
        </w:tc>
        <w:tc>
          <w:tcPr>
            <w:tcW w:w="4820" w:type="dxa"/>
            <w:vAlign w:val="bottom"/>
            <w:gridSpan w:val="3"/>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Annual Reports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54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7"/>
              </w:rPr>
              <w:t>Proposals by Stockholders for Presentation at the 2024 Annual Meeting</w:t>
            </w:r>
          </w:p>
        </w:tc>
        <w:tc>
          <w:tcPr>
            <w:tcW w:w="4940" w:type="dxa"/>
            <w:vAlign w:val="bottom"/>
            <w:gridSpan w:val="4"/>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7"/>
              </w:rPr>
              <w:t>Delivery of Documents to Stockholders Sharing an Address</w:t>
            </w:r>
          </w:p>
        </w:tc>
        <w:tc>
          <w:tcPr>
            <w:tcW w:w="58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Annex A - Redomestication Resolutions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rPr>
              <w:t>Annex B - Plan of Conversion</w:t>
            </w:r>
          </w:p>
        </w:tc>
        <w:tc>
          <w:tcPr>
            <w:tcW w:w="7360" w:type="dxa"/>
            <w:vAlign w:val="bottom"/>
            <w:gridSpan w:val="11"/>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9"/>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Annex C - Articles of Incorporation of Tripadvisor, Inc.</w:t>
            </w:r>
          </w:p>
        </w:tc>
        <w:tc>
          <w:tcPr>
            <w:tcW w:w="6140" w:type="dxa"/>
            <w:vAlign w:val="bottom"/>
            <w:gridSpan w:val="10"/>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Annex D - Bylaws of Tripadvisor, Inc,</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5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Annex E - Tripadvisor, Inc. 2023 Stock and Annual Incentive Plan</w:t>
            </w:r>
          </w:p>
        </w:tc>
        <w:tc>
          <w:tcPr>
            <w:tcW w:w="5300" w:type="dxa"/>
            <w:vAlign w:val="bottom"/>
            <w:gridSpan w:val="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E-1</w:t>
            </w:r>
          </w:p>
        </w:tc>
        <w:tc>
          <w:tcPr>
            <w:tcW w:w="0" w:type="dxa"/>
            <w:vAlign w:val="bottom"/>
          </w:tcPr>
          <w:p>
            <w:pPr>
              <w:spacing w:after="0"/>
              <w:rPr>
                <w:sz w:val="1"/>
                <w:szCs w:val="1"/>
                <w:color w:val="auto"/>
              </w:rPr>
            </w:pPr>
          </w:p>
        </w:tc>
      </w:tr>
      <w:tr>
        <w:trPr>
          <w:trHeight w:val="685"/>
        </w:trPr>
        <w:tc>
          <w:tcPr>
            <w:tcW w:w="6340" w:type="dxa"/>
            <w:vAlign w:val="bottom"/>
            <w:gridSpan w:val="23"/>
          </w:tcPr>
          <w:p>
            <w:pPr>
              <w:jc w:val="right"/>
              <w:ind w:right="68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ANNUAL MEETING MATTERS</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Proxy Statement is being furnished to holders of common stock and Class B common stock of Tripadvisor, Inc., a Delaware corporation, in connection with the solicitation of proxies by Tripadvisor’s Board of Directors (the “Board”) for use at its 2023 Annual Meeting of Stockholders or any adjournment or postponement thereof (the “Annual Meeting”). All references to “Tripadvisor,” the “Company,” “we,” “our” or “us” in this Proxy Statement are to Tripadvisor, Inc. and its subsidiaries. An Annual Report to Stockholders, containing financial statements for the year ended December 31, 2022, and this Proxy Statement are being made available to all stockholders entitled to vote at the Annual Meeting.</w:t>
      </w:r>
    </w:p>
    <w:p>
      <w:pPr>
        <w:spacing w:after="0" w:line="184"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Tripadvisor’s principal executive offices are located at 400 1st Avenue, Needham, Massachusetts 02494. This Proxy Statement is being made available to Tripadvisor stockholders on or about April 27,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114"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 xml:space="preserve">The Annual Meeting will be held on Tuesday, June 6, 2023, at 11:00 a.m. Eastern Time. The Annual Meeting will be held via the Internet and will be a completely virtual meeting. You may attend the meeting, submit questions and vote your shares electronically during the meeting via the Internet by visiting </w:t>
      </w:r>
      <w:r>
        <w:rPr>
          <w:rFonts w:ascii="Times New Roman" w:cs="Times New Roman" w:eastAsia="Times New Roman" w:hAnsi="Times New Roman"/>
          <w:sz w:val="17"/>
          <w:szCs w:val="17"/>
          <w:u w:val="single" w:color="auto"/>
          <w:color w:val="auto"/>
        </w:rPr>
        <w:t>www.virtualshareholdermeeting.com/TRIP2023</w:t>
      </w:r>
      <w:r>
        <w:rPr>
          <w:rFonts w:ascii="Times New Roman" w:cs="Times New Roman" w:eastAsia="Times New Roman" w:hAnsi="Times New Roman"/>
          <w:sz w:val="17"/>
          <w:szCs w:val="17"/>
          <w:color w:val="auto"/>
        </w:rPr>
        <w:t>. To enter the annual meeting, you will need the 16-digit control number that is printed in the box marked by the arrow on your proxy card. We recommend logging in at least fifteen minutes before the meeting to ensure that you are logged in when the meeting starts.</w:t>
      </w:r>
    </w:p>
    <w:p>
      <w:pPr>
        <w:spacing w:after="0" w:line="16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virtual meeting web portal. Technical support will be available during this time and will remain available until the Annual Meeting has ended. No recording of the Annual Meeting is allowed, including audio or video recording.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Voting Rights</w:t>
      </w:r>
    </w:p>
    <w:p>
      <w:pPr>
        <w:spacing w:after="0" w:line="11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The Board established the close of business on April 17, 2023, as the record date for determining the holders of Tripadvisor common stock entitled to notice of and to vote at the Annual Meeting. On the record date, [XXX,XXX,XXX] shares of common stock and 12,799,999 shares of Class B common stock were outstanding and entitled to vote at the Annual Meeting. Tripadvisor stockholders are entitled to one vote for each share of common stock and ten votes for each share of Class B common stock held as of the record date, voting together as a single voting group, on (i) the election of seven of the ten director nominees; (ii) the ratification of the appointment of KPMG LLP as Tripadvisor’s independent registered public accounting firm for the year ending December 31, 2023; (iii) the redomestication of Tripadvisor to the State of Nevada by conversion; and (iv) the Tripadvisor Inc. 2023 Stock and Annual Incentive Plan. Tripadvisor stockholders are entitled to one vote for each share of common stock held as of the record date in the election of the three director nominees that the holders of Tripadvisor common stock are entitled to elect as a separate class pursuant to Tripadvisor’s restated certificate of incorporation. Stockholders have no right to cumulative voting as to any matter, including the election of directors.</w:t>
      </w:r>
    </w:p>
    <w:p>
      <w:pPr>
        <w:spacing w:after="0" w:line="19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previously held by Liberty Interactive Corporation, which is currently known as Qurate Retail, Inc. (“Liberty”) was transferred to Liberty Tripadvisor Holdings, Inc.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and 100% of Liberty’s interest in Tripadvisor was held by LTRIP. Liberty also assigned to LTRIP its rights and obligations under the Governance Agreement between Tripadvisor and Liberty, dated December 20, 2011 (the “Governance Agreement”).</w:t>
      </w:r>
    </w:p>
    <w:p>
      <w:pPr>
        <w:spacing w:after="0" w:line="18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As of the record date, LTRIP beneficially owned [16,445,894] shares of our common stock and 12,799,999 shares of our Class B common stock, which shares constitute [13.0%] of the outstanding shares of common stock and 100% of the outstanding shares of Class B Common Stock. Assuming the conversion of all of LTRIP’s shares of Class B common stock into common stock, as of the record date LTRIP would beneficially own [20.9%] of the outstanding common stock. Because each share of Class B common stock is entitled to ten votes per share and each share of common stock is entitled to one vote per share, as of the record date LTRIP may be deemed to beneficially own equity securities representing [56.7%] of our voting power. As a result, regardless of the vote of any other Tripadvisor stockholder, LTRIP has control over the vote relating to (i) the election of seven of the ten director nominees;</w:t>
      </w:r>
    </w:p>
    <w:p>
      <w:pPr>
        <w:spacing w:after="0" w:line="4" w:lineRule="exact"/>
        <w:rPr>
          <w:sz w:val="20"/>
          <w:szCs w:val="20"/>
          <w:color w:val="auto"/>
        </w:rPr>
      </w:pPr>
    </w:p>
    <w:p>
      <w:pPr>
        <w:jc w:val="both"/>
        <w:ind w:firstLine="6"/>
        <w:spacing w:after="0" w:line="249"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LLP as Tripadvisor’s independent registered public accounting firm for the fiscal year ending December 31, 2023; (iii) the approval of the redomestication of Tripadvisor to the State of Nevada by conversion; and (iv) the approval of the Tripadvisor, Inc. 2023 Stock and Annual Incentive Plan.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Abstentions; Broker Non-Votes</w:t>
      </w:r>
    </w:p>
    <w:p>
      <w:pPr>
        <w:spacing w:after="0" w:line="114"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Transaction of business at the Annual Meeting may occur if a quorum is present. If a quorum is not present, the Annual Meeting will be adjourned or postponed in order to permit additional time for soliciting and obtaining additional proxies or votes. At 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both"/>
        <w:spacing w:after="0" w:line="275" w:lineRule="auto"/>
        <w:rPr>
          <w:sz w:val="20"/>
          <w:szCs w:val="20"/>
          <w:color w:val="auto"/>
        </w:rPr>
      </w:pPr>
      <w:r>
        <w:rPr>
          <w:rFonts w:ascii="Times New Roman" w:cs="Times New Roman" w:eastAsia="Times New Roman" w:hAnsi="Times New Roman"/>
          <w:sz w:val="18"/>
          <w:szCs w:val="18"/>
          <w:color w:val="auto"/>
        </w:rPr>
        <w:t>subsequent reconvening of the Annual Meeting, all proxies will be voted in the same manner as such proxies would have been voted at the original convening of the Annual Meeting, except for any proxies that have been effectively revoked or withdrawn.</w:t>
      </w:r>
    </w:p>
    <w:p>
      <w:pPr>
        <w:spacing w:after="0" w:line="16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With respect to (i) the election of seven of the ten director nominees; (ii) the ratification of the appointment of KPMG LLP as Tripadvisor’s independent registered public accounting firm for the fiscal year ending December 31, 2023; (iii) the approval of the redomestication of Tripadvisor to the State of Nevada by conversion; and (iv) the approval of the Tripadvisor, Inc. 2023 Stock and Annual Incentive Plan, the presence at the Annual Meeting, in person or by proxy, of the holders of a majority of the total votes entitled to be cast constitutes a quorum. Virtual attendance at the Annual Meeting also constitutes presence in person for purposes of determining a quorum at the Annual Meeting. For the election of the three directors whom the holders of Tripadvisor common stock are entitled to elect as a separate class, the presence at the Annual Meeting, in person or by proxy, of the holders of a majority of shares of common stock constitutes a quorum.</w:t>
      </w:r>
    </w:p>
    <w:p>
      <w:pPr>
        <w:spacing w:after="0" w:line="18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a share is represented for any purpose at the meeting, it is deemed to be present for quorum purposes and for all other matters as well. Shares of Tripadvisor capital stock represented by a properly executed proxy will be treated as present at the Annual Meeting for purposes of determining a quorum, without regard to whether the proxy is marked as casting a vote or abstaining.</w:t>
      </w:r>
    </w:p>
    <w:p>
      <w:pPr>
        <w:spacing w:after="0" w:line="17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Abstentions and broker non-votes are counted as present and entitled to vote for purposes of determining a quorum. A broker non-vote occurs when a nominee holding shares for a beneficial owner does not vote the shares on a proposal because the nominee does not have discretionary voting power for a particular item and has not received instructions from the beneficial owner regarding voting. Brokers who hold shares for the accounts of their clients have discretionary authority to vote shares if specific instructions are not given with respect to the ratification of the appointment of our independent registered public accounting firm. Brokers do not have discretionary authority to vote on the election of our directors, so we encourage you to provide instructions to your broker regarding the voting of your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1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Tripadvisor will bear the cost of the solicitation of proxies from its stockholders. In addition to solicitation by mail, the directors, officers and employees of Tripadvisor, without additional compensation, may solicit proxies from stockholders by telephone, by letter, by facsimile, in person or otherwise. Following the original mailing of the proxies and other soliciting materials, Tripadvisor will ask brokers, trusts, banks or other nominees to forward copies of the proxy and other soliciting materials to persons for whom they hold shares of Tripadvisor capital stock and to request authority for the exercise of proxies. In such cases, Tripadvisor, upon the request of the brokers, trusts, banks and other stockholder nominees, will reimburse such holders for their reasonable expenses.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manner in which your shares may be voted depends on whether you are a:</w:t>
      </w:r>
    </w:p>
    <w:p>
      <w:pPr>
        <w:spacing w:after="0" w:line="110" w:lineRule="exact"/>
        <w:rPr>
          <w:sz w:val="20"/>
          <w:szCs w:val="20"/>
          <w:color w:val="auto"/>
        </w:rPr>
      </w:pPr>
    </w:p>
    <w:p>
      <w:pPr>
        <w:ind w:left="1140" w:right="20" w:hanging="370"/>
        <w:spacing w:after="0" w:line="277" w:lineRule="auto"/>
        <w:tabs>
          <w:tab w:leader="none" w:pos="1140" w:val="left"/>
        </w:tabs>
        <w:numPr>
          <w:ilvl w:val="0"/>
          <w:numId w:val="1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 xml:space="preserve">Registered stockholder: </w:t>
      </w:r>
      <w:r>
        <w:rPr>
          <w:rFonts w:ascii="Times New Roman" w:cs="Times New Roman" w:eastAsia="Times New Roman" w:hAnsi="Times New Roman"/>
          <w:sz w:val="18"/>
          <w:szCs w:val="18"/>
          <w:color w:val="auto"/>
        </w:rPr>
        <w:t>Your shares are represented by certificates or book entries in your name on the records of Tripadvisor’s stock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you have the right to vote those shares directly; or</w:t>
      </w:r>
    </w:p>
    <w:p>
      <w:pPr>
        <w:spacing w:after="0" w:line="53" w:lineRule="exact"/>
        <w:rPr>
          <w:rFonts w:ascii="Times New Roman" w:cs="Times New Roman" w:eastAsia="Times New Roman" w:hAnsi="Times New Roman"/>
          <w:sz w:val="18"/>
          <w:szCs w:val="18"/>
          <w:color w:val="02AE90"/>
        </w:rPr>
      </w:pPr>
    </w:p>
    <w:p>
      <w:pPr>
        <w:jc w:val="both"/>
        <w:ind w:left="1140" w:hanging="370"/>
        <w:spacing w:after="0" w:line="261" w:lineRule="auto"/>
        <w:tabs>
          <w:tab w:leader="none" w:pos="1140" w:val="left"/>
        </w:tabs>
        <w:numPr>
          <w:ilvl w:val="0"/>
          <w:numId w:val="1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 xml:space="preserve">Beneficial stockholder: </w:t>
      </w:r>
      <w:r>
        <w:rPr>
          <w:rFonts w:ascii="Times New Roman" w:cs="Times New Roman" w:eastAsia="Times New Roman" w:hAnsi="Times New Roman"/>
          <w:sz w:val="18"/>
          <w:szCs w:val="18"/>
          <w:color w:val="auto"/>
        </w:rPr>
        <w:t>You hold your shares in “street name” through a broker, trust, bank or other nominee and you have the right to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broker, trust, bank or other nominee on how to vote the shares in your account; however, you must request and receive a valid proxy from your broker, trust, bank or other nominee.</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Whether you hold shares directly as a registered stockholder or beneficially as a beneficial stockholder, you may direct how your shares are voted without attending the Annual Meeting. For directions on how to vote, please refer to the instructions below and those on the Notice of Internet Availability of Proxy Materials, proxy card or voting instruction form provided. To vote using the Internet or by telephone, you will be required to enter the control number included on your Notice of Internet Availability of Proxy Materials or other voting instruction form provided by your broker, trust, bank or other nominee.</w:t>
      </w:r>
    </w:p>
    <w:p>
      <w:pPr>
        <w:spacing w:after="0" w:line="45" w:lineRule="exact"/>
        <w:rPr>
          <w:sz w:val="20"/>
          <w:szCs w:val="20"/>
          <w:color w:val="auto"/>
        </w:rPr>
      </w:pPr>
    </w:p>
    <w:p>
      <w:pPr>
        <w:jc w:val="both"/>
        <w:ind w:left="1140" w:hanging="370"/>
        <w:spacing w:after="0" w:line="261" w:lineRule="auto"/>
        <w:tabs>
          <w:tab w:leader="none" w:pos="1140" w:val="left"/>
        </w:tabs>
        <w:numPr>
          <w:ilvl w:val="0"/>
          <w:numId w:val="1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 xml:space="preserve">Using the Internet. </w:t>
      </w:r>
      <w:r>
        <w:rPr>
          <w:rFonts w:ascii="Times New Roman" w:cs="Times New Roman" w:eastAsia="Times New Roman" w:hAnsi="Times New Roman"/>
          <w:sz w:val="18"/>
          <w:szCs w:val="18"/>
          <w:color w:val="auto"/>
        </w:rPr>
        <w:t>Registered stockholders may vote using the Internet by going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stockholders may vote by accessing the website specified on the voting instruction forms provided by their brokers, trusts, banks or other nominees.</w:t>
      </w:r>
    </w:p>
    <w:p>
      <w:pPr>
        <w:spacing w:after="0" w:line="68" w:lineRule="exact"/>
        <w:rPr>
          <w:rFonts w:ascii="Times New Roman" w:cs="Times New Roman" w:eastAsia="Times New Roman" w:hAnsi="Times New Roman"/>
          <w:sz w:val="18"/>
          <w:szCs w:val="18"/>
          <w:color w:val="02AE90"/>
        </w:rPr>
      </w:pPr>
    </w:p>
    <w:p>
      <w:pPr>
        <w:jc w:val="both"/>
        <w:ind w:left="1140" w:hanging="370"/>
        <w:spacing w:after="0" w:line="261" w:lineRule="auto"/>
        <w:tabs>
          <w:tab w:leader="none" w:pos="1140" w:val="left"/>
        </w:tabs>
        <w:numPr>
          <w:ilvl w:val="0"/>
          <w:numId w:val="1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Registered stockholders may vote, from within the United States, using any touch-tone telephone by calling 1-800-690-6903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following the recorded instructions. Beneficial owners may vote, from within the United States, using any touch-tone telephone by calling the number specified on the voting instruction forms provided by their brokers, trusts, banks or other nominees.</w:t>
      </w:r>
    </w:p>
    <w:p>
      <w:pPr>
        <w:spacing w:after="0" w:line="68" w:lineRule="exact"/>
        <w:rPr>
          <w:rFonts w:ascii="Times New Roman" w:cs="Times New Roman" w:eastAsia="Times New Roman" w:hAnsi="Times New Roman"/>
          <w:sz w:val="18"/>
          <w:szCs w:val="18"/>
          <w:color w:val="02AE90"/>
        </w:rPr>
      </w:pPr>
    </w:p>
    <w:p>
      <w:pPr>
        <w:ind w:left="1140" w:hanging="370"/>
        <w:spacing w:after="0" w:line="277" w:lineRule="auto"/>
        <w:tabs>
          <w:tab w:leader="none" w:pos="1140" w:val="left"/>
        </w:tabs>
        <w:numPr>
          <w:ilvl w:val="0"/>
          <w:numId w:val="1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Registered stockholders may submit proxies by mail by requesting printed proxy cards and marking, signing and dating the printed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cards and mailing them in the accompanying pre-addressed envelopes. Beneficial owners may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p>
      <w:pPr>
        <w:ind w:left="1140"/>
        <w:spacing w:after="0" w:line="275" w:lineRule="auto"/>
        <w:rPr>
          <w:sz w:val="20"/>
          <w:szCs w:val="20"/>
          <w:color w:val="auto"/>
        </w:rPr>
      </w:pPr>
      <w:r>
        <w:rPr>
          <w:rFonts w:ascii="Times New Roman" w:cs="Times New Roman" w:eastAsia="Times New Roman" w:hAnsi="Times New Roman"/>
          <w:sz w:val="18"/>
          <w:szCs w:val="18"/>
          <w:color w:val="auto"/>
        </w:rPr>
        <w:t>vote by marking, signing and dating the voting instruction forms provided by their brokers, trusts, banks or other nominees and mailing them in the accompanying pre-addressed envelopes.</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All proxies properly submitted and not revoked will be voted at the Annual Meeting in accordance with the instructions indicated thereon. If no instructions are provided, such proxies will be voted FOR proposals (1), (2), (3) and (4).</w:t>
      </w:r>
    </w:p>
    <w:p>
      <w:pPr>
        <w:spacing w:after="0" w:line="16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Tripadvisor is incorporated under Delaware law, which specifically permits electronically transmitted proxies, provided that each such proxy contains, or is submitted with, information from which the inspector of elections can determine that such proxy was authorized by the stockholder. The electronic voting procedures provided for the Annual Meeting are designed to authenticate each stockholder by use of a control number, to allow stockholders to vote their shares and to confirm that their instructions have been properly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 Person at the Annual Meeting</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Virtual attendance at the Annual Meeting constitutes presence in person for purposes of each required vote. Votes in person will replace any previous votes you have made by mail or telephone or via the Internet. Attendance at the Annual Meeting without voting or revoking a previous proxy in accordance with the voting procedures will not in and of itself revoke a proxy.</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Holders of record may vote their shares electronically during the meeting via the Internet by visiting </w:t>
      </w:r>
      <w:r>
        <w:rPr>
          <w:rFonts w:ascii="Times New Roman" w:cs="Times New Roman" w:eastAsia="Times New Roman" w:hAnsi="Times New Roman"/>
          <w:sz w:val="18"/>
          <w:szCs w:val="18"/>
          <w:u w:val="single" w:color="auto"/>
          <w:color w:val="auto"/>
        </w:rPr>
        <w:t>www.virtualshareholdermeeting.com/TRIP2023</w:t>
      </w:r>
      <w:r>
        <w:rPr>
          <w:rFonts w:ascii="Times New Roman" w:cs="Times New Roman" w:eastAsia="Times New Roman" w:hAnsi="Times New Roman"/>
          <w:sz w:val="18"/>
          <w:szCs w:val="18"/>
          <w:color w:val="auto"/>
        </w:rPr>
        <w:t>. To enter the annual meeting, holders will need the 16-digit control number that is printed in the box marked by the arrow on their proxy card. We recommend logging in at least fifteen minutes before the meeting to ensure that you are logged in when the meeting starts. Online check-in will start shortly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154940</wp:posOffset>
            </wp:positionV>
            <wp:extent cx="7037705" cy="375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375285"/>
                    </a:xfrm>
                    <a:prstGeom prst="rect">
                      <a:avLst/>
                    </a:prstGeom>
                    <a:noFill/>
                  </pic:spPr>
                </pic:pic>
              </a:graphicData>
            </a:graphic>
          </wp:anchor>
        </w:drawing>
      </w:r>
    </w:p>
    <w:p>
      <w:pPr>
        <w:spacing w:after="0" w:line="294" w:lineRule="exact"/>
        <w:rPr>
          <w:sz w:val="20"/>
          <w:szCs w:val="20"/>
          <w:color w:val="auto"/>
        </w:rPr>
      </w:pPr>
    </w:p>
    <w:p>
      <w:pPr>
        <w:jc w:val="cente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Your vote is very important. Whether or not you plan to attend the Annual Meeting, please take the time to vote via the Internet, by telephone or by returning your marked, signed and dated proxy card so that your shares will be represented at the Annual Meeting.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proxy given pursuant to this solicitation may be revoked by the person giving it any time before the taking of the vote at the Annual Meeting.</w:t>
      </w:r>
    </w:p>
    <w:p>
      <w:pPr>
        <w:spacing w:after="0" w:line="21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If you are a beneficial stockholder, you may revoke your proxy or change your vote only by following the separate instructions provided by your broker, trust, bank or other nominee.</w:t>
      </w:r>
    </w:p>
    <w:p>
      <w:pPr>
        <w:spacing w:after="0" w:line="16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you are a registered stockholder, you may revoke your proxy at any time before it is exercised at the Annual Meeting by (i) delivering written notice, bearing a date later than the proxy, stating that the proxy is revoked, or (ii) submitting a later-dated proxy relating to the same shares by mail or telephone or via the Internet prior to the vote at the Annual Meeting. Registered holders may send any written notice or request for a new proxy card to Tripadvisor, Inc., c/o Broadridge, 51 Mercedes Way, Edgewood, New York 11717, or follow the instructions provided on the Notice of Internet Availability of Proxy Materials and proxy card to submit a new proxy by telephone or via the Internet. Registered holders may also request a new proxy card by calling 1-800-579-1639. Your attendance at the annual meeting will not, by itself, revoke a prior vote or proxy from you.</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does not presently intend to bring any business before the Annual Meeting other than the proposals discussed in this Proxy Statement and specified in the Notice of Annual Meeting of Stockholders. The Board has no knowledge of any other matters to be presented at the Annual Meeting other than those described in this Proxy Statement. If any other matters should properly come before the Annual Meeting, the persons designated in the proxy will vote on them according to their best judgment.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PROPOSAL 1:</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Board currently consists of ten members. Pursuant to the terms of Tripadvisor’s bylaws, each director serves for a one-year term from the date of his or her election and until such director’s successor is elected or until such director’s earlier resignation or removal. The Board recommends that each of the ten nominees listed below be elected to serve a one-year term and until such director’s successor shall have been duly elected and qualified or until such director’s earlier resignation or removal:</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Gregory B. Maffei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Matt Goldberg</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Jay C. Hoag</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Betsy L. Morgan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 Greg O’Hara</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Jeremy Philips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Albert E. Rosenthaler</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Trynka Shineman Blake</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Jane Jie Sun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S. Wiesenthal</w:t>
      </w:r>
    </w:p>
    <w:p>
      <w:pPr>
        <w:spacing w:after="0" w:line="1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Tripadvisor’s restated certificate of incorporation provides that the holders of Tripadvisor common stock, acting as a single class, are entitled to elect a number of directors equal to 25% of the total number of directors, rounded up to the next whole number, which will be three directors as of the date of the Annual Meeting. The Board has designated Ms. Shineman and Messrs. Philips and Wiesenthal as nominees for the positions on the Board to be elected by the holders of Tripadvisor common stock voting as a separate class.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Governance Agreement, LTRIP has the right to nominate up to a number of directors equal to 20% of the total number of the directors (rounded up to the next whole number if the number of directors on the Board is not an even multiple of five) for election to the Board and has certain other rights regarding committee participation, so long as certain stock ownership requirements applicable to LTRIP are satisfied. LTRIP has designated Messrs. Maffei and O’Hara as its nominees to the Board.</w:t>
      </w:r>
    </w:p>
    <w:p>
      <w:pPr>
        <w:spacing w:after="0" w:line="183"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8"/>
          <w:szCs w:val="18"/>
          <w:color w:val="auto"/>
        </w:rPr>
        <w:t>Although management does not anticipate that any of the nominees named above will be unable or unwilling to stand for election, in the event of such an occurrence, proxies may be voted for a substitute nominee designated by the Board.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Director Nominees</w:t>
      </w:r>
    </w:p>
    <w:p>
      <w:pPr>
        <w:spacing w:after="0" w:line="114"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The information provided below about each nominee is as of the date of this Proxy Statement. The information presented includes the names of each of the nominees, along with his or her age, any positions held with the Company, term of office as a director, principal occupations or employment for the past five years or more, involvement in certain legal proceedings, if applicable, and the names of all other publicly-held companies for which he or she currently serves as a director or has served as a director during the past five years. The information also includes a description of the specific experience, qualifications, attributes and skills of each nominee that led our Board to conclude that he or she should serve as a director of the Company for the ensuing term.</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ten nominees to the Board possess the experience and qualifications that we believe will allow them to make substantial contributions to the Board. In selecting nominees to the Board, we seek to ensure that the Board collectively has a balance of diversity, experience, and expertise, including chief executive officer experience, chief financial officer experience, international expertise, corporate governance experience and experience in other functional areas that are relevant to our business. The following contains a more detailed discussion of the business experience and qualifications of each of the nominees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Gregory B. Maffei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153035</wp:posOffset>
            </wp:positionV>
            <wp:extent cx="1349375" cy="2023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2013</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Committee Memberships: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Compensation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7"/>
          <w:szCs w:val="17"/>
          <w:color w:val="auto"/>
        </w:rPr>
        <w:t>Mr. Maffei has served as a director as well as the President and Chief Executive Officer of Liberty Media Corporation (“LMC”) (including its predecessor) since May 2007, LTRIP since July 2013, Liberty Broadband Corporation (“LBC”) since June 2014 and GCI Liberty, Inc. since March 2018. He has served as Chairman of the board of directors of Qurate Retail, Inc. (“Qurate”) since March 2018 and as a director of Qurate (including its predecessor) since November 2005. He previously served as President and Chief Executive Officer of Qurate from February 2006 to March 2018 and CEO-Elect from November 2005 through February 2006. Prior to joining Qurate, Mr. Maffei served as President and Chief Financial Officer of Oracle Corporation, Chairman, President and Chief Executive Officer of 360 networks Corporation and Chief Financial Officer of Microsoft Corporation. Mr. Maffei currently serves on the board of directors of the following public companies: Sirius XM Holdings Inc., Live Nation Entertainment, Inc., Charter Communications, Inc., and Zillow Group, Inc. Mr. Maffei is a member of the Council on Foreign Relations and the Board of Trustees of Dartmouth College. Mr. Maffei previously served on the board of directors of Starz, Electronic Arts, Inc., Barnes &amp; Noble, Inc., Citrix Systems, Inc., DirecTV, Starbucks Corp., and Dorling Kindersley Limited. Mr. Maffei holds an M.B.A. from Harvard Business School, where he was a Baker Scholar, and an A.B. from Dartmouth College.</w:t>
      </w:r>
    </w:p>
    <w:p>
      <w:pPr>
        <w:spacing w:after="0" w:line="17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Mr. Maffei brings to our Board significant financial and operational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his senior policy-making positions at LMC, Qurate, LBC and LTRIP, his previous executive positions at Oracle, 360networks and Microsoft and his other public company board experience. He provides our Board with an executive and leadership perspective on the operation and management of large public companies and risk management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962025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39" w:lineRule="exact"/>
        <w:rPr>
          <w:sz w:val="20"/>
          <w:szCs w:val="20"/>
          <w:color w:val="auto"/>
        </w:rPr>
      </w:pPr>
    </w:p>
    <w:p>
      <w:pPr>
        <w:sectPr>
          <w:pgSz w:w="11900" w:h="16838" w:orient="portrait"/>
          <w:cols w:equalWidth="0" w:num="2">
            <w:col w:w="2000" w:space="720"/>
            <w:col w:w="8520"/>
          </w:cols>
          <w:pgMar w:left="320" w:top="334" w:right="339" w:bottom="1440" w:gutter="0" w:footer="0" w:header="0"/>
          <w:type w:val="continuous"/>
        </w:sectPr>
      </w:pPr>
    </w:p>
    <w:p>
      <w:pPr>
        <w:spacing w:after="0" w:line="38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Mr. Goldberg has served as President and CEO of Tripadvisor, Inc. since July 2022. From February 2020 through June</w:t>
      </w:r>
    </w:p>
    <w:p>
      <w:pPr>
        <w:spacing w:after="0" w:line="32" w:lineRule="exact"/>
        <w:rPr>
          <w:sz w:val="20"/>
          <w:szCs w:val="20"/>
          <w:color w:val="auto"/>
        </w:rPr>
      </w:pPr>
    </w:p>
    <w:p>
      <w:pPr>
        <w:jc w:val="right"/>
        <w:ind w:left="20" w:right="20"/>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Matt Goldberg            </w:t>
      </w:r>
      <w:r>
        <w:rPr>
          <w:rFonts w:ascii="Times New Roman" w:cs="Times New Roman" w:eastAsia="Times New Roman" w:hAnsi="Times New Roman"/>
          <w:sz w:val="17"/>
          <w:szCs w:val="17"/>
          <w:color w:val="auto"/>
        </w:rPr>
        <w:t>2022, Mr. Goldberg held positions of increasing responsibility at The Trade Desk, a global technology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7"/>
          <w:szCs w:val="17"/>
          <w:color w:val="auto"/>
        </w:rPr>
        <w:t>including founding director of Dataphilanthropy and Executive Vice President, North America and Global Operations.</w:t>
      </w:r>
    </w:p>
    <w:p>
      <w:pPr>
        <w:spacing w:after="0" w:line="1" w:lineRule="exact"/>
        <w:rPr>
          <w:sz w:val="20"/>
          <w:szCs w:val="20"/>
          <w:color w:val="auto"/>
        </w:rPr>
      </w:pPr>
    </w:p>
    <w:p>
      <w:pPr>
        <w:jc w:val="both"/>
        <w:ind w:left="2720" w:right="20"/>
        <w:spacing w:after="0" w:line="247" w:lineRule="auto"/>
        <w:rPr>
          <w:sz w:val="20"/>
          <w:szCs w:val="20"/>
          <w:color w:val="auto"/>
        </w:rPr>
      </w:pPr>
      <w:r>
        <w:rPr>
          <w:rFonts w:ascii="Times New Roman" w:cs="Times New Roman" w:eastAsia="Times New Roman" w:hAnsi="Times New Roman"/>
          <w:sz w:val="18"/>
          <w:szCs w:val="18"/>
          <w:color w:val="auto"/>
        </w:rPr>
        <w:t>Mr. Goldberg served as Global Head of M&amp;A and Strategic Alliances for News Corp from December 2016 through December 2019. Mr. Goldberg served as Senior Vice President, Global Market Development and Head of Corporate Development for Qurate, formerly known as QVC from October 2013 through November 2016. Prior to that, Mr. Goldberg was CEO of Lonely Planet, a travel guide publisher for nearly five years. Mr. Goldberg currently serves on the board of directors of Blue Ocean Acquisition Corp, and is active in philanthropy and nonprofit leadership, including The Burning Man Project and Lumina Foundation. Mr. Goldberg holds an MBA from Stanford University, an M.A. in International Studies from The University of Melbourne and a B.A. in English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-929640</wp:posOffset>
            </wp:positionV>
            <wp:extent cx="1374775" cy="1771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4775" cy="1771015"/>
                    </a:xfrm>
                    <a:prstGeom prst="rect">
                      <a:avLst/>
                    </a:prstGeom>
                    <a:noFill/>
                  </pic:spPr>
                </pic:pic>
              </a:graphicData>
            </a:graphic>
          </wp:anchor>
        </w:drawing>
      </w:r>
    </w:p>
    <w:p>
      <w:pPr>
        <w:spacing w:after="0" w:line="168" w:lineRule="exact"/>
        <w:rPr>
          <w:sz w:val="20"/>
          <w:szCs w:val="20"/>
          <w:color w:val="auto"/>
        </w:rPr>
      </w:pPr>
    </w:p>
    <w:p>
      <w:pPr>
        <w:jc w:val="both"/>
        <w:ind w:left="2720" w:right="2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Mr. Goldberg has extensive knowledge and significant experience in the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sector of the global travel industry. Mr. Goldberg also possesses strategic and governance skills gained through his executive and director roles with several other companies.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Executive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23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Jay C. Hoag</w:t>
            </w: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Mr. Hoag co-founded Technology Crossover Ventures, a private equity and venture capital firm, in 1995 and continues</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to serve as a founding General Partner. In addition to the board of directors of the Company, Mr. Hoag currently serves</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on the boards of directors of the following public companies: Netflix, Inc., Peloton Interactive, Inc. and Zillow Group,</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 Mr. Hoag also serves on the boards of directors of several private companies. Mr. Hoag previously served on a</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number of other boards of directors of public and private companies. Mr. Hoag is also on the Board of Trustees of</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Northwestern University and Vanderbilt University, and the Investment Advisory Board of the University of Michigan.</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Mr. Hoag holds an M.B.A. from the University of Michigan and a B.A. from Northwestern University.</w:t>
            </w:r>
          </w:p>
        </w:tc>
      </w:tr>
      <w:tr>
        <w:trPr>
          <w:trHeight w:val="406"/>
        </w:trPr>
        <w:tc>
          <w:tcPr>
            <w:tcW w:w="2360" w:type="dxa"/>
            <w:vAlign w:val="bottom"/>
          </w:tcPr>
          <w:p>
            <w:pPr>
              <w:spacing w:after="0"/>
              <w:rPr>
                <w:sz w:val="24"/>
                <w:szCs w:val="24"/>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As a venture capital investor, Mr. Hoag brings strategic insights and extensive</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experience to the Company’s Board. He has evaluated, invested in and served as a board and committee</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 of numerous companies, both public and private, and is familiar with a full range of corporate and board</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functions. His many years of experience helping companies shape and implement strategy provide the Company’s</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Board with unique perspectives on matters such as risk management, corporate governance, talent selection and</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leadership development.</w:t>
            </w:r>
          </w:p>
        </w:tc>
      </w:tr>
      <w:tr>
        <w:trPr>
          <w:trHeight w:val="72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64</w:t>
            </w:r>
          </w:p>
        </w:tc>
        <w:tc>
          <w:tcPr>
            <w:tcW w:w="8880" w:type="dxa"/>
            <w:vAlign w:val="bottom"/>
          </w:tcPr>
          <w:p>
            <w:pPr>
              <w:spacing w:after="0"/>
              <w:rPr>
                <w:sz w:val="24"/>
                <w:szCs w:val="24"/>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tc>
        <w:tc>
          <w:tcPr>
            <w:tcW w:w="8880" w:type="dxa"/>
            <w:vAlign w:val="bottom"/>
          </w:tcPr>
          <w:p>
            <w:pPr>
              <w:spacing w:after="0"/>
              <w:rPr>
                <w:sz w:val="20"/>
                <w:szCs w:val="20"/>
                <w:color w:val="auto"/>
              </w:rPr>
            </w:pPr>
          </w:p>
        </w:tc>
      </w:tr>
      <w:tr>
        <w:trPr>
          <w:trHeight w:val="31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8880" w:type="dxa"/>
            <w:vAlign w:val="bottom"/>
          </w:tcPr>
          <w:p>
            <w:pPr>
              <w:spacing w:after="0"/>
              <w:rPr>
                <w:sz w:val="24"/>
                <w:szCs w:val="24"/>
                <w:color w:val="auto"/>
              </w:rPr>
            </w:pPr>
          </w:p>
        </w:tc>
      </w:tr>
      <w:tr>
        <w:trPr>
          <w:trHeight w:val="21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 xml:space="preserve">• </w:t>
            </w:r>
            <w:r>
              <w:rPr>
                <w:rFonts w:ascii="Times New Roman" w:cs="Times New Roman" w:eastAsia="Times New Roman" w:hAnsi="Times New Roman"/>
                <w:sz w:val="18"/>
                <w:szCs w:val="18"/>
                <w:color w:val="000000"/>
              </w:rPr>
              <w:t>Compensation</w:t>
            </w:r>
          </w:p>
        </w:tc>
        <w:tc>
          <w:tcPr>
            <w:tcW w:w="8880" w:type="dxa"/>
            <w:vAlign w:val="bottom"/>
          </w:tcPr>
          <w:p>
            <w:pPr>
              <w:spacing w:after="0"/>
              <w:rPr>
                <w:sz w:val="18"/>
                <w:szCs w:val="18"/>
                <w:color w:val="auto"/>
              </w:rPr>
            </w:pP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 xml:space="preserve">• </w:t>
            </w:r>
            <w:r>
              <w:rPr>
                <w:rFonts w:ascii="Times New Roman" w:cs="Times New Roman" w:eastAsia="Times New Roman" w:hAnsi="Times New Roman"/>
                <w:sz w:val="18"/>
                <w:szCs w:val="18"/>
                <w:color w:val="000000"/>
              </w:rPr>
              <w:t>Section 16</w:t>
            </w:r>
          </w:p>
        </w:tc>
        <w:tc>
          <w:tcPr>
            <w:tcW w:w="8880" w:type="dxa"/>
            <w:vAlign w:val="bottom"/>
          </w:tcPr>
          <w:p>
            <w:pPr>
              <w:spacing w:after="0"/>
              <w:rPr>
                <w:sz w:val="20"/>
                <w:szCs w:val="20"/>
                <w:color w:val="auto"/>
              </w:rPr>
            </w:pPr>
          </w:p>
        </w:tc>
      </w:tr>
      <w:tr>
        <w:trPr>
          <w:trHeight w:val="583"/>
        </w:trPr>
        <w:tc>
          <w:tcPr>
            <w:tcW w:w="2360" w:type="dxa"/>
            <w:vAlign w:val="bottom"/>
            <w:tcBorders>
              <w:bottom w:val="single" w:sz="8" w:color="02AE90"/>
            </w:tcBorders>
          </w:tcPr>
          <w:p>
            <w:pPr>
              <w:spacing w:after="0"/>
              <w:rPr>
                <w:sz w:val="24"/>
                <w:szCs w:val="24"/>
                <w:color w:val="auto"/>
              </w:rPr>
            </w:pPr>
          </w:p>
        </w:tc>
        <w:tc>
          <w:tcPr>
            <w:tcW w:w="8880" w:type="dxa"/>
            <w:vAlign w:val="bottom"/>
            <w:tcBorders>
              <w:bottom w:val="single" w:sz="8" w:color="02AE90"/>
            </w:tcBorders>
          </w:tcPr>
          <w:p>
            <w:pPr>
              <w:spacing w:after="0"/>
              <w:rPr>
                <w:sz w:val="24"/>
                <w:szCs w:val="24"/>
                <w:color w:val="auto"/>
              </w:rPr>
            </w:pPr>
          </w:p>
        </w:tc>
      </w:tr>
      <w:tr>
        <w:trPr>
          <w:trHeight w:val="413"/>
        </w:trPr>
        <w:tc>
          <w:tcPr>
            <w:tcW w:w="23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Betsy L. Morgan</w:t>
            </w: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Ms. Morgan is currently the co-founder of Magnet Companies, a private equity-backed company focused on media and</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commerce, and an associate professor at Columbia Business School and Columbia College. From February 2016 to</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2018, Ms. Morgan served as an Executive in Residence of LionTree, an advisory and merchant bank firm</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specializing in technology and media. From January 2011 to July 2015, Ms. Morgan was the CEO of TheBlaze, an</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early multi-platform and direct-to-consumer news and entertainment company. Prior to TheBlaze, Ms. Morgan was the</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CEO of The Huffington Post. Ms. Morgan currently serves on the board of directors of the following privately-held</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 Trusted Media Brands, Chartbeat and TheSkimm. Ms. Morgan has an M.B.A from Harvard Business</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School and a B.A. in Political Science and Economics from Colby College, where she served as a member of the Board</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Trustees for eight years. She is also a contributor to Riptide, an oral history of journalism and digital innovation</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created by Harvard’s Shorenstein Center on Media, Politics and Public Policy.</w:t>
            </w:r>
          </w:p>
        </w:tc>
      </w:tr>
      <w:tr>
        <w:trPr>
          <w:trHeight w:val="406"/>
        </w:trPr>
        <w:tc>
          <w:tcPr>
            <w:tcW w:w="2360" w:type="dxa"/>
            <w:vAlign w:val="bottom"/>
          </w:tcPr>
          <w:p>
            <w:pPr>
              <w:spacing w:after="0"/>
              <w:rPr>
                <w:sz w:val="24"/>
                <w:szCs w:val="24"/>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Ms. Morgan has extensive experience leading digital media, subscription and</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original content businesses. This experience benefits Tripadvisor and its stockholders as we continue to execute on our</w:t>
            </w:r>
          </w:p>
        </w:tc>
      </w:tr>
      <w:tr>
        <w:trPr>
          <w:trHeight w:val="212"/>
        </w:trPr>
        <w:tc>
          <w:tcPr>
            <w:tcW w:w="2360" w:type="dxa"/>
            <w:vAlign w:val="bottom"/>
          </w:tcPr>
          <w:p>
            <w:pPr>
              <w:spacing w:after="0"/>
              <w:rPr>
                <w:sz w:val="18"/>
                <w:szCs w:val="18"/>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strategy. Her financial background, investment knowledge and board experience also make her valuable to the Board,</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able to provide valuable insight and advice.</w:t>
            </w:r>
          </w:p>
        </w:tc>
      </w:tr>
      <w:tr>
        <w:trPr>
          <w:trHeight w:val="81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54</w:t>
            </w:r>
          </w:p>
        </w:tc>
        <w:tc>
          <w:tcPr>
            <w:tcW w:w="8880" w:type="dxa"/>
            <w:vAlign w:val="bottom"/>
          </w:tcPr>
          <w:p>
            <w:pPr>
              <w:spacing w:after="0"/>
              <w:rPr>
                <w:sz w:val="24"/>
                <w:szCs w:val="24"/>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2019</w:t>
            </w:r>
          </w:p>
        </w:tc>
        <w:tc>
          <w:tcPr>
            <w:tcW w:w="8880" w:type="dxa"/>
            <w:vAlign w:val="bottom"/>
          </w:tcPr>
          <w:p>
            <w:pPr>
              <w:spacing w:after="0"/>
              <w:rPr>
                <w:sz w:val="20"/>
                <w:szCs w:val="20"/>
                <w:color w:val="auto"/>
              </w:rPr>
            </w:pPr>
          </w:p>
        </w:tc>
      </w:tr>
      <w:tr>
        <w:trPr>
          <w:trHeight w:val="31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8880" w:type="dxa"/>
            <w:vAlign w:val="bottom"/>
          </w:tcPr>
          <w:p>
            <w:pPr>
              <w:spacing w:after="0"/>
              <w:rPr>
                <w:sz w:val="24"/>
                <w:szCs w:val="24"/>
                <w:color w:val="auto"/>
              </w:rPr>
            </w:pPr>
          </w:p>
        </w:tc>
      </w:tr>
      <w:tr>
        <w:trPr>
          <w:trHeight w:val="21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Compensation—Chair</w:t>
            </w:r>
          </w:p>
        </w:tc>
        <w:tc>
          <w:tcPr>
            <w:tcW w:w="8880" w:type="dxa"/>
            <w:vAlign w:val="bottom"/>
          </w:tcPr>
          <w:p>
            <w:pPr>
              <w:spacing w:after="0"/>
              <w:rPr>
                <w:sz w:val="18"/>
                <w:szCs w:val="18"/>
                <w:color w:val="auto"/>
              </w:rPr>
            </w:pP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Section 16—Chair</w:t>
            </w:r>
          </w:p>
        </w:tc>
        <w:tc>
          <w:tcPr>
            <w:tcW w:w="8880" w:type="dxa"/>
            <w:vAlign w:val="bottom"/>
          </w:tcPr>
          <w:p>
            <w:pPr>
              <w:spacing w:after="0"/>
              <w:rPr>
                <w:sz w:val="20"/>
                <w:szCs w:val="20"/>
                <w:color w:val="auto"/>
              </w:rPr>
            </w:pPr>
          </w:p>
        </w:tc>
      </w:tr>
      <w:tr>
        <w:trPr>
          <w:trHeight w:val="850"/>
        </w:trPr>
        <w:tc>
          <w:tcPr>
            <w:tcW w:w="2360" w:type="dxa"/>
            <w:vAlign w:val="bottom"/>
          </w:tcPr>
          <w:p>
            <w:pPr>
              <w:spacing w:after="0"/>
              <w:rPr>
                <w:sz w:val="24"/>
                <w:szCs w:val="24"/>
                <w:color w:val="auto"/>
              </w:rPr>
            </w:pPr>
          </w:p>
        </w:tc>
        <w:tc>
          <w:tcPr>
            <w:tcW w:w="88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10</w:t>
            </w:r>
          </w:p>
        </w:tc>
      </w:tr>
      <w:tr>
        <w:trPr>
          <w:trHeight w:val="112"/>
        </w:trPr>
        <w:tc>
          <w:tcPr>
            <w:tcW w:w="2360" w:type="dxa"/>
            <w:vAlign w:val="bottom"/>
            <w:tcBorders>
              <w:bottom w:val="single" w:sz="8" w:color="9A9A9A"/>
            </w:tcBorders>
          </w:tcPr>
          <w:p>
            <w:pPr>
              <w:spacing w:after="0"/>
              <w:rPr>
                <w:sz w:val="9"/>
                <w:szCs w:val="9"/>
                <w:color w:val="auto"/>
              </w:rPr>
            </w:pPr>
          </w:p>
        </w:tc>
        <w:tc>
          <w:tcPr>
            <w:tcW w:w="8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-7007225</wp:posOffset>
            </wp:positionV>
            <wp:extent cx="1424940" cy="183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4940" cy="183007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-3507740</wp:posOffset>
            </wp:positionV>
            <wp:extent cx="1349375" cy="2023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M. Greg O’Hara</w:t>
            </w: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Mr. O’Hara founded Certares Management LLC in 2012 and serves as its Senior Managing Director, as the Head of its</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Investment Committee and as a member of its Management Committee. Mr. O’Hara serves as the Executive Chairman</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of American Express Global Business Travel, as the Vice Chairman of LTRIP board of directors, Chairperson of Hertz</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Global Holdings, Inc. and as a director of The Innocence Project, World Travel &amp; Tourism Council and Certares</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Holdings LLC. Prior to forming Certares Management LLC, Mr. O’Hara served as Chief Investment Officer of</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JPMorgan Chase’s Special Investments Group and as a Managing Director of One Equity Partners, the private equity</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arm of JPMorgan. Mr. O’Hara also served as Executive Vice President and a director of Worldspan. Mr. O’Hara</w:t>
            </w:r>
          </w:p>
        </w:tc>
      </w:tr>
      <w:tr>
        <w:trPr>
          <w:trHeight w:val="232"/>
        </w:trPr>
        <w:tc>
          <w:tcPr>
            <w:tcW w:w="2120" w:type="dxa"/>
            <w:vAlign w:val="bottom"/>
          </w:tcPr>
          <w:p>
            <w:pPr>
              <w:spacing w:after="0"/>
              <w:rPr>
                <w:sz w:val="20"/>
                <w:szCs w:val="20"/>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received his M.B.A. from Vanderbilt University.</w:t>
            </w:r>
          </w:p>
        </w:tc>
      </w:tr>
      <w:tr>
        <w:trPr>
          <w:trHeight w:val="406"/>
        </w:trPr>
        <w:tc>
          <w:tcPr>
            <w:tcW w:w="2120" w:type="dxa"/>
            <w:vAlign w:val="bottom"/>
          </w:tcPr>
          <w:p>
            <w:pPr>
              <w:spacing w:after="0"/>
              <w:rPr>
                <w:sz w:val="24"/>
                <w:szCs w:val="24"/>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 xml:space="preserve">Board Membership Qualifications: </w:t>
            </w:r>
            <w:r>
              <w:rPr>
                <w:rFonts w:ascii="Times New Roman" w:cs="Times New Roman" w:eastAsia="Times New Roman" w:hAnsi="Times New Roman"/>
                <w:sz w:val="18"/>
                <w:szCs w:val="18"/>
                <w:color w:val="auto"/>
                <w:w w:val="99"/>
              </w:rPr>
              <w:t>Mr. O’Hara’s extensive background in investment analysis and management and</w:t>
            </w:r>
          </w:p>
        </w:tc>
      </w:tr>
      <w:tr>
        <w:trPr>
          <w:trHeight w:val="212"/>
        </w:trPr>
        <w:tc>
          <w:tcPr>
            <w:tcW w:w="2120" w:type="dxa"/>
            <w:vAlign w:val="bottom"/>
          </w:tcPr>
          <w:p>
            <w:pPr>
              <w:spacing w:after="0"/>
              <w:rPr>
                <w:sz w:val="18"/>
                <w:szCs w:val="18"/>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his particular expertise in the travel industry contribute to our Board’s evaluation of investment and financial</w:t>
            </w:r>
          </w:p>
        </w:tc>
      </w:tr>
      <w:tr>
        <w:trPr>
          <w:trHeight w:val="232"/>
        </w:trPr>
        <w:tc>
          <w:tcPr>
            <w:tcW w:w="2120" w:type="dxa"/>
            <w:vAlign w:val="bottom"/>
          </w:tcPr>
          <w:p>
            <w:pPr>
              <w:spacing w:after="0"/>
              <w:rPr>
                <w:sz w:val="20"/>
                <w:szCs w:val="20"/>
                <w:color w:val="auto"/>
              </w:rPr>
            </w:pPr>
          </w:p>
        </w:tc>
        <w:tc>
          <w:tcPr>
            <w:tcW w:w="90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opportunities and strategies and strengthen our Board’s collective qualifications, skills and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-1332230</wp:posOffset>
            </wp:positionV>
            <wp:extent cx="1349375" cy="2023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365760</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Jeremy Philips</w:t>
            </w: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Mr. Philips has been a general partner of Spark Capital since May 2014. From January 2012 until May 2014, Mr.</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Philips invested in private technology companies. From June 2010 to January 2012, Mr. Philips served as the Chief</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Officer of Photon Group Limited, a holding company listed on the Australian Securities Exchange. From</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2004 to March 2010, Mr. Philips held various roles of increasing responsibility with News Corporation, most</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recently as an Executive Vice President in the Office of the Chairman. Prior to joining News Corporation, he served in</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several roles, including co-founder and Vice-Chairman of ecorp, a publicly-traded Internet holding company, and as an</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analyst at McKinsey &amp; Company. Mr. Philips is on the board of directors of Angi Inc. and several private Internet</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companies. He served on the board of directors of Affirm Holdings from 2015 to 2021. He is an adjunct professor at</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Columbia Business School and holds a B.A. and LL.B. from the University of New South Wales and an MPA from the</w:t>
            </w:r>
          </w:p>
        </w:tc>
      </w:tr>
      <w:tr>
        <w:trPr>
          <w:trHeight w:val="232"/>
        </w:trPr>
        <w:tc>
          <w:tcPr>
            <w:tcW w:w="234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Harvard Kennedy School of Government.</w:t>
            </w:r>
          </w:p>
        </w:tc>
      </w:tr>
      <w:tr>
        <w:trPr>
          <w:trHeight w:val="406"/>
        </w:trPr>
        <w:tc>
          <w:tcPr>
            <w:tcW w:w="2340" w:type="dxa"/>
            <w:vAlign w:val="bottom"/>
          </w:tcPr>
          <w:p>
            <w:pPr>
              <w:spacing w:after="0"/>
              <w:rPr>
                <w:sz w:val="24"/>
                <w:szCs w:val="24"/>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 xml:space="preserve">Board Membership Qualifications: </w:t>
            </w:r>
            <w:r>
              <w:rPr>
                <w:rFonts w:ascii="Times New Roman" w:cs="Times New Roman" w:eastAsia="Times New Roman" w:hAnsi="Times New Roman"/>
                <w:sz w:val="18"/>
                <w:szCs w:val="18"/>
                <w:color w:val="auto"/>
                <w:w w:val="99"/>
              </w:rPr>
              <w:t>Mr. Philips has significant strategic and operational experience acquired through</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 service as chief executive officer and other executive-level positions. He also possesses a high level of financial</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literacy and expertise regarding mergers, acquisitions, investments and other strategic transactions as well as an</w:t>
            </w:r>
          </w:p>
        </w:tc>
      </w:tr>
      <w:tr>
        <w:trPr>
          <w:trHeight w:val="232"/>
        </w:trPr>
        <w:tc>
          <w:tcPr>
            <w:tcW w:w="234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extensive background in the Internet industry.</w:t>
            </w:r>
          </w:p>
        </w:tc>
      </w:tr>
      <w:tr>
        <w:trPr>
          <w:trHeight w:val="815"/>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50</w:t>
            </w:r>
          </w:p>
        </w:tc>
        <w:tc>
          <w:tcPr>
            <w:tcW w:w="886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2011</w:t>
            </w:r>
          </w:p>
        </w:tc>
        <w:tc>
          <w:tcPr>
            <w:tcW w:w="8860" w:type="dxa"/>
            <w:vAlign w:val="bottom"/>
          </w:tcPr>
          <w:p>
            <w:pPr>
              <w:spacing w:after="0"/>
              <w:rPr>
                <w:sz w:val="20"/>
                <w:szCs w:val="20"/>
                <w:color w:val="auto"/>
              </w:rPr>
            </w:pPr>
          </w:p>
        </w:tc>
      </w:tr>
      <w:tr>
        <w:trPr>
          <w:trHeight w:val="31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8860" w:type="dxa"/>
            <w:vAlign w:val="bottom"/>
          </w:tcPr>
          <w:p>
            <w:pPr>
              <w:spacing w:after="0"/>
              <w:rPr>
                <w:sz w:val="24"/>
                <w:szCs w:val="24"/>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Audit</w:t>
            </w:r>
          </w:p>
        </w:tc>
        <w:tc>
          <w:tcPr>
            <w:tcW w:w="8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-2748915</wp:posOffset>
            </wp:positionV>
            <wp:extent cx="1349375" cy="2023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544"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Albert E. Rosenthaler</w:t>
            </w: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Mr. Rosenthaler has served as Chief Corporate Development Officer of LMC, Qurate, LTRIP, and LBC since October</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2016 and Liberty Media Acquisition Corporation since November 2020. He previously served as Chief Corporate</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Development Officer of GCI Liberty, Inc. from March 2018 to December 2020 and Liberty Expedia from October 2016</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to July 2019. Mr. Rosenthaler has served as a director of LTRIP since August 2014. He is a graduate of Olivet College</w:t>
            </w:r>
          </w:p>
        </w:tc>
      </w:tr>
      <w:tr>
        <w:trPr>
          <w:trHeight w:val="232"/>
        </w:trPr>
        <w:tc>
          <w:tcPr>
            <w:tcW w:w="234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 and University of Illinois (M.A.S.).</w:t>
            </w:r>
          </w:p>
        </w:tc>
      </w:tr>
      <w:tr>
        <w:trPr>
          <w:trHeight w:val="406"/>
        </w:trPr>
        <w:tc>
          <w:tcPr>
            <w:tcW w:w="2340" w:type="dxa"/>
            <w:vAlign w:val="bottom"/>
          </w:tcPr>
          <w:p>
            <w:pPr>
              <w:spacing w:after="0"/>
              <w:rPr>
                <w:sz w:val="24"/>
                <w:szCs w:val="24"/>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Mr. Rosenthaler has significant executive and financial experience gained</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through his service as an executive officer of Qurate and LMC for many years and as a partner of a major national</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accounting firm for more than five years prior to joining Qurate and Liberty. Mr. Rosenthaler brings a unique</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perspective to our Board, focused in particular on the areas of tax management, mergers and acquisitions and financial</w:t>
            </w:r>
          </w:p>
        </w:tc>
      </w:tr>
      <w:tr>
        <w:trPr>
          <w:trHeight w:val="212"/>
        </w:trPr>
        <w:tc>
          <w:tcPr>
            <w:tcW w:w="2340" w:type="dxa"/>
            <w:vAlign w:val="bottom"/>
          </w:tcPr>
          <w:p>
            <w:pPr>
              <w:spacing w:after="0"/>
              <w:rPr>
                <w:sz w:val="18"/>
                <w:szCs w:val="18"/>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structuring. Mr. Rosenthaler’s perspective and expertise assist the Board in developing strategies that take into</w:t>
            </w:r>
          </w:p>
        </w:tc>
      </w:tr>
      <w:tr>
        <w:trPr>
          <w:trHeight w:val="232"/>
        </w:trPr>
        <w:tc>
          <w:tcPr>
            <w:tcW w:w="2340" w:type="dxa"/>
            <w:vAlign w:val="bottom"/>
          </w:tcPr>
          <w:p>
            <w:pPr>
              <w:spacing w:after="0"/>
              <w:rPr>
                <w:sz w:val="20"/>
                <w:szCs w:val="20"/>
                <w:color w:val="auto"/>
              </w:rPr>
            </w:pPr>
          </w:p>
        </w:tc>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the application of tax laws and capital allocation.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-1332230</wp:posOffset>
            </wp:positionV>
            <wp:extent cx="1349375" cy="2023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348615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Trynka Shineman Blake</w:t>
            </w: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Shineman serves on the board of directors of SEMRush, an online visibility and content marketing SaaS</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business that helps marketers do their job more effectively, and serves as chair of its Nominations and Governance</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Committee. She is also a member of the Board of Trustees of the Mass Technology Leadership Council. From March</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2004 through February 2019, Ms. Shineman held positions of increasing responsibility with Cimpress N.V., and</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most recently was the Chief Executive Officer of its Vistaprint business. Ms. Shineman has an M.B.A from</w:t>
            </w:r>
          </w:p>
        </w:tc>
      </w:tr>
      <w:tr>
        <w:trPr>
          <w:trHeight w:val="232"/>
        </w:trPr>
        <w:tc>
          <w:tcPr>
            <w:tcW w:w="256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Columbia Business School and a B.A. in Psychology from Cornell University.</w:t>
            </w:r>
          </w:p>
        </w:tc>
      </w:tr>
      <w:tr>
        <w:trPr>
          <w:trHeight w:val="406"/>
        </w:trPr>
        <w:tc>
          <w:tcPr>
            <w:tcW w:w="2560" w:type="dxa"/>
            <w:vAlign w:val="bottom"/>
          </w:tcPr>
          <w:p>
            <w:pPr>
              <w:spacing w:after="0"/>
              <w:rPr>
                <w:sz w:val="24"/>
                <w:szCs w:val="24"/>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8"/>
              </w:rPr>
              <w:t xml:space="preserve">Board Membership Qualifications: </w:t>
            </w:r>
            <w:r>
              <w:rPr>
                <w:rFonts w:ascii="Times New Roman" w:cs="Times New Roman" w:eastAsia="Times New Roman" w:hAnsi="Times New Roman"/>
                <w:sz w:val="18"/>
                <w:szCs w:val="18"/>
                <w:color w:val="auto"/>
                <w:w w:val="98"/>
              </w:rPr>
              <w:t>Ms. Shineman has many years of experience with customer-focused businesses</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and with digital transformations. She has extensive experience helping companies develop a deep understanding of</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customer needs and shaping the organization around those needs. She is able to provide the Board and management</w:t>
            </w:r>
          </w:p>
        </w:tc>
      </w:tr>
      <w:tr>
        <w:trPr>
          <w:trHeight w:val="212"/>
        </w:trPr>
        <w:tc>
          <w:tcPr>
            <w:tcW w:w="256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 important insight and counsel as Tripadvisor improves its platform to provide its users a better and more</w:t>
            </w:r>
          </w:p>
        </w:tc>
      </w:tr>
      <w:tr>
        <w:trPr>
          <w:trHeight w:val="232"/>
        </w:trPr>
        <w:tc>
          <w:tcPr>
            <w:tcW w:w="256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inspired travel planning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-1332230</wp:posOffset>
            </wp:positionV>
            <wp:extent cx="1349375" cy="2023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49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331" w:right="359" w:bottom="1440" w:gutter="0" w:footer="0" w:header="0"/>
        </w:sectPr>
      </w:pPr>
    </w:p>
    <w:bookmarkStart w:id="13" w:name="page14"/>
    <w:bookmarkEnd w:id="13"/>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805815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23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Jane Jie Sun</w:t>
            </w:r>
          </w:p>
        </w:tc>
        <w:tc>
          <w:tcPr>
            <w:tcW w:w="8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Jane Jie Sun () has served as the chief executive officer of Trip.com, as well as a member of the board of</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directors, since November 2016. Prior to that, she was a co-president since March 2015, chief operating officer since</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2012, and chief financial officer from 2005 to 2012. Ms. Sun is a member of the JPMorgan Asian Advisory</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Board, vice chair of the World Travel and Tourism Council, co-chair of the Development Advisory Board of</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University of Michigan and Shanghai Jiao Tong University Joint Institute, and a board member and Business</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Leaders Group Committee member of Business China established by Singapore’s Founding Prime Minister Mr. Lee</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Kuan Yew. Ms. Sun received her Bachelor’s degree in Science in Accounting from the business school of the</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University of Florida in August 1992 with high honors. She also obtained her LL.M. degree from Peking University</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Law School in July 2010. Ms. Sun has been a director MakeMyTrip Limited since August 2019 and a director of</w:t>
            </w:r>
          </w:p>
        </w:tc>
      </w:tr>
      <w:tr>
        <w:trPr>
          <w:trHeight w:val="232"/>
        </w:trPr>
        <w:tc>
          <w:tcPr>
            <w:tcW w:w="2360" w:type="dxa"/>
            <w:vAlign w:val="bottom"/>
          </w:tcPr>
          <w:p>
            <w:pPr>
              <w:spacing w:after="0"/>
              <w:rPr>
                <w:sz w:val="20"/>
                <w:szCs w:val="20"/>
                <w:color w:val="auto"/>
              </w:rPr>
            </w:pPr>
          </w:p>
        </w:tc>
        <w:tc>
          <w:tcPr>
            <w:tcW w:w="8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iQIYI, Inc. since June 2018.</w:t>
            </w:r>
          </w:p>
        </w:tc>
      </w:tr>
      <w:tr>
        <w:trPr>
          <w:trHeight w:val="618"/>
        </w:trPr>
        <w:tc>
          <w:tcPr>
            <w:tcW w:w="236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Ms. Sun has significant financial and business experience operating and</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managing online travel businesses as well as mergers and acquisitions and financial reporting. She provides our</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board with leadership perspective on the operation and management of large companies operating in the travel space.</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a female CEO in China’s high-tech industry, Ms. Sun has made it her mission to empower women to achieve</w:t>
            </w:r>
          </w:p>
        </w:tc>
      </w:tr>
      <w:tr>
        <w:trPr>
          <w:trHeight w:val="232"/>
        </w:trPr>
        <w:tc>
          <w:tcPr>
            <w:tcW w:w="2360" w:type="dxa"/>
            <w:vAlign w:val="bottom"/>
          </w:tcPr>
          <w:p>
            <w:pPr>
              <w:spacing w:after="0"/>
              <w:rPr>
                <w:sz w:val="20"/>
                <w:szCs w:val="20"/>
                <w:color w:val="auto"/>
              </w:rPr>
            </w:pPr>
          </w:p>
        </w:tc>
        <w:tc>
          <w:tcPr>
            <w:tcW w:w="8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balance and success in both their career and family lives and is a strong advocate for gender equality.</w:t>
            </w:r>
          </w:p>
        </w:tc>
      </w:tr>
      <w:tr>
        <w:trPr>
          <w:trHeight w:val="49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54</w:t>
            </w:r>
          </w:p>
        </w:tc>
        <w:tc>
          <w:tcPr>
            <w:tcW w:w="8880" w:type="dxa"/>
            <w:vAlign w:val="bottom"/>
          </w:tcPr>
          <w:p>
            <w:pPr>
              <w:spacing w:after="0"/>
              <w:rPr>
                <w:sz w:val="24"/>
                <w:szCs w:val="24"/>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8880" w:type="dxa"/>
            <w:vAlign w:val="bottom"/>
          </w:tcPr>
          <w:p>
            <w:pPr>
              <w:spacing w:after="0"/>
              <w:rPr>
                <w:sz w:val="20"/>
                <w:szCs w:val="20"/>
                <w:color w:val="auto"/>
              </w:rPr>
            </w:pPr>
          </w:p>
        </w:tc>
      </w:tr>
      <w:tr>
        <w:trPr>
          <w:trHeight w:val="31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8880" w:type="dxa"/>
            <w:vAlign w:val="bottom"/>
          </w:tcPr>
          <w:p>
            <w:pPr>
              <w:spacing w:after="0"/>
              <w:rPr>
                <w:sz w:val="24"/>
                <w:szCs w:val="24"/>
                <w:color w:val="auto"/>
              </w:rPr>
            </w:pP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None</w:t>
            </w:r>
          </w:p>
        </w:tc>
        <w:tc>
          <w:tcPr>
            <w:tcW w:w="8880" w:type="dxa"/>
            <w:vAlign w:val="bottom"/>
          </w:tcPr>
          <w:p>
            <w:pPr>
              <w:spacing w:after="0"/>
              <w:rPr>
                <w:sz w:val="20"/>
                <w:szCs w:val="20"/>
                <w:color w:val="auto"/>
              </w:rPr>
            </w:pPr>
          </w:p>
        </w:tc>
      </w:tr>
      <w:tr>
        <w:trPr>
          <w:trHeight w:val="331"/>
        </w:trPr>
        <w:tc>
          <w:tcPr>
            <w:tcW w:w="2360" w:type="dxa"/>
            <w:vAlign w:val="bottom"/>
            <w:tcBorders>
              <w:bottom w:val="single" w:sz="8" w:color="02AE90"/>
            </w:tcBorders>
          </w:tcPr>
          <w:p>
            <w:pPr>
              <w:spacing w:after="0"/>
              <w:rPr>
                <w:sz w:val="24"/>
                <w:szCs w:val="24"/>
                <w:color w:val="auto"/>
              </w:rPr>
            </w:pPr>
          </w:p>
        </w:tc>
        <w:tc>
          <w:tcPr>
            <w:tcW w:w="8880" w:type="dxa"/>
            <w:vAlign w:val="bottom"/>
            <w:tcBorders>
              <w:bottom w:val="single" w:sz="8" w:color="02AE90"/>
            </w:tcBorders>
          </w:tcPr>
          <w:p>
            <w:pPr>
              <w:spacing w:after="0"/>
              <w:rPr>
                <w:sz w:val="24"/>
                <w:szCs w:val="24"/>
                <w:color w:val="auto"/>
              </w:rPr>
            </w:pPr>
          </w:p>
        </w:tc>
      </w:tr>
      <w:tr>
        <w:trPr>
          <w:trHeight w:val="413"/>
        </w:trPr>
        <w:tc>
          <w:tcPr>
            <w:tcW w:w="23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Robert S. Wiesenthal</w:t>
            </w: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Since July 2015, Mr. Wiesenthal has served as founder and Chief Executive Officer of Blade Urban Air Mobility, Inc.,</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technology enabled short-distance aviation company and the largest arranger of helicopter flights in and out of city</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centers in the U.S. From January 2013 to July 2015, Mr. Wiesenthal served as Chief Operating Officer of Warner Music</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Group Corp., a leading global music conglomerate. From 2000 to 2012, Mr. Wiesenthal served in various senior</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executive capacities with Sony Corporation, most recently as Executive Vice President and Chief Financial Officer of</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Sony Corporation of America. Prior to joining Sony, from 1988 to 2000, Mr. Wiesenthal served in various capacities</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 Credit Suisse First Boston, most recently as Managing Director, Head of Digital Media and Entertainment. Mr.</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Wiesenthal previously served on the board of directors of Starz. Mr. Wiesenthal has a B.A. from the University of</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Rochester.</w:t>
            </w:r>
          </w:p>
        </w:tc>
      </w:tr>
      <w:tr>
        <w:trPr>
          <w:trHeight w:val="406"/>
        </w:trPr>
        <w:tc>
          <w:tcPr>
            <w:tcW w:w="2360" w:type="dxa"/>
            <w:vAlign w:val="bottom"/>
          </w:tcPr>
          <w:p>
            <w:pPr>
              <w:spacing w:after="0"/>
              <w:rPr>
                <w:sz w:val="24"/>
                <w:szCs w:val="24"/>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Board  Membership  Qualifications:  </w:t>
            </w:r>
            <w:r>
              <w:rPr>
                <w:rFonts w:ascii="Times New Roman" w:cs="Times New Roman" w:eastAsia="Times New Roman" w:hAnsi="Times New Roman"/>
                <w:sz w:val="18"/>
                <w:szCs w:val="18"/>
                <w:color w:val="auto"/>
              </w:rPr>
              <w:t>Mr.  Wiesenthal  possesses  extensive  strategic,  operational  and  financial</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experience, gained through his wide range of service in executive-level positions with a strong focus on networked</w:t>
            </w:r>
          </w:p>
        </w:tc>
      </w:tr>
      <w:tr>
        <w:trPr>
          <w:trHeight w:val="212"/>
        </w:trPr>
        <w:tc>
          <w:tcPr>
            <w:tcW w:w="2360" w:type="dxa"/>
            <w:vAlign w:val="bottom"/>
          </w:tcPr>
          <w:p>
            <w:pPr>
              <w:spacing w:after="0"/>
              <w:rPr>
                <w:sz w:val="18"/>
                <w:szCs w:val="18"/>
                <w:color w:val="auto"/>
              </w:rPr>
            </w:pPr>
          </w:p>
        </w:tc>
        <w:tc>
          <w:tcPr>
            <w:tcW w:w="8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consumer electronics, entertainment, and digital media. He also has a high degree of financial literacy and expertise</w:t>
            </w:r>
          </w:p>
        </w:tc>
      </w:tr>
      <w:tr>
        <w:trPr>
          <w:trHeight w:val="232"/>
        </w:trPr>
        <w:tc>
          <w:tcPr>
            <w:tcW w:w="2360" w:type="dxa"/>
            <w:vAlign w:val="bottom"/>
          </w:tcPr>
          <w:p>
            <w:pPr>
              <w:spacing w:after="0"/>
              <w:rPr>
                <w:sz w:val="20"/>
                <w:szCs w:val="20"/>
                <w:color w:val="auto"/>
              </w:rPr>
            </w:pPr>
          </w:p>
        </w:tc>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mergers, acquisitions, investments and other strategic transactions.</w:t>
            </w:r>
          </w:p>
        </w:tc>
      </w:tr>
      <w:tr>
        <w:trPr>
          <w:trHeight w:val="102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8880" w:type="dxa"/>
            <w:vAlign w:val="bottom"/>
          </w:tcPr>
          <w:p>
            <w:pPr>
              <w:spacing w:after="0"/>
              <w:rPr>
                <w:sz w:val="24"/>
                <w:szCs w:val="24"/>
                <w:color w:val="auto"/>
              </w:rPr>
            </w:pPr>
          </w:p>
        </w:tc>
      </w:tr>
      <w:tr>
        <w:trPr>
          <w:trHeight w:val="234"/>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2011</w:t>
            </w:r>
          </w:p>
        </w:tc>
        <w:tc>
          <w:tcPr>
            <w:tcW w:w="8880" w:type="dxa"/>
            <w:vAlign w:val="bottom"/>
          </w:tcPr>
          <w:p>
            <w:pPr>
              <w:spacing w:after="0"/>
              <w:rPr>
                <w:sz w:val="20"/>
                <w:szCs w:val="20"/>
                <w:color w:val="auto"/>
              </w:rPr>
            </w:pPr>
          </w:p>
        </w:tc>
      </w:tr>
      <w:tr>
        <w:trPr>
          <w:trHeight w:val="31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8880" w:type="dxa"/>
            <w:vAlign w:val="bottom"/>
          </w:tcPr>
          <w:p>
            <w:pPr>
              <w:spacing w:after="0"/>
              <w:rPr>
                <w:sz w:val="24"/>
                <w:szCs w:val="24"/>
                <w:color w:val="auto"/>
              </w:rPr>
            </w:pPr>
          </w:p>
        </w:tc>
      </w:tr>
      <w:tr>
        <w:trPr>
          <w:trHeight w:val="232"/>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02AE90"/>
              </w:rPr>
              <w:t>•</w:t>
            </w:r>
            <w:r>
              <w:rPr>
                <w:rFonts w:ascii="Times New Roman" w:cs="Times New Roman" w:eastAsia="Times New Roman" w:hAnsi="Times New Roman"/>
                <w:sz w:val="18"/>
                <w:szCs w:val="18"/>
                <w:color w:val="000000"/>
              </w:rPr>
              <w:t>Audit–Chair</w:t>
            </w:r>
          </w:p>
        </w:tc>
        <w:tc>
          <w:tcPr>
            <w:tcW w:w="8880" w:type="dxa"/>
            <w:vAlign w:val="bottom"/>
          </w:tcPr>
          <w:p>
            <w:pPr>
              <w:spacing w:after="0"/>
              <w:rPr>
                <w:sz w:val="20"/>
                <w:szCs w:val="20"/>
                <w:color w:val="auto"/>
              </w:rPr>
            </w:pPr>
          </w:p>
        </w:tc>
      </w:tr>
      <w:tr>
        <w:trPr>
          <w:trHeight w:val="850"/>
        </w:trPr>
        <w:tc>
          <w:tcPr>
            <w:tcW w:w="2360" w:type="dxa"/>
            <w:vAlign w:val="bottom"/>
          </w:tcPr>
          <w:p>
            <w:pPr>
              <w:spacing w:after="0"/>
              <w:rPr>
                <w:sz w:val="24"/>
                <w:szCs w:val="24"/>
                <w:color w:val="auto"/>
              </w:rPr>
            </w:pPr>
          </w:p>
        </w:tc>
        <w:tc>
          <w:tcPr>
            <w:tcW w:w="8880" w:type="dxa"/>
            <w:vAlign w:val="bottom"/>
          </w:tcPr>
          <w:p>
            <w:pPr>
              <w:jc w:val="right"/>
              <w:ind w:right="5434"/>
              <w:spacing w:after="0"/>
              <w:rPr>
                <w:sz w:val="20"/>
                <w:szCs w:val="20"/>
                <w:color w:val="auto"/>
              </w:rPr>
            </w:pPr>
            <w:r>
              <w:rPr>
                <w:rFonts w:ascii="Times New Roman" w:cs="Times New Roman" w:eastAsia="Times New Roman" w:hAnsi="Times New Roman"/>
                <w:sz w:val="18"/>
                <w:szCs w:val="18"/>
                <w:color w:val="auto"/>
              </w:rPr>
              <w:t>13</w:t>
            </w:r>
          </w:p>
        </w:tc>
      </w:tr>
      <w:tr>
        <w:trPr>
          <w:trHeight w:val="112"/>
        </w:trPr>
        <w:tc>
          <w:tcPr>
            <w:tcW w:w="2360" w:type="dxa"/>
            <w:vAlign w:val="bottom"/>
            <w:tcBorders>
              <w:bottom w:val="single" w:sz="8" w:color="9A9A9A"/>
            </w:tcBorders>
          </w:tcPr>
          <w:p>
            <w:pPr>
              <w:spacing w:after="0"/>
              <w:rPr>
                <w:sz w:val="9"/>
                <w:szCs w:val="9"/>
                <w:color w:val="auto"/>
              </w:rPr>
            </w:pPr>
          </w:p>
        </w:tc>
        <w:tc>
          <w:tcPr>
            <w:tcW w:w="8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-6821805</wp:posOffset>
            </wp:positionV>
            <wp:extent cx="1400175" cy="2074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00175" cy="207454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-7125335</wp:posOffset>
            </wp:positionV>
            <wp:extent cx="219075" cy="1009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9075" cy="10096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-3372485</wp:posOffset>
            </wp:positionV>
            <wp:extent cx="1349375" cy="2023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9375" cy="20237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All of our nominees also have extensive management experience in complex organizations. In addition to the information presented regarding each nominee’s specific experience, qualifications, attributes, and skills that led the Board to the conclusion that he or she should be nominated as a director, each nominee has proven business acumen and an ability to exercise sound judgment, as well as a commitment to Tripadvisor and its Board as demonstrated by each nominee’s past service. The Board considered the Nasdaq requirement that Tripadvisor’s Audit Committee be composed of at least three independent directors, as well as specific Nasdaq and U.S. Securities and Exchange Commission (“SEC”) requirements regarding financial literacy and expertise.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Election of Mmes. Morgan and Sun and Messrs. Maffei, Hoag, Goldberg, O’Hara and Rosenthaler as directors requires the affirmative vote of a plurality of the total number of votes cast by the holders of shares of Tripadvisor common stock and Class B common stock, present in person or represented by proxy, voting together as a single class. Election of Ms. Shineman and Messrs. Philips and Wiesenthal as directors requires the affirmative vote of a plurality of the total number of votes cast by the holders of shares of Tripadvisor common stock, present in person or represented by proxy, voting together as a separate class.</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ask our stockholders to vote in favor of each of the director nominees. Valid proxies received pursuant to this solicitation will be voted in the manner specified. With respect to the election of directors, you may vote “FOR” or “WITHHOLD”. Where no specification is made, it is intended that the proxies received from stockholders will be voted "FOR" the election of the director nominees identified. Votes withheld and broker non-votes will have no effect because approval by a certain percentage of voting stock present or outstanding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315595</wp:posOffset>
            </wp:positionV>
            <wp:extent cx="7037705" cy="375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37528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THE ELECTION OF EACH OF THE NOMINEES FOR DIRECTOR NAMED ABOVE.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02AE90"/>
        </w:rPr>
        <w:t>CORPORATE GOVERNANCE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Listing Rules (the “Nasdaq Rules”). As such, we are exempt from certain requirements for public companies under the Nasdaq Rules; however, the Company’s Board endeavors to conduct itself and to manage the Company in a way that best serves all of the Company’s stockholders. We strive to maintain the highest governance standards in our business and our commitment to effective corporate governance is illustrated by the following practices:</w:t>
      </w:r>
    </w:p>
    <w:p>
      <w:pPr>
        <w:spacing w:after="0" w:line="77" w:lineRule="exact"/>
        <w:rPr>
          <w:sz w:val="20"/>
          <w:szCs w:val="20"/>
          <w:color w:val="auto"/>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Chairman of the Board separate from the CEO;</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Eight of the ten directors are independent;</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All three Audit Committee members are independent and “financial experts”;</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Board review of enterprise risk management and related policies, processes and controls, with Board Committees exercising oversight for risk matters within their purview;</w:t>
      </w:r>
    </w:p>
    <w:p>
      <w:pPr>
        <w:spacing w:after="0" w:line="56"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Board oversight over management’s development and execution of the Company’s strategy and plan, including the extent to which risks and opportunities are embedded in that strategy;</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Direct access and regular communication between the Board and members of senior management;</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Actively seek members of historically underrepresented groups for every open Board seat;</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Stock ownership guidelines for directors and executive officers;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1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Comprehensive insider trading policy that also prohibits hedging and pledging transactions of our stock by directors or employees.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please note the summary information below regarding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167005</wp:posOffset>
            </wp:positionV>
            <wp:extent cx="5279390" cy="392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79390" cy="392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14"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In compliance with Nasdaq listing rules, the table below provide certain information about the composition of our directors and director nominees as of April 1, 2022 and April 1, 2023. Each of the categories listed in the below table has the meaning as it is used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38670" cy="130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Board Size:</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5300" w:type="dxa"/>
            <w:vAlign w:val="bottom"/>
            <w:tcBorders>
              <w:top w:val="single" w:sz="8" w:color="02AE90"/>
              <w:left w:val="single" w:sz="8" w:color="02AE90"/>
            </w:tcBorders>
            <w:vMerge w:val="restart"/>
            <w:shd w:val="clear" w:color="auto" w:fill="E5F6F3"/>
          </w:tcPr>
          <w:p>
            <w:pPr>
              <w:ind w:left="200"/>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20" w:type="dxa"/>
            <w:vAlign w:val="bottom"/>
            <w:tcBorders>
              <w:top w:val="single" w:sz="8" w:color="02AE90"/>
              <w:right w:val="single" w:sz="8" w:color="E5F6F3"/>
            </w:tcBorders>
            <w:shd w:val="clear" w:color="auto" w:fill="E5F6F3"/>
          </w:tcPr>
          <w:p>
            <w:pPr>
              <w:spacing w:after="0"/>
              <w:rPr>
                <w:sz w:val="3"/>
                <w:szCs w:val="3"/>
                <w:color w:val="auto"/>
              </w:rPr>
            </w:pPr>
          </w:p>
        </w:tc>
        <w:tc>
          <w:tcPr>
            <w:tcW w:w="120" w:type="dxa"/>
            <w:vAlign w:val="bottom"/>
            <w:tcBorders>
              <w:top w:val="single" w:sz="8" w:color="02AE90"/>
            </w:tcBorders>
            <w:shd w:val="clear" w:color="auto" w:fill="E5F6F3"/>
          </w:tcPr>
          <w:p>
            <w:pPr>
              <w:spacing w:after="0"/>
              <w:rPr>
                <w:sz w:val="3"/>
                <w:szCs w:val="3"/>
                <w:color w:val="auto"/>
              </w:rPr>
            </w:pPr>
          </w:p>
        </w:tc>
        <w:tc>
          <w:tcPr>
            <w:tcW w:w="1280" w:type="dxa"/>
            <w:vAlign w:val="bottom"/>
            <w:tcBorders>
              <w:top w:val="single" w:sz="8" w:color="02AE90"/>
              <w:right w:val="single" w:sz="8" w:color="E5F6F3"/>
            </w:tcBorders>
            <w:shd w:val="clear" w:color="auto" w:fill="E5F6F3"/>
          </w:tcPr>
          <w:p>
            <w:pPr>
              <w:spacing w:after="0"/>
              <w:rPr>
                <w:sz w:val="3"/>
                <w:szCs w:val="3"/>
                <w:color w:val="auto"/>
              </w:rPr>
            </w:pPr>
          </w:p>
        </w:tc>
        <w:tc>
          <w:tcPr>
            <w:tcW w:w="120" w:type="dxa"/>
            <w:vAlign w:val="bottom"/>
            <w:tcBorders>
              <w:top w:val="single" w:sz="8" w:color="02AE90"/>
            </w:tcBorders>
            <w:shd w:val="clear" w:color="auto" w:fill="E5F6F3"/>
          </w:tcPr>
          <w:p>
            <w:pPr>
              <w:spacing w:after="0"/>
              <w:rPr>
                <w:sz w:val="3"/>
                <w:szCs w:val="3"/>
                <w:color w:val="auto"/>
              </w:rPr>
            </w:pPr>
          </w:p>
        </w:tc>
        <w:tc>
          <w:tcPr>
            <w:tcW w:w="1000" w:type="dxa"/>
            <w:vAlign w:val="bottom"/>
            <w:tcBorders>
              <w:top w:val="single" w:sz="8" w:color="02AE90"/>
            </w:tcBorders>
            <w:shd w:val="clear" w:color="auto" w:fill="E5F6F3"/>
          </w:tcPr>
          <w:p>
            <w:pPr>
              <w:spacing w:after="0"/>
              <w:rPr>
                <w:sz w:val="3"/>
                <w:szCs w:val="3"/>
                <w:color w:val="auto"/>
              </w:rPr>
            </w:pPr>
          </w:p>
        </w:tc>
        <w:tc>
          <w:tcPr>
            <w:tcW w:w="380" w:type="dxa"/>
            <w:vAlign w:val="bottom"/>
            <w:tcBorders>
              <w:top w:val="single" w:sz="8" w:color="02AE90"/>
            </w:tcBorders>
            <w:gridSpan w:val="2"/>
            <w:vMerge w:val="restart"/>
            <w:shd w:val="clear" w:color="auto" w:fill="E5F6F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60" w:type="dxa"/>
            <w:vAlign w:val="bottom"/>
            <w:tcBorders>
              <w:top w:val="single" w:sz="8" w:color="02AE90"/>
              <w:right w:val="single" w:sz="8" w:color="E5F6F3"/>
            </w:tcBorders>
            <w:shd w:val="clear" w:color="auto" w:fill="E5F6F3"/>
          </w:tcPr>
          <w:p>
            <w:pPr>
              <w:spacing w:after="0"/>
              <w:rPr>
                <w:sz w:val="3"/>
                <w:szCs w:val="3"/>
                <w:color w:val="auto"/>
              </w:rPr>
            </w:pPr>
          </w:p>
        </w:tc>
        <w:tc>
          <w:tcPr>
            <w:tcW w:w="1360" w:type="dxa"/>
            <w:vAlign w:val="bottom"/>
            <w:tcBorders>
              <w:top w:val="single" w:sz="8" w:color="02AE90"/>
              <w:right w:val="single" w:sz="8" w:color="02AE90"/>
            </w:tcBorders>
            <w:shd w:val="clear" w:color="auto" w:fill="E5F6F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5300" w:type="dxa"/>
            <w:vAlign w:val="bottom"/>
            <w:tcBorders>
              <w:left w:val="single" w:sz="8" w:color="02AE90"/>
            </w:tcBorders>
            <w:vMerge w:val="continue"/>
            <w:shd w:val="clear" w:color="auto" w:fill="E5F6F3"/>
          </w:tcPr>
          <w:p>
            <w:pPr>
              <w:spacing w:after="0"/>
              <w:rPr>
                <w:sz w:val="11"/>
                <w:szCs w:val="11"/>
                <w:color w:val="auto"/>
              </w:rPr>
            </w:pPr>
          </w:p>
        </w:tc>
        <w:tc>
          <w:tcPr>
            <w:tcW w:w="420" w:type="dxa"/>
            <w:vAlign w:val="bottom"/>
            <w:tcBorders>
              <w:right w:val="single" w:sz="8" w:color="E5F6F3"/>
            </w:tcBorders>
            <w:shd w:val="clear" w:color="auto" w:fill="E5F6F3"/>
          </w:tcPr>
          <w:p>
            <w:pPr>
              <w:spacing w:after="0"/>
              <w:rPr>
                <w:sz w:val="11"/>
                <w:szCs w:val="11"/>
                <w:color w:val="auto"/>
              </w:rPr>
            </w:pPr>
          </w:p>
        </w:tc>
        <w:tc>
          <w:tcPr>
            <w:tcW w:w="120" w:type="dxa"/>
            <w:vAlign w:val="bottom"/>
            <w:shd w:val="clear" w:color="auto" w:fill="E5F6F3"/>
          </w:tcPr>
          <w:p>
            <w:pPr>
              <w:spacing w:after="0"/>
              <w:rPr>
                <w:sz w:val="11"/>
                <w:szCs w:val="11"/>
                <w:color w:val="auto"/>
              </w:rPr>
            </w:pPr>
          </w:p>
        </w:tc>
        <w:tc>
          <w:tcPr>
            <w:tcW w:w="1280" w:type="dxa"/>
            <w:vAlign w:val="bottom"/>
            <w:tcBorders>
              <w:right w:val="single" w:sz="8" w:color="E5F6F3"/>
            </w:tcBorders>
            <w:shd w:val="clear" w:color="auto" w:fill="E5F6F3"/>
          </w:tcPr>
          <w:p>
            <w:pPr>
              <w:spacing w:after="0"/>
              <w:rPr>
                <w:sz w:val="11"/>
                <w:szCs w:val="11"/>
                <w:color w:val="auto"/>
              </w:rPr>
            </w:pPr>
          </w:p>
        </w:tc>
        <w:tc>
          <w:tcPr>
            <w:tcW w:w="120" w:type="dxa"/>
            <w:vAlign w:val="bottom"/>
            <w:shd w:val="clear" w:color="auto" w:fill="E5F6F3"/>
          </w:tcPr>
          <w:p>
            <w:pPr>
              <w:spacing w:after="0"/>
              <w:rPr>
                <w:sz w:val="11"/>
                <w:szCs w:val="11"/>
                <w:color w:val="auto"/>
              </w:rPr>
            </w:pPr>
          </w:p>
        </w:tc>
        <w:tc>
          <w:tcPr>
            <w:tcW w:w="1000" w:type="dxa"/>
            <w:vAlign w:val="bottom"/>
            <w:shd w:val="clear" w:color="auto" w:fill="E5F6F3"/>
          </w:tcPr>
          <w:p>
            <w:pPr>
              <w:spacing w:after="0"/>
              <w:rPr>
                <w:sz w:val="11"/>
                <w:szCs w:val="11"/>
                <w:color w:val="auto"/>
              </w:rPr>
            </w:pPr>
          </w:p>
        </w:tc>
        <w:tc>
          <w:tcPr>
            <w:tcW w:w="380" w:type="dxa"/>
            <w:vAlign w:val="bottom"/>
            <w:gridSpan w:val="2"/>
            <w:vMerge w:val="continue"/>
            <w:shd w:val="clear" w:color="auto" w:fill="E5F6F3"/>
          </w:tcPr>
          <w:p>
            <w:pPr>
              <w:spacing w:after="0"/>
              <w:rPr>
                <w:sz w:val="11"/>
                <w:szCs w:val="11"/>
                <w:color w:val="auto"/>
              </w:rPr>
            </w:pPr>
          </w:p>
        </w:tc>
        <w:tc>
          <w:tcPr>
            <w:tcW w:w="1260" w:type="dxa"/>
            <w:vAlign w:val="bottom"/>
            <w:tcBorders>
              <w:right w:val="single" w:sz="8" w:color="E5F6F3"/>
            </w:tcBorders>
            <w:shd w:val="clear" w:color="auto" w:fill="E5F6F3"/>
          </w:tcPr>
          <w:p>
            <w:pPr>
              <w:spacing w:after="0"/>
              <w:rPr>
                <w:sz w:val="11"/>
                <w:szCs w:val="11"/>
                <w:color w:val="auto"/>
              </w:rPr>
            </w:pPr>
          </w:p>
        </w:tc>
        <w:tc>
          <w:tcPr>
            <w:tcW w:w="1360" w:type="dxa"/>
            <w:vAlign w:val="bottom"/>
            <w:tcBorders>
              <w:right w:val="single" w:sz="8" w:color="02AE90"/>
            </w:tcBorders>
            <w:shd w:val="clear" w:color="auto" w:fill="E5F6F3"/>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00" w:type="dxa"/>
            <w:vAlign w:val="bottom"/>
            <w:tcBorders>
              <w:left w:val="single" w:sz="8" w:color="02AE90"/>
            </w:tcBorders>
            <w:vMerge w:val="restart"/>
            <w:shd w:val="clear" w:color="auto" w:fill="02AE90"/>
          </w:tcPr>
          <w:p>
            <w:pPr>
              <w:ind w:left="200"/>
              <w:spacing w:after="0"/>
              <w:rPr>
                <w:sz w:val="20"/>
                <w:szCs w:val="20"/>
                <w:color w:val="auto"/>
              </w:rPr>
            </w:pPr>
            <w:r>
              <w:rPr>
                <w:rFonts w:ascii="Times New Roman" w:cs="Times New Roman" w:eastAsia="Times New Roman" w:hAnsi="Times New Roman"/>
                <w:sz w:val="14"/>
                <w:szCs w:val="14"/>
                <w:b w:val="1"/>
                <w:bCs w:val="1"/>
                <w:color w:val="FFFFFF"/>
              </w:rPr>
              <w:t>Gender:</w:t>
            </w:r>
          </w:p>
        </w:tc>
        <w:tc>
          <w:tcPr>
            <w:tcW w:w="420" w:type="dxa"/>
            <w:vAlign w:val="bottom"/>
            <w:tcBorders>
              <w:right w:val="single" w:sz="8" w:color="02AE90"/>
            </w:tcBorders>
            <w:shd w:val="clear" w:color="auto" w:fill="02AE90"/>
          </w:tcPr>
          <w:p>
            <w:pPr>
              <w:spacing w:after="0"/>
              <w:rPr>
                <w:sz w:val="12"/>
                <w:szCs w:val="12"/>
                <w:color w:val="auto"/>
              </w:rPr>
            </w:pPr>
          </w:p>
        </w:tc>
        <w:tc>
          <w:tcPr>
            <w:tcW w:w="120" w:type="dxa"/>
            <w:vAlign w:val="bottom"/>
            <w:shd w:val="clear" w:color="auto" w:fill="02AE90"/>
          </w:tcPr>
          <w:p>
            <w:pPr>
              <w:spacing w:after="0"/>
              <w:rPr>
                <w:sz w:val="12"/>
                <w:szCs w:val="12"/>
                <w:color w:val="auto"/>
              </w:rPr>
            </w:pPr>
          </w:p>
        </w:tc>
        <w:tc>
          <w:tcPr>
            <w:tcW w:w="1280" w:type="dxa"/>
            <w:vAlign w:val="bottom"/>
            <w:tcBorders>
              <w:right w:val="single" w:sz="8" w:color="02AE90"/>
            </w:tcBorders>
            <w:vMerge w:val="restart"/>
            <w:shd w:val="clear" w:color="auto" w:fill="02AE90"/>
          </w:tcPr>
          <w:p>
            <w:pPr>
              <w:ind w:left="480"/>
              <w:spacing w:after="0"/>
              <w:rPr>
                <w:sz w:val="20"/>
                <w:szCs w:val="20"/>
                <w:color w:val="auto"/>
              </w:rPr>
            </w:pPr>
            <w:r>
              <w:rPr>
                <w:rFonts w:ascii="Times New Roman" w:cs="Times New Roman" w:eastAsia="Times New Roman" w:hAnsi="Times New Roman"/>
                <w:sz w:val="14"/>
                <w:szCs w:val="14"/>
                <w:b w:val="1"/>
                <w:bCs w:val="1"/>
                <w:color w:val="FFFFFF"/>
              </w:rPr>
              <w:t>Male</w:t>
            </w:r>
          </w:p>
        </w:tc>
        <w:tc>
          <w:tcPr>
            <w:tcW w:w="120" w:type="dxa"/>
            <w:vAlign w:val="bottom"/>
            <w:shd w:val="clear" w:color="auto" w:fill="02AE90"/>
          </w:tcPr>
          <w:p>
            <w:pPr>
              <w:spacing w:after="0"/>
              <w:rPr>
                <w:sz w:val="12"/>
                <w:szCs w:val="12"/>
                <w:color w:val="auto"/>
              </w:rPr>
            </w:pPr>
          </w:p>
        </w:tc>
        <w:tc>
          <w:tcPr>
            <w:tcW w:w="1000" w:type="dxa"/>
            <w:vAlign w:val="bottom"/>
            <w:vMerge w:val="restart"/>
            <w:shd w:val="clear" w:color="auto" w:fill="02AE90"/>
          </w:tcPr>
          <w:p>
            <w:pPr>
              <w:ind w:left="400"/>
              <w:spacing w:after="0"/>
              <w:rPr>
                <w:sz w:val="20"/>
                <w:szCs w:val="20"/>
                <w:color w:val="auto"/>
              </w:rPr>
            </w:pPr>
            <w:r>
              <w:rPr>
                <w:rFonts w:ascii="Times New Roman" w:cs="Times New Roman" w:eastAsia="Times New Roman" w:hAnsi="Times New Roman"/>
                <w:sz w:val="14"/>
                <w:szCs w:val="14"/>
                <w:b w:val="1"/>
                <w:bCs w:val="1"/>
                <w:color w:val="FFFFFF"/>
              </w:rPr>
              <w:t>Female</w:t>
            </w:r>
          </w:p>
        </w:tc>
        <w:tc>
          <w:tcPr>
            <w:tcW w:w="280" w:type="dxa"/>
            <w:vAlign w:val="bottom"/>
            <w:tcBorders>
              <w:right w:val="single" w:sz="8" w:color="02AE90"/>
            </w:tcBorders>
            <w:shd w:val="clear" w:color="auto" w:fill="02AE90"/>
          </w:tcPr>
          <w:p>
            <w:pPr>
              <w:spacing w:after="0"/>
              <w:rPr>
                <w:sz w:val="12"/>
                <w:szCs w:val="12"/>
                <w:color w:val="auto"/>
              </w:rPr>
            </w:pPr>
          </w:p>
        </w:tc>
        <w:tc>
          <w:tcPr>
            <w:tcW w:w="100" w:type="dxa"/>
            <w:vAlign w:val="bottom"/>
            <w:shd w:val="clear" w:color="auto" w:fill="02AE90"/>
          </w:tcPr>
          <w:p>
            <w:pPr>
              <w:spacing w:after="0"/>
              <w:rPr>
                <w:sz w:val="12"/>
                <w:szCs w:val="12"/>
                <w:color w:val="auto"/>
              </w:rPr>
            </w:pPr>
          </w:p>
        </w:tc>
        <w:tc>
          <w:tcPr>
            <w:tcW w:w="1260" w:type="dxa"/>
            <w:vAlign w:val="bottom"/>
            <w:tcBorders>
              <w:right w:val="single" w:sz="8" w:color="02AE90"/>
            </w:tcBorders>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Non-Binary</w:t>
            </w:r>
          </w:p>
        </w:tc>
        <w:tc>
          <w:tcPr>
            <w:tcW w:w="1360" w:type="dxa"/>
            <w:vAlign w:val="bottom"/>
            <w:tcBorders>
              <w:right w:val="single" w:sz="8" w:color="02AE90"/>
            </w:tcBorders>
            <w:shd w:val="clear" w:color="auto" w:fill="02AE90"/>
          </w:tcPr>
          <w:p>
            <w:pPr>
              <w:jc w:val="center"/>
              <w:ind w:left="15"/>
              <w:spacing w:after="0" w:line="148" w:lineRule="exact"/>
              <w:rPr>
                <w:sz w:val="20"/>
                <w:szCs w:val="20"/>
                <w:color w:val="auto"/>
              </w:rPr>
            </w:pPr>
            <w:r>
              <w:rPr>
                <w:rFonts w:ascii="Times New Roman" w:cs="Times New Roman" w:eastAsia="Times New Roman" w:hAnsi="Times New Roman"/>
                <w:sz w:val="14"/>
                <w:szCs w:val="14"/>
                <w:b w:val="1"/>
                <w:bCs w:val="1"/>
                <w:color w:val="FFFFFF"/>
              </w:rPr>
              <w:t>Gender</w:t>
            </w:r>
          </w:p>
        </w:tc>
        <w:tc>
          <w:tcPr>
            <w:tcW w:w="0" w:type="dxa"/>
            <w:vAlign w:val="bottom"/>
          </w:tcPr>
          <w:p>
            <w:pPr>
              <w:spacing w:after="0"/>
              <w:rPr>
                <w:sz w:val="1"/>
                <w:szCs w:val="1"/>
                <w:color w:val="auto"/>
              </w:rPr>
            </w:pPr>
          </w:p>
        </w:tc>
      </w:tr>
      <w:tr>
        <w:trPr>
          <w:trHeight w:val="204"/>
        </w:trPr>
        <w:tc>
          <w:tcPr>
            <w:tcW w:w="5300" w:type="dxa"/>
            <w:vAlign w:val="bottom"/>
            <w:tcBorders>
              <w:left w:val="single" w:sz="8" w:color="02AE90"/>
              <w:bottom w:val="single" w:sz="8" w:color="02AE90"/>
            </w:tcBorders>
            <w:vMerge w:val="continue"/>
            <w:shd w:val="clear" w:color="auto" w:fill="02AE90"/>
          </w:tcPr>
          <w:p>
            <w:pPr>
              <w:spacing w:after="0"/>
              <w:rPr>
                <w:sz w:val="17"/>
                <w:szCs w:val="17"/>
                <w:color w:val="auto"/>
              </w:rPr>
            </w:pPr>
          </w:p>
        </w:tc>
        <w:tc>
          <w:tcPr>
            <w:tcW w:w="420" w:type="dxa"/>
            <w:vAlign w:val="bottom"/>
            <w:tcBorders>
              <w:bottom w:val="single" w:sz="8" w:color="02AE90"/>
              <w:right w:val="single" w:sz="8" w:color="02AE90"/>
            </w:tcBorders>
            <w:shd w:val="clear" w:color="auto" w:fill="02AE90"/>
          </w:tcPr>
          <w:p>
            <w:pPr>
              <w:spacing w:after="0"/>
              <w:rPr>
                <w:sz w:val="17"/>
                <w:szCs w:val="17"/>
                <w:color w:val="auto"/>
              </w:rPr>
            </w:pPr>
          </w:p>
        </w:tc>
        <w:tc>
          <w:tcPr>
            <w:tcW w:w="120" w:type="dxa"/>
            <w:vAlign w:val="bottom"/>
            <w:tcBorders>
              <w:bottom w:val="single" w:sz="8" w:color="02AE90"/>
            </w:tcBorders>
            <w:shd w:val="clear" w:color="auto" w:fill="02AE90"/>
          </w:tcPr>
          <w:p>
            <w:pPr>
              <w:spacing w:after="0"/>
              <w:rPr>
                <w:sz w:val="17"/>
                <w:szCs w:val="17"/>
                <w:color w:val="auto"/>
              </w:rPr>
            </w:pPr>
          </w:p>
        </w:tc>
        <w:tc>
          <w:tcPr>
            <w:tcW w:w="1280" w:type="dxa"/>
            <w:vAlign w:val="bottom"/>
            <w:tcBorders>
              <w:bottom w:val="single" w:sz="8" w:color="02AE90"/>
              <w:right w:val="single" w:sz="8" w:color="02AE90"/>
            </w:tcBorders>
            <w:vMerge w:val="continue"/>
            <w:shd w:val="clear" w:color="auto" w:fill="02AE90"/>
          </w:tcPr>
          <w:p>
            <w:pPr>
              <w:spacing w:after="0"/>
              <w:rPr>
                <w:sz w:val="17"/>
                <w:szCs w:val="17"/>
                <w:color w:val="auto"/>
              </w:rPr>
            </w:pPr>
          </w:p>
        </w:tc>
        <w:tc>
          <w:tcPr>
            <w:tcW w:w="120" w:type="dxa"/>
            <w:vAlign w:val="bottom"/>
            <w:tcBorders>
              <w:bottom w:val="single" w:sz="8" w:color="02AE90"/>
            </w:tcBorders>
            <w:shd w:val="clear" w:color="auto" w:fill="02AE90"/>
          </w:tcPr>
          <w:p>
            <w:pPr>
              <w:spacing w:after="0"/>
              <w:rPr>
                <w:sz w:val="17"/>
                <w:szCs w:val="17"/>
                <w:color w:val="auto"/>
              </w:rPr>
            </w:pPr>
          </w:p>
        </w:tc>
        <w:tc>
          <w:tcPr>
            <w:tcW w:w="1000" w:type="dxa"/>
            <w:vAlign w:val="bottom"/>
            <w:tcBorders>
              <w:bottom w:val="single" w:sz="8" w:color="02AE90"/>
            </w:tcBorders>
            <w:vMerge w:val="continue"/>
            <w:shd w:val="clear" w:color="auto" w:fill="02AE90"/>
          </w:tcPr>
          <w:p>
            <w:pPr>
              <w:spacing w:after="0"/>
              <w:rPr>
                <w:sz w:val="17"/>
                <w:szCs w:val="17"/>
                <w:color w:val="auto"/>
              </w:rPr>
            </w:pPr>
          </w:p>
        </w:tc>
        <w:tc>
          <w:tcPr>
            <w:tcW w:w="280" w:type="dxa"/>
            <w:vAlign w:val="bottom"/>
            <w:tcBorders>
              <w:bottom w:val="single" w:sz="8" w:color="02AE90"/>
              <w:right w:val="single" w:sz="8" w:color="02AE90"/>
            </w:tcBorders>
            <w:shd w:val="clear" w:color="auto" w:fill="02AE90"/>
          </w:tcPr>
          <w:p>
            <w:pPr>
              <w:spacing w:after="0"/>
              <w:rPr>
                <w:sz w:val="17"/>
                <w:szCs w:val="17"/>
                <w:color w:val="auto"/>
              </w:rPr>
            </w:pPr>
          </w:p>
        </w:tc>
        <w:tc>
          <w:tcPr>
            <w:tcW w:w="100" w:type="dxa"/>
            <w:vAlign w:val="bottom"/>
            <w:tcBorders>
              <w:bottom w:val="single" w:sz="8" w:color="02AE90"/>
            </w:tcBorders>
            <w:shd w:val="clear" w:color="auto" w:fill="02AE90"/>
          </w:tcPr>
          <w:p>
            <w:pPr>
              <w:spacing w:after="0"/>
              <w:rPr>
                <w:sz w:val="17"/>
                <w:szCs w:val="17"/>
                <w:color w:val="auto"/>
              </w:rPr>
            </w:pPr>
          </w:p>
        </w:tc>
        <w:tc>
          <w:tcPr>
            <w:tcW w:w="1260" w:type="dxa"/>
            <w:vAlign w:val="bottom"/>
            <w:tcBorders>
              <w:bottom w:val="single" w:sz="8" w:color="02AE90"/>
              <w:right w:val="single" w:sz="8" w:color="02AE90"/>
            </w:tcBorders>
            <w:vMerge w:val="continue"/>
            <w:shd w:val="clear" w:color="auto" w:fill="02AE90"/>
          </w:tcPr>
          <w:p>
            <w:pPr>
              <w:spacing w:after="0"/>
              <w:rPr>
                <w:sz w:val="17"/>
                <w:szCs w:val="17"/>
                <w:color w:val="auto"/>
              </w:rPr>
            </w:pPr>
          </w:p>
        </w:tc>
        <w:tc>
          <w:tcPr>
            <w:tcW w:w="1360" w:type="dxa"/>
            <w:vAlign w:val="bottom"/>
            <w:tcBorders>
              <w:bottom w:val="single" w:sz="8" w:color="02AE90"/>
              <w:right w:val="single" w:sz="8" w:color="02AE90"/>
            </w:tcBorders>
            <w:shd w:val="clear" w:color="auto" w:fill="02AE90"/>
          </w:tcPr>
          <w:p>
            <w:pPr>
              <w:jc w:val="center"/>
              <w:ind w:left="15"/>
              <w:spacing w:after="0"/>
              <w:rPr>
                <w:sz w:val="20"/>
                <w:szCs w:val="20"/>
                <w:color w:val="auto"/>
              </w:rPr>
            </w:pPr>
            <w:r>
              <w:rPr>
                <w:rFonts w:ascii="Times New Roman" w:cs="Times New Roman" w:eastAsia="Times New Roman" w:hAnsi="Times New Roman"/>
                <w:sz w:val="14"/>
                <w:szCs w:val="14"/>
                <w:b w:val="1"/>
                <w:bCs w:val="1"/>
                <w:color w:val="FFFFFF"/>
              </w:rPr>
              <w:t>Undisclosed</w:t>
            </w:r>
          </w:p>
        </w:tc>
        <w:tc>
          <w:tcPr>
            <w:tcW w:w="0" w:type="dxa"/>
            <w:vAlign w:val="bottom"/>
          </w:tcPr>
          <w:p>
            <w:pPr>
              <w:spacing w:after="0"/>
              <w:rPr>
                <w:sz w:val="1"/>
                <w:szCs w:val="1"/>
                <w:color w:val="auto"/>
              </w:rPr>
            </w:pPr>
          </w:p>
        </w:tc>
      </w:tr>
      <w:tr>
        <w:trPr>
          <w:trHeight w:val="235"/>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Number of directors based on gender identity</w:t>
            </w:r>
          </w:p>
        </w:tc>
        <w:tc>
          <w:tcPr>
            <w:tcW w:w="420" w:type="dxa"/>
            <w:vAlign w:val="bottom"/>
            <w:tcBorders>
              <w:bottom w:val="single" w:sz="8" w:color="02AE90"/>
              <w:right w:val="single" w:sz="8" w:color="02AE90"/>
            </w:tcBorders>
          </w:tcPr>
          <w:p>
            <w:pPr>
              <w:spacing w:after="0"/>
              <w:rPr>
                <w:sz w:val="20"/>
                <w:szCs w:val="20"/>
                <w:color w:val="auto"/>
              </w:rPr>
            </w:pPr>
          </w:p>
        </w:tc>
        <w:tc>
          <w:tcPr>
            <w:tcW w:w="1400" w:type="dxa"/>
            <w:vAlign w:val="bottom"/>
            <w:tcBorders>
              <w:bottom w:val="single" w:sz="8" w:color="02AE90"/>
              <w:right w:val="single" w:sz="8" w:color="02AE90"/>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bottom w:val="single" w:sz="8" w:color="02AE90"/>
            </w:tcBorders>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3"/>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spacing w:after="0"/>
              <w:rPr>
                <w:sz w:val="20"/>
                <w:szCs w:val="20"/>
                <w:color w:val="auto"/>
              </w:rPr>
            </w:pPr>
          </w:p>
        </w:tc>
        <w:tc>
          <w:tcPr>
            <w:tcW w:w="13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Asian</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02AE90"/>
            </w:tcBorders>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Hispanic or Latinx</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White</w:t>
            </w:r>
          </w:p>
        </w:tc>
        <w:tc>
          <w:tcPr>
            <w:tcW w:w="420" w:type="dxa"/>
            <w:vAlign w:val="bottom"/>
            <w:tcBorders>
              <w:bottom w:val="single" w:sz="8" w:color="02AE90"/>
              <w:right w:val="single" w:sz="8" w:color="02AE90"/>
            </w:tcBorders>
          </w:tcPr>
          <w:p>
            <w:pPr>
              <w:spacing w:after="0"/>
              <w:rPr>
                <w:sz w:val="20"/>
                <w:szCs w:val="20"/>
                <w:color w:val="auto"/>
              </w:rPr>
            </w:pPr>
          </w:p>
        </w:tc>
        <w:tc>
          <w:tcPr>
            <w:tcW w:w="1400" w:type="dxa"/>
            <w:vAlign w:val="bottom"/>
            <w:tcBorders>
              <w:bottom w:val="single" w:sz="8" w:color="02AE90"/>
              <w:right w:val="single" w:sz="8" w:color="02AE90"/>
            </w:tcBorders>
            <w:gridSpan w:val="2"/>
          </w:tcPr>
          <w:p>
            <w:pPr>
              <w:jc w:val="center"/>
              <w:ind w:left="11"/>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bottom w:val="single" w:sz="8" w:color="02AE90"/>
            </w:tcBorders>
            <w:gridSpan w:val="2"/>
          </w:tcPr>
          <w:p>
            <w:pPr>
              <w:jc w:val="center"/>
              <w:ind w:left="29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02AE90"/>
              <w:right w:val="single" w:sz="8" w:color="02AE90"/>
            </w:tcBorders>
          </w:tcPr>
          <w:p>
            <w:pPr>
              <w:spacing w:after="0"/>
              <w:rPr>
                <w:sz w:val="20"/>
                <w:szCs w:val="20"/>
                <w:color w:val="auto"/>
              </w:rPr>
            </w:pPr>
          </w:p>
        </w:tc>
        <w:tc>
          <w:tcPr>
            <w:tcW w:w="100" w:type="dxa"/>
            <w:vAlign w:val="bottom"/>
            <w:tcBorders>
              <w:bottom w:val="single" w:sz="8" w:color="02AE90"/>
            </w:tcBorders>
          </w:tcPr>
          <w:p>
            <w:pPr>
              <w:spacing w:after="0"/>
              <w:rPr>
                <w:sz w:val="20"/>
                <w:szCs w:val="20"/>
                <w:color w:val="auto"/>
              </w:rPr>
            </w:pP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jc w:val="center"/>
              <w:ind w:left="1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LGBTQ+</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640" w:type="dxa"/>
            <w:vAlign w:val="bottom"/>
            <w:tcBorders>
              <w:bottom w:val="single" w:sz="8" w:color="02AE90"/>
            </w:tcBorders>
            <w:gridSpan w:val="3"/>
          </w:tcPr>
          <w:p>
            <w:pPr>
              <w:jc w:val="center"/>
              <w:ind w:right="1093"/>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tcBorders>
              <w:left w:val="single" w:sz="8" w:color="02AE90"/>
              <w:bottom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Demographic Background Undisclosed</w:t>
            </w:r>
          </w:p>
        </w:tc>
        <w:tc>
          <w:tcPr>
            <w:tcW w:w="420" w:type="dxa"/>
            <w:vAlign w:val="bottom"/>
            <w:tcBorders>
              <w:bottom w:val="single" w:sz="8" w:color="02AE90"/>
              <w:right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280" w:type="dxa"/>
            <w:vAlign w:val="bottom"/>
            <w:tcBorders>
              <w:bottom w:val="single" w:sz="8" w:color="02AE90"/>
            </w:tcBorders>
          </w:tcPr>
          <w:p>
            <w:pPr>
              <w:spacing w:after="0"/>
              <w:rPr>
                <w:sz w:val="20"/>
                <w:szCs w:val="20"/>
                <w:color w:val="auto"/>
              </w:rPr>
            </w:pPr>
          </w:p>
        </w:tc>
        <w:tc>
          <w:tcPr>
            <w:tcW w:w="12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380" w:type="dxa"/>
            <w:vAlign w:val="bottom"/>
            <w:tcBorders>
              <w:bottom w:val="single" w:sz="8" w:color="02AE90"/>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02AE90"/>
            </w:tcBorders>
          </w:tcPr>
          <w:p>
            <w:pPr>
              <w:spacing w:after="0"/>
              <w:rPr>
                <w:sz w:val="20"/>
                <w:szCs w:val="20"/>
                <w:color w:val="auto"/>
              </w:rPr>
            </w:pPr>
          </w:p>
        </w:tc>
        <w:tc>
          <w:tcPr>
            <w:tcW w:w="13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5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-2423795</wp:posOffset>
            </wp:positionV>
            <wp:extent cx="7134860" cy="2002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2002790"/>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 Skills and Experiences</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a complementary mix of diverse qualifications, skills, attributes and experiences will best serve our Company and our stockholders. Our Board, like the Company, is committed to a policy of inclusiveness and diversity. As a result, our Board is comprised of a diverse group of individuals whose previous experience, financial and business acumen, personal ethics and dedication to our Company benefit the Company and our stockholders. The specific experience and qualifications of each of our Board members are set forth above. Below is a summary of some of the attributes, skills and 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145415</wp:posOffset>
            </wp:positionV>
            <wp:extent cx="5372100" cy="6164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72100" cy="616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Director Diversity</w:t>
      </w:r>
    </w:p>
    <w:p>
      <w:pPr>
        <w:spacing w:after="0" w:line="11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case of a Board vacancy or if the Board elects to increase its size, determinations regarding the eligibility of director candidates are made by the entire Board, which considers the candidate’s qualifications as to skills and experience in the context of the needs of the Board and our stockholders. When seeking new Board candidates, the Board is committed to including members of historically underrepresented groups (including individuals with a disability, individuals who identify as women and/or LGBTQ+ and members of historically underrepresented ethnic and racial groups) in the pool of candidates from which the Board nominees are chosen. Currently and as proposed, the Board of Directors consists of three women, including one woman who is a member of a historically underrepresented group</w:t>
      </w:r>
      <w:r>
        <w:rPr>
          <w:rFonts w:ascii="Calibri" w:cs="Calibri" w:eastAsia="Calibri" w:hAnsi="Calibri"/>
          <w:sz w:val="19"/>
          <w:szCs w:val="19"/>
          <w:i w:val="1"/>
          <w:iCs w:val="1"/>
          <w:color w:val="auto"/>
        </w:rPr>
        <w:t>.</w:t>
      </w: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1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Under the Nasdaq Rules, the Board has a responsibility to make an affirmative determination that those members of the Board who serve as independent directors do not have any relationships that would interfere with the exercise of independent judgment in carrying out the responsibilities of a director. In connection with these independence determinations, the Board reviews information regarding transactions, relationships and arrangements relevant to independence, including those required by the Nasdaq Rules. This information is obtained from director responses to questionnaires circulated by management, as well as our records and publicly available information. Following this determination, management monitors those transactions, relationships and arrangements that were relevant to such determination, as well as solicits updated information potentially relevant to independence from internal personnel and directors, to determine whether there have been any developments that could potentially have an adverse impact on the Board’s prior independence determination.</w:t>
      </w:r>
    </w:p>
    <w:p>
      <w:pPr>
        <w:spacing w:after="0" w:line="188"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Based on the information provided by each director concerning his or her background, employment and affiliations and upon review of this information, our Board previously determined that each of Mmes. Morgan, Shineman and Sun and Messrs. Hoag, Philips, O’Hara and Wiesenthal does not have a relationship that should interfere with the exercise of independent judgment in carrying out the responsibilities of a director and that each of these directors is an “independent director” as defined under the applicable rules and regulations of the SEC and Nasdaq. In making its independence determinations, the Board considered the applicable legal standards and any relevant transactions, relationships or arrangements. In addition to the satisfaction of the director independence requirements set forth in the Nasdaq Rules, members of the Audit Committee and Compensation Committees also satisfied separate independence requirements under the current standards imposed by the SEC and the Nasdaq Rules for audit committee members and by the SEC, Nasdaq Rules and the Internal Revenue Service for compensation committee members. At the first meeting of the Board following the Annual Meeting, the Board intends to conduct a review of director independence and to designate the members of the Board to serve on each of the committees and the Chair of each of the committees for the directors’ term.</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Status</w:t>
      </w:r>
    </w:p>
    <w:p>
      <w:pPr>
        <w:spacing w:after="0" w:line="11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the record date, LTRIP beneficially owned [16,445,894] shares of our common stock and 12,799,999 shares of our Class B common stock, which shares constitute [13.0%] of the outstanding shares of common stock and 100% of the outstanding shares of Class B common stock, respectively. Assuming the conversion of all of LTRIP’s shares of Class B common stock into common stock, LTRIP would beneficially own [20.9%] of the outstanding common stock. Because each share of Class B common stock is entitled to ten votes per share and each share of common stock is entitled to one vote per share, LTRIP may be deemed to beneficially own equity securities representing [56.7%] of our voting power. LTRIP has filed a Statement of Beneficial Ownership on Schedule 13D with respect to its Tripadvisor holdings and related voting arrangements with the SEC.</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Nasdaq Rules exempt “controlled companies,” or companies of which more than 50% of the voting power is held by an individual, a group or another company, such as Tripadvisor, from certain governance requirements under the Nasdaq Rules. On this basis, Tripadvisor is relying on the exemption for controlled companies from certain requirements under the Nasdaq Rules, including, among others, the requirement that the Compensation Committees be composed solely of independent directors and certain requirements relating to the nomination of directors.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1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Mr. Maffei serves as the Chairman of the Board, and Mr. Goldberg serves as President and Chief Executive Officer of Tripadvisor. The roles of Chief Executive Officer and Chairman of the Board are currently separated in recognition of the differences between the two roles. This leadership structure provides us with the benefit of Mr. Maffei’s oversight of Tripadvisor’s strategic goals and vision, coupled with the benefit of a full-time Chief Executive Officer dedicated to focusing on the day-to-day management and continued growth of Tripadvisor and its operating businesses. We believe that it is in the best interests of our stockholders for the Board to make a determination regarding the separation or combination of these roles each time it elects a new Chairman or Chief Executive Officer based on the relevant facts and circumstances applicable at such time.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Independent members of the Board chair our Audit Committee, Compensation Committee, and Section 16 Committee.</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Meeting Attendance</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met four times in 2022. During such period, each member of the Board attended at least 75% of the meetings of the Board and the Board committees on which they served. The independent directors meet in regularly scheduled sessions, typically before or after each Board meeting, without the presence of management. We do not have a lead independent director or any other formally appointed leader for these sessions. Directors are encouraged but not required to attend annual meetings of Tripadvisor stockholders. All of the incumbent directors who were directors at the time have historically attended the annual meetings of stockholders.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Board has the following standing committees: the Audit Committee, the Compensation Committee, the Section 16 Committee and the Executive Committee. The Audit, Compensation and Section 16 Committees operate under written charters adopted by the Board. These charters are available in the “Corporate Governance” section of the Investor Relations page of Tripadvisor’s corporate website at ir.Tripadvisor.com. At each regularly scheduled Board meeting, the Chairperson of each committee provides the full Board with an update of all significant matters discussed, reviewed, considered and/or approved by the relevant committee since the last regularly scheduled Board meeting. The membership of our Audit, Compensation and Section 16 Committees ensures that directors with no direct ties to Company management are charged with oversight for all financial reporting and executive compensation related decisions made by Company management.</w:t>
      </w:r>
    </w:p>
    <w:p>
      <w:pPr>
        <w:spacing w:after="0" w:line="18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sets forth the current members of the Board and the members of each committee of the Board. At the first meeting of the Board following the Annual Meeting, the Board intends to conduct a review of director independence and to designate the members of the Board to serve on each of the committees and the Chair of each of the committees for the directors’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128270</wp:posOffset>
            </wp:positionV>
            <wp:extent cx="6417945" cy="1834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7945" cy="183451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Borders>
              <w:right w:val="single" w:sz="8" w:color="02AE90"/>
            </w:tcBorders>
          </w:tcPr>
          <w:p>
            <w:pPr>
              <w:spacing w:after="0"/>
              <w:rPr>
                <w:sz w:val="13"/>
                <w:szCs w:val="13"/>
                <w:color w:val="auto"/>
              </w:rPr>
            </w:pPr>
          </w:p>
        </w:tc>
        <w:tc>
          <w:tcPr>
            <w:tcW w:w="3420" w:type="dxa"/>
            <w:vAlign w:val="bottom"/>
            <w:shd w:val="clear" w:color="auto" w:fill="02AE90"/>
          </w:tcPr>
          <w:p>
            <w:pPr>
              <w:spacing w:after="0"/>
              <w:rPr>
                <w:sz w:val="13"/>
                <w:szCs w:val="13"/>
                <w:color w:val="auto"/>
              </w:rPr>
            </w:pPr>
          </w:p>
        </w:tc>
        <w:tc>
          <w:tcPr>
            <w:tcW w:w="1620" w:type="dxa"/>
            <w:vAlign w:val="bottom"/>
            <w:tcBorders>
              <w:right w:val="single" w:sz="8" w:color="02AE90"/>
            </w:tcBorders>
            <w:shd w:val="clear" w:color="auto" w:fill="02AE90"/>
          </w:tcPr>
          <w:p>
            <w:pPr>
              <w:spacing w:after="0"/>
              <w:rPr>
                <w:sz w:val="13"/>
                <w:szCs w:val="13"/>
                <w:color w:val="auto"/>
              </w:rPr>
            </w:pPr>
          </w:p>
        </w:tc>
        <w:tc>
          <w:tcPr>
            <w:tcW w:w="160" w:type="dxa"/>
            <w:vAlign w:val="bottom"/>
            <w:shd w:val="clear" w:color="auto" w:fill="02AE90"/>
          </w:tcPr>
          <w:p>
            <w:pPr>
              <w:spacing w:after="0"/>
              <w:rPr>
                <w:sz w:val="13"/>
                <w:szCs w:val="13"/>
                <w:color w:val="auto"/>
              </w:rPr>
            </w:pPr>
          </w:p>
        </w:tc>
        <w:tc>
          <w:tcPr>
            <w:tcW w:w="11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Audit</w:t>
            </w:r>
          </w:p>
        </w:tc>
        <w:tc>
          <w:tcPr>
            <w:tcW w:w="12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2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Section 16</w:t>
            </w:r>
          </w:p>
        </w:tc>
        <w:tc>
          <w:tcPr>
            <w:tcW w:w="12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Executive</w:t>
            </w:r>
          </w:p>
        </w:tc>
        <w:tc>
          <w:tcPr>
            <w:tcW w:w="540" w:type="dxa"/>
            <w:vAlign w:val="bottom"/>
          </w:tcPr>
          <w:p>
            <w:pPr>
              <w:spacing w:after="0"/>
              <w:rPr>
                <w:sz w:val="13"/>
                <w:szCs w:val="13"/>
                <w:color w:val="auto"/>
              </w:rPr>
            </w:pPr>
          </w:p>
        </w:tc>
      </w:tr>
      <w:tr>
        <w:trPr>
          <w:trHeight w:val="197"/>
        </w:trPr>
        <w:tc>
          <w:tcPr>
            <w:tcW w:w="600" w:type="dxa"/>
            <w:vAlign w:val="bottom"/>
            <w:tcBorders>
              <w:right w:val="single" w:sz="8" w:color="02AE90"/>
            </w:tcBorders>
          </w:tcPr>
          <w:p>
            <w:pPr>
              <w:spacing w:after="0"/>
              <w:rPr>
                <w:sz w:val="17"/>
                <w:szCs w:val="17"/>
                <w:color w:val="auto"/>
              </w:rPr>
            </w:pPr>
          </w:p>
        </w:tc>
        <w:tc>
          <w:tcPr>
            <w:tcW w:w="3420" w:type="dxa"/>
            <w:vAlign w:val="bottom"/>
            <w:shd w:val="clear" w:color="auto" w:fill="02AE90"/>
          </w:tcPr>
          <w:p>
            <w:pPr>
              <w:spacing w:after="0"/>
              <w:rPr>
                <w:sz w:val="17"/>
                <w:szCs w:val="17"/>
                <w:color w:val="auto"/>
              </w:rPr>
            </w:pPr>
          </w:p>
        </w:tc>
        <w:tc>
          <w:tcPr>
            <w:tcW w:w="1620" w:type="dxa"/>
            <w:vAlign w:val="bottom"/>
            <w:tcBorders>
              <w:right w:val="single" w:sz="8" w:color="02AE90"/>
            </w:tcBorders>
            <w:shd w:val="clear" w:color="auto" w:fill="02AE90"/>
          </w:tcPr>
          <w:p>
            <w:pPr>
              <w:spacing w:after="0"/>
              <w:rPr>
                <w:sz w:val="17"/>
                <w:szCs w:val="17"/>
                <w:color w:val="auto"/>
              </w:rPr>
            </w:pPr>
          </w:p>
        </w:tc>
        <w:tc>
          <w:tcPr>
            <w:tcW w:w="160" w:type="dxa"/>
            <w:vAlign w:val="bottom"/>
            <w:shd w:val="clear" w:color="auto" w:fill="02AE90"/>
          </w:tcPr>
          <w:p>
            <w:pPr>
              <w:spacing w:after="0"/>
              <w:rPr>
                <w:sz w:val="17"/>
                <w:szCs w:val="17"/>
                <w:color w:val="auto"/>
              </w:rPr>
            </w:pPr>
          </w:p>
        </w:tc>
        <w:tc>
          <w:tcPr>
            <w:tcW w:w="11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Committee</w:t>
            </w:r>
          </w:p>
        </w:tc>
        <w:tc>
          <w:tcPr>
            <w:tcW w:w="12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Committee</w:t>
            </w:r>
          </w:p>
        </w:tc>
        <w:tc>
          <w:tcPr>
            <w:tcW w:w="12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Committee</w:t>
            </w:r>
          </w:p>
        </w:tc>
        <w:tc>
          <w:tcPr>
            <w:tcW w:w="12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Committee</w:t>
            </w:r>
          </w:p>
        </w:tc>
        <w:tc>
          <w:tcPr>
            <w:tcW w:w="540" w:type="dxa"/>
            <w:vAlign w:val="bottom"/>
          </w:tcPr>
          <w:p>
            <w:pPr>
              <w:spacing w:after="0"/>
              <w:rPr>
                <w:sz w:val="17"/>
                <w:szCs w:val="17"/>
                <w:color w:val="auto"/>
              </w:rPr>
            </w:pPr>
          </w:p>
        </w:tc>
      </w:tr>
      <w:tr>
        <w:trPr>
          <w:trHeight w:val="235"/>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Gregory B. Maffei</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Matt Goldberg</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Jay C. Hoag</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Betsy L. Morgan</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4"/>
              </w:rPr>
              <w:t>Chair</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M. Greg O’Hara</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Jeremy Philips</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Albert E. Rosenthaler</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Trynka Shineman Blake</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Jane Jie Sun</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232"/>
        </w:trPr>
        <w:tc>
          <w:tcPr>
            <w:tcW w:w="600" w:type="dxa"/>
            <w:vAlign w:val="bottom"/>
            <w:tcBorders>
              <w:right w:val="single" w:sz="8" w:color="02AE90"/>
            </w:tcBorders>
          </w:tcPr>
          <w:p>
            <w:pPr>
              <w:spacing w:after="0"/>
              <w:rPr>
                <w:sz w:val="20"/>
                <w:szCs w:val="20"/>
                <w:color w:val="auto"/>
              </w:rPr>
            </w:pPr>
          </w:p>
        </w:tc>
        <w:tc>
          <w:tcPr>
            <w:tcW w:w="3420" w:type="dxa"/>
            <w:vAlign w:val="bottom"/>
            <w:tcBorders>
              <w:bottom w:val="single" w:sz="8" w:color="02AE90"/>
            </w:tcBorders>
          </w:tcPr>
          <w:p>
            <w:pPr>
              <w:ind w:left="180"/>
              <w:spacing w:after="0"/>
              <w:rPr>
                <w:sz w:val="20"/>
                <w:szCs w:val="20"/>
                <w:color w:val="auto"/>
              </w:rPr>
            </w:pPr>
            <w:r>
              <w:rPr>
                <w:rFonts w:ascii="Times New Roman" w:cs="Times New Roman" w:eastAsia="Times New Roman" w:hAnsi="Times New Roman"/>
                <w:sz w:val="18"/>
                <w:szCs w:val="18"/>
                <w:color w:val="auto"/>
              </w:rPr>
              <w:t>Robert S. Wiesenthal</w:t>
            </w:r>
          </w:p>
        </w:tc>
        <w:tc>
          <w:tcPr>
            <w:tcW w:w="1620" w:type="dxa"/>
            <w:vAlign w:val="bottom"/>
            <w:tcBorders>
              <w:bottom w:val="single" w:sz="8" w:color="02AE90"/>
              <w:right w:val="single" w:sz="8" w:color="02AE90"/>
            </w:tcBorders>
          </w:tcPr>
          <w:p>
            <w:pPr>
              <w:spacing w:after="0"/>
              <w:rPr>
                <w:sz w:val="20"/>
                <w:szCs w:val="20"/>
                <w:color w:val="auto"/>
              </w:rPr>
            </w:pPr>
          </w:p>
        </w:tc>
        <w:tc>
          <w:tcPr>
            <w:tcW w:w="160" w:type="dxa"/>
            <w:vAlign w:val="bottom"/>
            <w:tcBorders>
              <w:bottom w:val="single" w:sz="8" w:color="02AE90"/>
            </w:tcBorders>
          </w:tcPr>
          <w:p>
            <w:pPr>
              <w:spacing w:after="0"/>
              <w:rPr>
                <w:sz w:val="20"/>
                <w:szCs w:val="20"/>
                <w:color w:val="auto"/>
              </w:rPr>
            </w:pP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0"/>
                <w:szCs w:val="20"/>
                <w:color w:val="auto"/>
              </w:rPr>
            </w:pPr>
          </w:p>
        </w:tc>
      </w:tr>
      <w:tr>
        <w:trPr>
          <w:trHeight w:val="529"/>
        </w:trPr>
        <w:tc>
          <w:tcPr>
            <w:tcW w:w="6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2"/>
        </w:trPr>
        <w:tc>
          <w:tcPr>
            <w:tcW w:w="6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240665</wp:posOffset>
            </wp:positionV>
            <wp:extent cx="1788160" cy="177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8160" cy="1771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Robert S. Wiesenthal (Chair) </w:t>
      </w:r>
      <w:r>
        <w:rPr>
          <w:rFonts w:ascii="Times New Roman" w:cs="Times New Roman" w:eastAsia="Times New Roman" w:hAnsi="Times New Roman"/>
          <w:sz w:val="18"/>
          <w:szCs w:val="18"/>
          <w:color w:val="auto"/>
        </w:rPr>
        <w:t>Trynka Shineman Blake Jeremy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2468245</wp:posOffset>
            </wp:positionV>
            <wp:extent cx="1796415" cy="177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6415" cy="177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85"/>
        <w:spacing w:after="0"/>
        <w:tabs>
          <w:tab w:leader="none" w:pos="6405" w:val="left"/>
        </w:tabs>
        <w:rPr>
          <w:sz w:val="20"/>
          <w:szCs w:val="20"/>
          <w:color w:val="auto"/>
        </w:rPr>
      </w:pPr>
      <w:r>
        <w:rPr>
          <w:rFonts w:ascii="Times New Roman" w:cs="Times New Roman" w:eastAsia="Times New Roman" w:hAnsi="Times New Roman"/>
          <w:sz w:val="18"/>
          <w:szCs w:val="18"/>
          <w:b w:val="1"/>
          <w:bCs w:val="1"/>
          <w:color w:val="FFFFFF"/>
        </w:rPr>
        <w:t>Audit Committee</w:t>
      </w:r>
      <w:r>
        <w:rPr>
          <w:sz w:val="20"/>
          <w:szCs w:val="20"/>
          <w:color w:val="auto"/>
        </w:rPr>
        <w:tab/>
      </w:r>
      <w:r>
        <w:rPr>
          <w:rFonts w:ascii="Times New Roman" w:cs="Times New Roman" w:eastAsia="Times New Roman" w:hAnsi="Times New Roman"/>
          <w:sz w:val="17"/>
          <w:szCs w:val="17"/>
          <w:b w:val="1"/>
          <w:bCs w:val="1"/>
          <w:color w:val="FFFFFF"/>
        </w:rPr>
        <w:t>Meetings in 2022: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5346700" cy="177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6700" cy="177165"/>
                    </a:xfrm>
                    <a:prstGeom prst="rect">
                      <a:avLst/>
                    </a:prstGeom>
                    <a:noFill/>
                  </pic:spPr>
                </pic:pic>
              </a:graphicData>
            </a:graphic>
          </wp:anchor>
        </w:drawing>
      </w:r>
    </w:p>
    <w:p>
      <w:pPr>
        <w:spacing w:after="0" w:line="14"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8"/>
          <w:szCs w:val="18"/>
          <w:color w:val="auto"/>
        </w:rPr>
        <w:t>The Audit Committee of the Board currently consists of three directors: Ms. Shineman and Messrs. Philips and Wiesenthal. Mr. Wiesenthal is the Chairman of the Audit Committee. Each Audit Committee member satisfies the independence requirements under the current standards imposed by the rules of the SEC and Nasdaq. The Board has determined that each of Ms. Shineman and Messrs. Philips and Wiesenthal is an “audit committee financial expert,” as such term is defined in the regulations promulgated under the Securities Exchange Act of 1934, as amended (the “Exchange Act”).</w:t>
      </w:r>
    </w:p>
    <w:p>
      <w:pPr>
        <w:spacing w:after="0" w:line="90" w:lineRule="exact"/>
        <w:rPr>
          <w:sz w:val="20"/>
          <w:szCs w:val="20"/>
          <w:color w:val="auto"/>
        </w:rPr>
      </w:pPr>
    </w:p>
    <w:p>
      <w:pPr>
        <w:jc w:val="both"/>
        <w:ind w:left="5"/>
        <w:spacing w:after="0" w:line="260" w:lineRule="auto"/>
        <w:rPr>
          <w:sz w:val="20"/>
          <w:szCs w:val="20"/>
          <w:color w:val="auto"/>
        </w:rPr>
      </w:pPr>
      <w:r>
        <w:rPr>
          <w:rFonts w:ascii="Times New Roman" w:cs="Times New Roman" w:eastAsia="Times New Roman" w:hAnsi="Times New Roman"/>
          <w:sz w:val="18"/>
          <w:szCs w:val="18"/>
          <w:color w:val="auto"/>
        </w:rPr>
        <w:t>The Audit Committee is appointed by the Board to assist the Board with a variety of matters discussed in detail in the Audit Committee charter, including reviewing and discussing with management standards and/or metrics as recommended by regulators and The Nasdaq Stock Market, and monitoring:</w:t>
      </w:r>
    </w:p>
    <w:p>
      <w:pPr>
        <w:spacing w:after="0" w:line="84" w:lineRule="exact"/>
        <w:rPr>
          <w:sz w:val="20"/>
          <w:szCs w:val="20"/>
          <w:color w:val="auto"/>
        </w:rPr>
      </w:pPr>
    </w:p>
    <w:p>
      <w:pPr>
        <w:ind w:left="185" w:hanging="185"/>
        <w:spacing w:after="0"/>
        <w:tabs>
          <w:tab w:leader="none" w:pos="185" w:val="left"/>
        </w:tabs>
        <w:numPr>
          <w:ilvl w:val="0"/>
          <w:numId w:val="1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integrity of our accounting, financial reporting and public disclosures process;</w:t>
      </w:r>
    </w:p>
    <w:p>
      <w:pPr>
        <w:spacing w:after="0" w:line="58" w:lineRule="exact"/>
        <w:rPr>
          <w:rFonts w:ascii="Times New Roman" w:cs="Times New Roman" w:eastAsia="Times New Roman" w:hAnsi="Times New Roman"/>
          <w:sz w:val="18"/>
          <w:szCs w:val="18"/>
          <w:color w:val="02AE90"/>
        </w:rPr>
      </w:pPr>
    </w:p>
    <w:p>
      <w:pPr>
        <w:ind w:left="185" w:hanging="185"/>
        <w:spacing w:after="0" w:line="275" w:lineRule="auto"/>
        <w:tabs>
          <w:tab w:leader="none" w:pos="185" w:val="left"/>
        </w:tabs>
        <w:numPr>
          <w:ilvl w:val="0"/>
          <w:numId w:val="1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our relationship with our independent registered public accounting firm, including qualifications, performance and independence;</w:t>
      </w:r>
    </w:p>
    <w:p>
      <w:pPr>
        <w:spacing w:after="0" w:line="3" w:lineRule="exact"/>
        <w:rPr>
          <w:rFonts w:ascii="Times New Roman" w:cs="Times New Roman" w:eastAsia="Times New Roman" w:hAnsi="Times New Roman"/>
          <w:sz w:val="18"/>
          <w:szCs w:val="18"/>
          <w:color w:val="02AE90"/>
        </w:rPr>
      </w:pPr>
    </w:p>
    <w:p>
      <w:pPr>
        <w:ind w:left="185" w:hanging="185"/>
        <w:spacing w:after="0"/>
        <w:tabs>
          <w:tab w:leader="none" w:pos="185" w:val="left"/>
        </w:tabs>
        <w:numPr>
          <w:ilvl w:val="0"/>
          <w:numId w:val="1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performance of our internal audit department;</w:t>
      </w:r>
    </w:p>
    <w:p>
      <w:pPr>
        <w:spacing w:after="0" w:line="58" w:lineRule="exact"/>
        <w:rPr>
          <w:rFonts w:ascii="Times New Roman" w:cs="Times New Roman" w:eastAsia="Times New Roman" w:hAnsi="Times New Roman"/>
          <w:sz w:val="18"/>
          <w:szCs w:val="18"/>
          <w:color w:val="02AE90"/>
        </w:rPr>
      </w:pPr>
    </w:p>
    <w:p>
      <w:pPr>
        <w:ind w:left="185" w:hanging="185"/>
        <w:spacing w:after="0"/>
        <w:tabs>
          <w:tab w:leader="none" w:pos="185" w:val="left"/>
        </w:tabs>
        <w:numPr>
          <w:ilvl w:val="0"/>
          <w:numId w:val="13"/>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our compliance with legal and regulatory requirements and the Company’s compliance policies and programs; and</w:t>
      </w:r>
    </w:p>
    <w:p>
      <w:pPr>
        <w:spacing w:after="0" w:line="70" w:lineRule="exact"/>
        <w:rPr>
          <w:rFonts w:ascii="Times New Roman" w:cs="Times New Roman" w:eastAsia="Times New Roman" w:hAnsi="Times New Roman"/>
          <w:sz w:val="17"/>
          <w:szCs w:val="17"/>
          <w:color w:val="02AE90"/>
        </w:rPr>
      </w:pPr>
    </w:p>
    <w:p>
      <w:pPr>
        <w:ind w:left="185" w:hanging="185"/>
        <w:spacing w:after="0" w:line="275" w:lineRule="auto"/>
        <w:tabs>
          <w:tab w:leader="none" w:pos="185" w:val="left"/>
        </w:tabs>
        <w:numPr>
          <w:ilvl w:val="0"/>
          <w:numId w:val="1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extent to which various issues (including but not limited to ESG, cyber security risk, etc.) will impact the Company’s financial performance and the Company’s ability to create long-term value.</w:t>
      </w:r>
    </w:p>
    <w:p>
      <w:pPr>
        <w:spacing w:after="0" w:line="70" w:lineRule="exact"/>
        <w:rPr>
          <w:sz w:val="20"/>
          <w:szCs w:val="20"/>
          <w:color w:val="auto"/>
        </w:rPr>
      </w:pPr>
    </w:p>
    <w:p>
      <w:pPr>
        <w:jc w:val="both"/>
        <w:ind w:left="5"/>
        <w:spacing w:after="0" w:line="260" w:lineRule="auto"/>
        <w:rPr>
          <w:sz w:val="20"/>
          <w:szCs w:val="20"/>
          <w:color w:val="auto"/>
        </w:rPr>
      </w:pPr>
      <w:r>
        <w:rPr>
          <w:rFonts w:ascii="Times New Roman" w:cs="Times New Roman" w:eastAsia="Times New Roman" w:hAnsi="Times New Roman"/>
          <w:sz w:val="18"/>
          <w:szCs w:val="18"/>
          <w:color w:val="auto"/>
        </w:rPr>
        <w:t>The formal report of the Audit Committee with respect to the year ended December 31, 2022, is set forth in the section below titled “Audit Committee Report.” The Audit Committee met seven times in 2022. A copy of the Audit Committee Charter is available on our website at https://ir.tripadvisor.com/corporate-governance.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533844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844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615"/>
            <w:col w:w="8385"/>
          </w:cols>
          <w:pgMar w:left="340" w:top="411" w:right="359" w:bottom="1440" w:gutter="0" w:footer="0" w:header="0"/>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Betsy L. Morgan (Chair)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C. Hoag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 Maffei</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224"/>
        <w:spacing w:after="0"/>
        <w:tabs>
          <w:tab w:leader="none" w:pos="6644" w:val="left"/>
        </w:tabs>
        <w:rPr>
          <w:sz w:val="20"/>
          <w:szCs w:val="20"/>
          <w:color w:val="auto"/>
        </w:rPr>
      </w:pPr>
      <w:r>
        <w:rPr>
          <w:rFonts w:ascii="Times New Roman" w:cs="Times New Roman" w:eastAsia="Times New Roman" w:hAnsi="Times New Roman"/>
          <w:sz w:val="18"/>
          <w:szCs w:val="18"/>
          <w:b w:val="1"/>
          <w:bCs w:val="1"/>
          <w:color w:val="FFFFFF"/>
        </w:rPr>
        <w:t>Compensation Committee</w:t>
      </w:r>
      <w:r>
        <w:rPr>
          <w:sz w:val="20"/>
          <w:szCs w:val="20"/>
          <w:color w:val="auto"/>
        </w:rPr>
        <w:tab/>
      </w:r>
      <w:r>
        <w:rPr>
          <w:rFonts w:ascii="Times New Roman" w:cs="Times New Roman" w:eastAsia="Times New Roman" w:hAnsi="Times New Roman"/>
          <w:sz w:val="17"/>
          <w:szCs w:val="17"/>
          <w:b w:val="1"/>
          <w:bCs w:val="1"/>
          <w:color w:val="FFFFFF"/>
        </w:rPr>
        <w:t>Meetings in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-126365</wp:posOffset>
            </wp:positionV>
            <wp:extent cx="5338445" cy="151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38445" cy="151765"/>
                    </a:xfrm>
                    <a:prstGeom prst="rect">
                      <a:avLst/>
                    </a:prstGeom>
                    <a:noFill/>
                  </pic:spPr>
                </pic:pic>
              </a:graphicData>
            </a:graphic>
          </wp:anchor>
        </w:drawing>
      </w:r>
    </w:p>
    <w:p>
      <w:pPr>
        <w:spacing w:after="0" w:line="14"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8"/>
          <w:szCs w:val="18"/>
          <w:color w:val="auto"/>
        </w:rPr>
        <w:t>The Compensation Committee currently consists of three directors: Messrs. Hoag and Maffei and Ms. Morgan, with Ms. Morgan serving as the Chairperson of the Compensation Committee. Each member of the Compensation Committee is an “outside director” for purposes of Section 162(m) of the Internal Revenue Code of 1986, as amended (the “Code”). Because we are a "controlled company" within the meaning of the Nasdaq Rules, our Compensation Committee is not required to be composed entirely of independent directors. With the exception of Mr. Maffei, each member is an “independent director” as defined by the Nasdaq Rules. No member of the Compensation Committee is an employee of Tripadvisor.</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Compensation Committee is responsible for:</w:t>
      </w:r>
    </w:p>
    <w:p>
      <w:pPr>
        <w:spacing w:after="0" w:line="125" w:lineRule="exact"/>
        <w:rPr>
          <w:sz w:val="20"/>
          <w:szCs w:val="20"/>
          <w:color w:val="auto"/>
        </w:rPr>
      </w:pPr>
    </w:p>
    <w:p>
      <w:pPr>
        <w:ind w:left="204" w:hanging="204"/>
        <w:spacing w:after="0" w:line="275" w:lineRule="auto"/>
        <w:tabs>
          <w:tab w:leader="none" w:pos="204" w:val="left"/>
        </w:tabs>
        <w:numPr>
          <w:ilvl w:val="0"/>
          <w:numId w:val="1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designing and overseeing compensation with respect to our executive officers, including salary matters, bonus plans and stock compensation plans;</w:t>
      </w:r>
    </w:p>
    <w:p>
      <w:pPr>
        <w:spacing w:after="0" w:line="3" w:lineRule="exact"/>
        <w:rPr>
          <w:rFonts w:ascii="Times New Roman" w:cs="Times New Roman" w:eastAsia="Times New Roman" w:hAnsi="Times New Roman"/>
          <w:sz w:val="18"/>
          <w:szCs w:val="18"/>
          <w:color w:val="02AE90"/>
        </w:rPr>
      </w:pPr>
    </w:p>
    <w:p>
      <w:pPr>
        <w:ind w:left="204" w:hanging="204"/>
        <w:spacing w:after="0" w:line="275" w:lineRule="auto"/>
        <w:tabs>
          <w:tab w:leader="none" w:pos="204" w:val="left"/>
        </w:tabs>
        <w:numPr>
          <w:ilvl w:val="0"/>
          <w:numId w:val="1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administrating our stock plans, including approving grants of equity awards but excluding matters governed by Rule 16b-3 under the Exchange Act (which are handled by the Section 16 Committee described below);</w:t>
      </w:r>
    </w:p>
    <w:p>
      <w:pPr>
        <w:spacing w:after="0" w:line="3" w:lineRule="exact"/>
        <w:rPr>
          <w:rFonts w:ascii="Times New Roman" w:cs="Times New Roman" w:eastAsia="Times New Roman" w:hAnsi="Times New Roman"/>
          <w:sz w:val="18"/>
          <w:szCs w:val="18"/>
          <w:color w:val="02AE90"/>
        </w:rPr>
      </w:pPr>
    </w:p>
    <w:p>
      <w:pPr>
        <w:ind w:left="204" w:hanging="204"/>
        <w:spacing w:after="0"/>
        <w:tabs>
          <w:tab w:leader="none" w:pos="204" w:val="left"/>
        </w:tabs>
        <w:numPr>
          <w:ilvl w:val="0"/>
          <w:numId w:val="1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periodically reviewing and approving compensation of the members of our Board; and</w:t>
      </w:r>
    </w:p>
    <w:p>
      <w:pPr>
        <w:spacing w:after="0" w:line="58" w:lineRule="exact"/>
        <w:rPr>
          <w:rFonts w:ascii="Times New Roman" w:cs="Times New Roman" w:eastAsia="Times New Roman" w:hAnsi="Times New Roman"/>
          <w:sz w:val="18"/>
          <w:szCs w:val="18"/>
          <w:color w:val="02AE90"/>
        </w:rPr>
      </w:pPr>
    </w:p>
    <w:p>
      <w:pPr>
        <w:jc w:val="both"/>
        <w:ind w:left="204" w:hanging="204"/>
        <w:spacing w:after="0" w:line="260" w:lineRule="auto"/>
        <w:tabs>
          <w:tab w:leader="none" w:pos="204" w:val="left"/>
        </w:tabs>
        <w:numPr>
          <w:ilvl w:val="0"/>
          <w:numId w:val="1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overseeing the Company’s strategy and policies, programs, initiatives and actions related to human capital management within the Company’s workforce, that include talent recruitment, development and retention, promoting diversity, inclusion, Company culture and employee engagement.</w:t>
      </w:r>
    </w:p>
    <w:p>
      <w:pPr>
        <w:spacing w:after="0" w:line="84"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A description of our policies and practices for the consideration and determination of executive compensation is included in the section below titled “Compensation Discussion and Analysis.” The Compensation Committee met five times in 2022 and acted by written consent two times. A copy of the Compensation Committee and Section 16 Committee Charter is available on our website at https://ir.tripadvisor.com/corporate-governance.</w:t>
      </w:r>
    </w:p>
    <w:p>
      <w:pPr>
        <w:spacing w:after="0" w:line="116" w:lineRule="exact"/>
        <w:rPr>
          <w:sz w:val="20"/>
          <w:szCs w:val="20"/>
          <w:color w:val="auto"/>
        </w:rPr>
      </w:pPr>
    </w:p>
    <w:p>
      <w:pPr>
        <w:ind w:left="294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69850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1880" w:space="696"/>
            <w:col w:w="8624"/>
          </w:cols>
          <w:pgMar w:left="340" w:top="411" w:right="359" w:bottom="1440" w:gutter="0" w:footer="0" w:header="0"/>
          <w:type w:val="continuous"/>
        </w:sectPr>
      </w:pPr>
    </w:p>
    <w:bookmarkStart w:id="21" w:name="page22"/>
    <w:bookmarkEnd w:id="2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240665</wp:posOffset>
            </wp:positionV>
            <wp:extent cx="1863725" cy="1771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63725" cy="1771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Betsy L. Morgan (Chair)</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Jay C. Hoag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1191895</wp:posOffset>
            </wp:positionV>
            <wp:extent cx="1863725" cy="177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63725" cy="177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0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FFFFFF"/>
        </w:rPr>
        <w:t>Section 16 Committee</w:t>
      </w:r>
      <w:r>
        <w:rPr>
          <w:sz w:val="20"/>
          <w:szCs w:val="20"/>
          <w:color w:val="auto"/>
        </w:rPr>
        <w:tab/>
      </w:r>
      <w:r>
        <w:rPr>
          <w:rFonts w:ascii="Times New Roman" w:cs="Times New Roman" w:eastAsia="Times New Roman" w:hAnsi="Times New Roman"/>
          <w:sz w:val="17"/>
          <w:szCs w:val="17"/>
          <w:b w:val="1"/>
          <w:bCs w:val="1"/>
          <w:color w:val="FFFFFF"/>
        </w:rPr>
        <w:t>Meetings in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-151765</wp:posOffset>
            </wp:positionV>
            <wp:extent cx="5270500" cy="177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70500" cy="177165"/>
                    </a:xfrm>
                    <a:prstGeom prst="rect">
                      <a:avLst/>
                    </a:prstGeom>
                    <a:noFill/>
                  </pic:spPr>
                </pic:pic>
              </a:graphicData>
            </a:graphic>
          </wp:anchor>
        </w:drawing>
      </w:r>
    </w:p>
    <w:p>
      <w:pPr>
        <w:spacing w:after="0" w:line="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Section 16 Committee currently consists of two directors: Mr. Hoag and Ms. Morgan, with Ms. Morgan serving as the Chairperson of the Section 16 Committee. Each member is an “independent director” as defined by the Nasdaq Rules and satisfies the definition of “non-employee director” for purposes of Section 16 of the Exchange Act.</w:t>
      </w:r>
    </w:p>
    <w:p>
      <w:pPr>
        <w:spacing w:after="0" w:line="8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Section 16 Committee is authorized to exercise all powers of the Board with respect to matters governed by Rule 16b-3 under the Exchange Act, including approving grants of equity awards to Tripadvisor’s executive officers. The Section 16 Committee met five times in 2022 and acted by written consent four times. A copy of the Compensation Committee and Section 16 Committee Charter is available on our website at https://ir.tripadvisor.com/corporate-governance.</w:t>
      </w:r>
    </w:p>
    <w:p>
      <w:pPr>
        <w:spacing w:after="0" w:line="9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this Proxy Statement, we refer to the Compensation Committee and Section 16 Committee collectively as the “Compensation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149225</wp:posOffset>
            </wp:positionV>
            <wp:extent cx="52705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7050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520"/>
          </w:cols>
          <w:pgMar w:left="320" w:top="411"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 Goldberg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Gregory B. Maffei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260"/>
        <w:spacing w:after="0"/>
        <w:tabs>
          <w:tab w:leader="none" w:pos="6460" w:val="left"/>
        </w:tabs>
        <w:rPr>
          <w:sz w:val="20"/>
          <w:szCs w:val="20"/>
          <w:color w:val="auto"/>
        </w:rPr>
      </w:pPr>
      <w:r>
        <w:rPr>
          <w:rFonts w:ascii="Times New Roman" w:cs="Times New Roman" w:eastAsia="Times New Roman" w:hAnsi="Times New Roman"/>
          <w:sz w:val="18"/>
          <w:szCs w:val="18"/>
          <w:b w:val="1"/>
          <w:bCs w:val="1"/>
          <w:color w:val="FFFFFF"/>
        </w:rPr>
        <w:t>Executive Committee</w:t>
      </w:r>
      <w:r>
        <w:rPr>
          <w:sz w:val="20"/>
          <w:szCs w:val="20"/>
          <w:color w:val="auto"/>
        </w:rPr>
        <w:tab/>
      </w:r>
      <w:r>
        <w:rPr>
          <w:rFonts w:ascii="Times New Roman" w:cs="Times New Roman" w:eastAsia="Times New Roman" w:hAnsi="Times New Roman"/>
          <w:sz w:val="17"/>
          <w:szCs w:val="17"/>
          <w:b w:val="1"/>
          <w:bCs w:val="1"/>
          <w:color w:val="FFFFFF"/>
        </w:rPr>
        <w:t>Meetings in 2022: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-126365</wp:posOffset>
            </wp:positionV>
            <wp:extent cx="5270500" cy="151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70500" cy="151765"/>
                    </a:xfrm>
                    <a:prstGeom prst="rect">
                      <a:avLst/>
                    </a:prstGeom>
                    <a:noFill/>
                  </pic:spPr>
                </pic:pic>
              </a:graphicData>
            </a:graphic>
          </wp:anchor>
        </w:drawing>
      </w:r>
    </w:p>
    <w:p>
      <w:pPr>
        <w:spacing w:after="0" w:line="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Executive Committee currently consists of two directors: Messrs. Goldberg and Maffei. The Executive Committee has the powers and authority of the Board, except for those matters that are specifically reserved to the Board under Delaware law or our organizational documents. The Executive Committee primarily serves as a means to address issues that may arise and require Board approval between regularly scheduled Board meetings. The following are some examples of matters that could be handled by the Executive Committee:</w:t>
      </w:r>
    </w:p>
    <w:p>
      <w:pPr>
        <w:spacing w:after="0" w:line="91" w:lineRule="exact"/>
        <w:rPr>
          <w:sz w:val="20"/>
          <w:szCs w:val="20"/>
          <w:color w:val="auto"/>
        </w:rPr>
      </w:pPr>
    </w:p>
    <w:p>
      <w:pPr>
        <w:ind w:left="200" w:hanging="191"/>
        <w:spacing w:after="0"/>
        <w:tabs>
          <w:tab w:leader="none" w:pos="200" w:val="left"/>
        </w:tabs>
        <w:numPr>
          <w:ilvl w:val="0"/>
          <w:numId w:val="1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oversight and implementation of matters approved by the Board (including any share repurchase program);</w:t>
      </w:r>
    </w:p>
    <w:p>
      <w:pPr>
        <w:spacing w:after="0" w:line="58" w:lineRule="exact"/>
        <w:rPr>
          <w:rFonts w:ascii="Times New Roman" w:cs="Times New Roman" w:eastAsia="Times New Roman" w:hAnsi="Times New Roman"/>
          <w:sz w:val="18"/>
          <w:szCs w:val="18"/>
          <w:color w:val="02AE90"/>
        </w:rPr>
      </w:pPr>
    </w:p>
    <w:p>
      <w:pPr>
        <w:jc w:val="both"/>
        <w:ind w:left="200" w:right="20" w:hanging="191"/>
        <w:spacing w:after="0" w:line="260" w:lineRule="auto"/>
        <w:tabs>
          <w:tab w:leader="none" w:pos="200" w:val="left"/>
        </w:tabs>
        <w:numPr>
          <w:ilvl w:val="0"/>
          <w:numId w:val="1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administrative matters with respect to benefit plans, transfer agent matters, banking authority, formation of subsidiaries and other administrative items involving subsidiaries and determinations or findings under Tripadvisor’s financing arrangements;</w:t>
      </w:r>
    </w:p>
    <w:p>
      <w:pPr>
        <w:spacing w:after="0" w:line="17" w:lineRule="exact"/>
        <w:rPr>
          <w:rFonts w:ascii="Times New Roman" w:cs="Times New Roman" w:eastAsia="Times New Roman" w:hAnsi="Times New Roman"/>
          <w:sz w:val="18"/>
          <w:szCs w:val="18"/>
          <w:color w:val="02AE90"/>
        </w:rPr>
      </w:pPr>
    </w:p>
    <w:p>
      <w:pPr>
        <w:jc w:val="both"/>
        <w:ind w:left="200" w:right="20" w:hanging="191"/>
        <w:spacing w:after="0" w:line="260" w:lineRule="auto"/>
        <w:tabs>
          <w:tab w:leader="none" w:pos="200" w:val="left"/>
        </w:tabs>
        <w:numPr>
          <w:ilvl w:val="0"/>
          <w:numId w:val="1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the case of a natural disaster or other emergency as a result of which a quorum of the Board cannot readily be convened for action, directing the management of the business and affairs of Tripadvisor during such emergency or natural disaster;</w:t>
      </w:r>
    </w:p>
    <w:p>
      <w:pPr>
        <w:spacing w:after="0" w:line="17" w:lineRule="exact"/>
        <w:rPr>
          <w:rFonts w:ascii="Times New Roman" w:cs="Times New Roman" w:eastAsia="Times New Roman" w:hAnsi="Times New Roman"/>
          <w:sz w:val="18"/>
          <w:szCs w:val="18"/>
          <w:color w:val="02AE90"/>
        </w:rPr>
      </w:pPr>
    </w:p>
    <w:p>
      <w:pPr>
        <w:ind w:left="200" w:right="20" w:hanging="191"/>
        <w:spacing w:after="0" w:line="275" w:lineRule="auto"/>
        <w:tabs>
          <w:tab w:leader="none" w:pos="200" w:val="left"/>
        </w:tabs>
        <w:numPr>
          <w:ilvl w:val="0"/>
          <w:numId w:val="1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connection with the maintenance of a robust governance structure, Board evaluations to identify any areas of risk and/or improvement; and</w:t>
      </w:r>
    </w:p>
    <w:p>
      <w:pPr>
        <w:spacing w:after="0" w:line="3" w:lineRule="exact"/>
        <w:rPr>
          <w:rFonts w:ascii="Times New Roman" w:cs="Times New Roman" w:eastAsia="Times New Roman" w:hAnsi="Times New Roman"/>
          <w:sz w:val="18"/>
          <w:szCs w:val="18"/>
          <w:color w:val="02AE90"/>
        </w:rPr>
      </w:pPr>
    </w:p>
    <w:p>
      <w:pPr>
        <w:ind w:left="200" w:hanging="191"/>
        <w:spacing w:after="0"/>
        <w:tabs>
          <w:tab w:leader="none" w:pos="200" w:val="left"/>
        </w:tabs>
        <w:numPr>
          <w:ilvl w:val="0"/>
          <w:numId w:val="1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general oversight over the Company’s environmental, social and governance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Committee met informally throughout 2022.</w:t>
      </w:r>
    </w:p>
    <w:p>
      <w:pPr>
        <w:spacing w:after="0" w:line="669" w:lineRule="exact"/>
        <w:rPr>
          <w:sz w:val="20"/>
          <w:szCs w:val="20"/>
          <w:color w:val="auto"/>
        </w:rPr>
      </w:pPr>
    </w:p>
    <w:p>
      <w:pPr>
        <w:sectPr>
          <w:pgSz w:w="11900" w:h="16838" w:orient="portrait"/>
          <w:cols w:equalWidth="0" w:num="2">
            <w:col w:w="2000" w:space="720"/>
            <w:col w:w="8520"/>
          </w:cols>
          <w:pgMar w:left="320" w:top="411" w:right="339" w:bottom="1440" w:gutter="0" w:footer="0" w:header="0"/>
          <w:type w:val="continuous"/>
        </w:sect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Assessing and managing the day-to-day risk of our business is the responsibility of Tripadvisor’s management. Our Board as a whole is responsible for oversight of our risk management efforts. Our Board is involved in risk oversight through direct decision-making authority with respect to significant matters and the oversight of management by the Board and its committees. The President and Chief Executive Officer; the Chief Financial Officer; the Chief Legal Officer and the Chief Compliance Officer attend Board meetings and discuss operational risks with the Board, including risks associated with the geographies in which we operate or are considering operating. Management also provides reports and presentations on strategic risks to the Board. Among other areas, the Board is involved, directly or through its committees, in overseeing risks related to our overall corporate strategy, business continuity, data privacy and cybersecurity and other technology risks, crisis preparedness, and competitive and reputational risks.</w:t>
      </w:r>
    </w:p>
    <w:p>
      <w:pPr>
        <w:spacing w:after="0" w:line="185"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8"/>
          <w:szCs w:val="18"/>
          <w:color w:val="auto"/>
        </w:rPr>
        <w:t>The Board has delegated primary responsibility for oversight over certain risks to the Audit Committee and the Compensation Committees. The committees of the Board execute their oversight responsibility for risk management as follows:</w:t>
      </w:r>
    </w:p>
    <w:p>
      <w:pPr>
        <w:spacing w:after="0" w:line="57" w:lineRule="exact"/>
        <w:rPr>
          <w:sz w:val="20"/>
          <w:szCs w:val="20"/>
          <w:color w:val="auto"/>
        </w:rPr>
      </w:pPr>
    </w:p>
    <w:p>
      <w:pPr>
        <w:jc w:val="both"/>
        <w:ind w:left="1140" w:hanging="370"/>
        <w:spacing w:after="0" w:line="268" w:lineRule="auto"/>
        <w:tabs>
          <w:tab w:leader="none" w:pos="1140" w:val="left"/>
        </w:tabs>
        <w:numPr>
          <w:ilvl w:val="0"/>
          <w:numId w:val="16"/>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The Audit Committee has primary responsibility for discussing with management Tripadvisor’s major financial risks and the steps management has taken to mitigate, monitor and manage such risks. The Audit Committee also has primary responsibility for oversight over the Company’s significant business risks, including operational, data privacy, and cybersecurity risks. In fulfilling its responsibilities, the Audit Committee receives regular reports from, among others, the Chief Financial Officer, the Chief Legal Officer, the Chief Accounting Officer and the Chief Compliance Officer as well as from representatives of tax, treasury, information security, internal audit, the Company’s Compliance Committee and the Company’s independent auditors. The Audit Committee makes regular reports to the Board. In addition, the Company has, under the supervision of the Audit Committee, established procedures available to all employees for the anonymous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22" w:name="page23"/>
    <w:bookmarkEnd w:id="22"/>
    <w:p>
      <w:pPr>
        <w:ind w:left="1140"/>
        <w:spacing w:after="0" w:line="275" w:lineRule="auto"/>
        <w:rPr>
          <w:sz w:val="20"/>
          <w:szCs w:val="20"/>
          <w:color w:val="auto"/>
        </w:rPr>
      </w:pPr>
      <w:r>
        <w:rPr>
          <w:rFonts w:ascii="Times New Roman" w:cs="Times New Roman" w:eastAsia="Times New Roman" w:hAnsi="Times New Roman"/>
          <w:sz w:val="18"/>
          <w:szCs w:val="18"/>
          <w:color w:val="auto"/>
        </w:rPr>
        <w:t>and confidential submission of complaints relating to any matter to encourage employees to report questionable activities directly to our senior management and the Audit Committee.</w:t>
      </w:r>
    </w:p>
    <w:p>
      <w:pPr>
        <w:spacing w:after="0" w:line="57" w:lineRule="exact"/>
        <w:rPr>
          <w:sz w:val="20"/>
          <w:szCs w:val="20"/>
          <w:color w:val="auto"/>
        </w:rPr>
      </w:pPr>
    </w:p>
    <w:p>
      <w:pPr>
        <w:jc w:val="both"/>
        <w:ind w:left="1140" w:hanging="370"/>
        <w:spacing w:after="0" w:line="272" w:lineRule="auto"/>
        <w:tabs>
          <w:tab w:leader="none" w:pos="1140" w:val="left"/>
        </w:tabs>
        <w:numPr>
          <w:ilvl w:val="0"/>
          <w:numId w:val="17"/>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The Compensation Committees consider and evaluate risks related to our cash and equity-based compensation programs, policies and practices and evaluate whether our compensation programs encourage participants to take excessive risks that are reasonably likely to have a material adverse effect on Tripadvisor or our business. Consistent with SEC disclosure requirements, the Compensation Committees, working with management, have assessed the compensation policies and practices for our employees, including our executive officers, and have concluded that such policies and practices do not create risks that are reasonably likely to have a material adverse effect on Tripadvisor.</w:t>
      </w:r>
    </w:p>
    <w:p>
      <w:pPr>
        <w:spacing w:after="0" w:line="1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Ultimately, management is responsible for the day-to-day risk management process, including identification of key risks and implementation of policies and procedures to manage, mitigate and monitor risks. In fulfilling these duties, management conducts annually an enterprise and internal audit risk assessment and uses the results of these assessments in its risk management efforts. In addition, management has designated a Chief Compliance Officer and formed a Compliance Committee in connection with the implementation, management and oversight of a corporate compliance program to promote operational excellence throughout the entire organization in adherence with all legal and regulatory requirements and with the highest ethical standards.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1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Given the ownership structure of Tripadvisor and our status as a “controlled company,” the Board does not have a nominating committee or other committee performing similar functions or any formal policy on director nominations. The Board does not have specific requirements for eligibility to serve as a director of Tripadvisor; however, the Board does consider, among other things, diversity when considering nominees to serve on our Board. We broadly construe diversity to mean diversity of opinions, perspectives, and personal and professional experiences and backgrounds, such as gender, race and ethnicity, as well as other differentiating characteristics. In evaluating candidates, regardless of how recommended, the Board considers a number of factors, including whether the professional and personal ethics and values of the candidate are consistent with those of Tripadvisor; whether the candidate’s experience and expertise would be beneficial to the Board in rendering service to Tripadvisor, including in providing a mix of Board members that represent diversity of backgrounds, perspectives and opinions; whether the candidate is willing and able to devote the necessary time and energy to the work of the Board; and whether the candidate is prepared and qualified to represent the best interests of Tripadvisor’s stockholders.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a Governance Agreement, LTRIP has the right to nominate a number of directors equal to 20% of the total number of the directors on the Board (rounded up to the next whole number if the number of directors on the Board is not an even multiple of five) for election to the Board so long as certain stock ownership requirements are satisfied. LTRIP has nominated Messrs. Maffei and O’Hara as nominees for 2023. The other nominees to the Board were recommended by the Chairman and then were considered and recommended by the entire Board.</w:t>
      </w:r>
    </w:p>
    <w:p>
      <w:pPr>
        <w:spacing w:after="0" w:line="1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Board does not have a formal policy regarding the consideration of director candidates recommended by stockholders, as historically Tripadvisor has not received such recommendations. However, the Board would consider such recommendations if made in the future. Stockholders who wish to make such a recommendation should send the recommendation to Tripadvisor, Inc., 400 1st Avenue, Needham, Massachusetts 02494, Attention: Secretary. The envelope must contain a clear notation that the enclosed letter is a “Director Nominee Recommendation.” The letter must identify the author as a stockholder, provide a brief summary of the candidate’s qualifications and history and be accompanied by evidence of the sender’s stock ownership, as well as consent by the candidate to serve as a director if elected. Any director candidate recommendations will be reviewed by the Secretary and, if deemed appropriate, forwarded to the Chairman for further review. If the Chairman believes that the candidate fits the profile of a director nominee as described above, the recommendation will be shared with the entire Board.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1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there’s good out there and when we travel we are reminded that the world is a friendly place, that people are generous, and that we share more in common with our fellow travelers than not. We strive to use our platform to not only help people around the world plan, book and experience their perfect trip but also to be an ally for social good, including on environmental, social and governance issues. At Tripadvisor, we consider environmental, social, and governance, or ESG, in how we support our team, how we give back to the community, and how we can reduce our environmental impacts. Below are the three areas in which we engage in the most critical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220980</wp:posOffset>
            </wp:positionV>
            <wp:extent cx="5431155" cy="3710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31155" cy="371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People Practices</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a critical driver of our company’s success is our people. The Company’s management oversees various initiatives for talent acquisition, retention, and development and provides regular reports to the Board. We are committed to identifying and developing talent to help our employees accelerate their growth and achieve their career goals. Our overall talent acquisition and retention strategy is designed to attract and retain diverse and qualified employees who will help us achieve our performance goals and ensure the success of the Company.</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recruit the best people for the job without regard to gender, ethnicity or other protected characteristics. As part of our diversity recruiting strategy, a recruiting scorecard was instituted to keep us accountable for our recruiting goals. 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our employees with the knowledge and skills they need to succeed.</w:t>
      </w:r>
    </w:p>
    <w:p>
      <w:pPr>
        <w:spacing w:after="0" w:line="18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equity, diversity, and inclusion (ED+I) approach supports our philosophy of championing the diverse identities, abilities, experiences, and voices of our employees, travelers, candidates, business partners, and industry peers. Our goals include hiring, retaining, and advancing a workforce of diverse cultures, backgrounds, abilities, and perspectives. We have several initiatives and programs in place that help effectuate our goals.</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We advance inclusion in our workplace by offering a variety of learning experiences focused on increasing awareness, reducing bias, upskilling managers, and fostering a work culture of belonging. These learning experiences are available to all levels of the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organization, from senior leadership to individual contributors. We work with many reputable partners to deliver on our learning experiences.</w:t>
      </w:r>
    </w:p>
    <w:p>
      <w:pPr>
        <w:spacing w:after="0" w:line="2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support our workforce, we have a variety of global, employee-led, and driven Employee Resource Groups, or ERGs. These groups provide a space for employees to come together around shared identities and experiences. ERGs play an important role in supporting our ED+I strategy by shaping our organizational culture, offering learning and development experiences, promoting community, and encouraging allyship. Beyond their internal impact, ERGs also bring unique perspectives and insights that inform our markets, products, content, and employee experience.</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an accountability standpoint, we ask all managers to consider ED+I in the year-end performance review process and have considered ED+I as we have developed the Company's strategies. We also know the importance of having a firm understanding of the makeup of our workforce. Over the past two years, we have successfully launched two employee self-identification campaigns gathering self-reported intersectional data to inform our ED+I strategy. This year we launched our inaugural ED+I survey to employees to gather data that provided us with important insights into employee sentiment around leadership accountability, belonging, and equitable employee practices.</w:t>
      </w:r>
    </w:p>
    <w:p>
      <w:pPr>
        <w:spacing w:after="0" w:line="18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To better align with industry peers and build our ED+I network, we participate in many benchmarks, partnerships, and sponsorships, including Tripadvisor participation in the Human Rights Campaign’s Corporate Equality Index for LGBTQ+ inclusion (scoring 100% over the past five years), partnership with Disability:In, and sponsorship of the ADCOLOR and Afrotech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292735</wp:posOffset>
            </wp:positionV>
            <wp:extent cx="2951480" cy="809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51480" cy="809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Responsibility</w:t>
      </w:r>
    </w:p>
    <w:p>
      <w:pPr>
        <w:spacing w:after="0" w:line="11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Our global corporate responsibility program is currently focused on supporting responsible business practices in our operations as well as strengthening our community impact through philanthropy and civic engagement. We believe in mobilizing our people, expertise, resources and community to tackle some of society’s most pressing humanitarian challenges. We recognize that by putting our purpose into action, we can have a positive impact on the communities we serve and help promote a world of understanding, empathy and care. For our users, we deliver innovative products and services to give them the confidence and freedom to create memorable experiences that will improve their own lives and the lives of those around them. For our employees, we emphasize a working environment where sustainability matters, and a company culture that embraces diverse talents and unique perspectives, where colleagues feel valued as both individuals and members of the team. For stockholders, we are focused on increasing the fundamental value of the Company and driving long-term stockholder value. For communities where we live and work, we are dedicated to improving individual well-being and strengthening families and communities.</w:t>
      </w:r>
    </w:p>
    <w:p>
      <w:pPr>
        <w:spacing w:after="0" w:line="8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In 2009, the Company established as a separate corporate entity and private foundation, The Tripadvisor Foundation (the "Foundation"), to demonstrate its commitment to the communities in which we operate. The Foundation has evolved since its creation and its focus is currently on harnessing connection and information to inspire civic engagement as well as supporting resilience in areas affected by crisis and displacement. Through its signature commitment to addressing the global displacement crisis, the Foundation has donated over $14 million to organizations supporting individuals and families fleeing crisis, primarily through its core NGO partners, International Rescue Committee, Mercy Corps and World Central Kitchen. This is inclusive of $4 million in 2021 to support thousands of Afghan newcomers and help rebuild resettlement efforts in the U.S. and globally. In early 2022, we partnered with World Central Kitchen to support and raise funds for their operations in response to the war in Ukraine and their other emergency food responses around the world. As of March 20, 2023, this initiative with World Central Kitchen has raised nearly $9 million, including $1.25 million in matching donations from the Foundation. Since 2010, the Foundation has invested more than $44 million in communities around the world.</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Internally, our TripGives program aims to inspire and enable our employees to be active global citizens by supporting the causes they care about in communities around the world. Through our Give, Serve, Learn model, we unite employees around pressing local and global issues and encourage them to lead community projects where they live and work. Starting in 2021, Tripadvisor committed to dedicate funding and resources for our ERGs to launch community impact projects with nonprofits that serve and support these groups.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 w:name="page26"/>
    <w:bookmarkEnd w:id="25"/>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Company is committed to respecting human rights. As a global leader in the travel industry, we believe we have an opportunity to use our platform to effect positive change in people’s lives, including the advancement of human rights through our business activities. In this regard, in 2021, Tripadvisor adopted a Global Human Rights Policy (the "GHR Policy") setting forth our commitment to establishing and maintaining best practices in respecting fundamental human rights and the ability to contribute to positive human rights impacts. The GHR Policy, and the commitments contained therein, formalize our long-standing commitment to uphold and respect human rights for all people. This GHR Policy consolidates our existing commitments and brings increased clarity on processes and procedures to assess and mitigate human rights risks, to avoid directly infringing on human rights and to prevent or mitigate adverse human rights impacts that are or potentially may be linked to our business.</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COVID-19 global pandemic had a devastating impact on the travel and tourism sector. In response to the COVID-19 pandemic, we launched multiple initiatives to support our hospitality partners including, but not limited to, a COVID-19 webinar series providing insights and content from industry experts, our Travel Safe initiative allowing hotel properties to share their safety measures in response to the pandemic as well as on our platforms providing travelers with up to date travel information on global destinations. This response also included Foundation donations to World Central Kitchen and Restaurant Workers’ Community Foundation and matching donations to support COVID-19 relief efforts, among many other efforts.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Impact</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that climate change and adverse impacts on the natural world are among the most pressing challenges facing humanity today. Environmental sustainability and how we manage our environmental impacts have implications for the geographies and markets in which we operate, our employees, our business partners, our customers, our investors and other stakeholders. We believe that we all have a responsibility to preserve and protect our planet and communities for generations to come.</w:t>
      </w:r>
    </w:p>
    <w:p>
      <w:pPr>
        <w:spacing w:after="0" w:line="77"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Internally, over the last few years, we have invested in energy reduction and waste management strategies across the globe. From an energy emission perspective, we have performed LED upgrades in our global headquarters in the U.S. as well as in our London office. We have also reviewed and matched the central HVAC operations of our spaces to our actual occupancy schedule to minimize the amount of wasted run time on the central plants. In our global headquarters, we have installed a cold aisle containment system to reduce the energy consumption related to cooling our internal data center. Prior to the pandemic, we eliminated single use items like utensils, bowls, plates, etc., and replaced them with reusable options. We switched from a single serving style program to a bulk snacking and drinking program which reduced the number of single serving wrappers and bottles going into the waste stream. During the pandemic, we switched to compostable cups, bowls and silverware for health and safety reasons and are currently beginning to phase them out as our office operations resume. In addition, in our global headquarters we installed an anaerobic digester which continues to divert food waste from the waste stream and landfills and generates thousands of gallons of clean water that is pumped into the sewer system. We have a 460kW fuel cell that we estimate will generate approximately 60% of our electrical consumption and 25% of our electrical demand annually. We anticipate that the fuel cell will also generate enough heat to offset our base building boiler usage by approximately 80%.</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Externally, Tripadvisor is a founding member of the Travalyst coalition, a non-profit organization working to identify–and help bring about–the systemic changes needed in order for sustainable travel to be taken out of the niche and into the mainstream. We believe that tourism can, and must, play a key role in achieving a sustainable future for our world. We are committed to being a driving force that redefines what it means to travel, helping everyone explore our world in a way that protects both people and places, and secures a positive future for destinations and local communities for generations to come. After an initial 3-year pilot investment, we committed in 2022 to continue in this coalition and collaborate with other Travalyst members to unify its framework for sustainability in our sector.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1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Stockholders who wish to communicate with the Board or a particular director may send such communication to Tripadvisor, Inc., 400 1st Avenue, Needham, Massachusetts 02494, Attention: Secretary. The mailing envelope must contain a clear notation indicating that the enclosed letter is a “Stockholder-Board Communication” or “Stockholder-Director Communication.” All such letters must identify the author as a stockholder, provide evidence of the sender’s stock ownership and clearly state whether the intended recipients are all members of the Board or certain specified directors. The Secretary will then review such correspondence and forward it to the Board, or to the specified director(s), if deemed appropriate. Communications that are primarily commercial in nature, that are not relevant to stockholders or other interested constituents, or that relate to improper or irrelevant topics will generally not be forwarded to the Board or to the specified director(s).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PROPOSAL 2:</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RATIFICATION OF APPOINTMENT OF</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external accounting firm retained to audit the Company’s financial statements. The Audit Committee has retained KPMG LLP (“KPMG”) as Tripadvisor’s independent registered public accounting firm for the fiscal year ending December 31, 2023.</w:t>
      </w:r>
    </w:p>
    <w:p>
      <w:pPr>
        <w:spacing w:after="0" w:line="17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KPMG has served as Tripadvisor’s independent registered public accounting firm continuously since the audit of the Company’s financial statements for the fiscal year ended December 31, 2014. In order to assure continuing auditor independence, the Audit Committee periodically considers whether there should be a regular rotation of the independent external audit firm. The members of the Audit Committee and the Board believe that the continued retention of KPMG to serve as the Company’s independent external auditor is in the best interest of the Company and its investors. A representative of KPMG is expected to be present at the Annual Meeting, and will be given an opportunity to make a statement if he or she so chooses and will be available to respond to appropriate questions.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the stockholders fail to vote to ratify the appointment of KPMG, the Audit Committee will reconsider whether to retain KPMG and may retain that firm or another firm without resubmitting the matter to our stockholders. Even if stockholders vote on an advisory basis in favor of the appointment, the Audit Committee may, in its discretion, direct the appointment of a different independent registered public accounting firm at any time during the year if it determines that such a change would be in the best interests of Tripadvisor and our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ask our stockholders to ratify the appointment of KPMG as our independent registered public accounting firm for the fiscal year ending December 31, 2023. This proposal requires the affirmative vote of a majority of the voting power of our shares, present in person or represented by proxy, and entitled to vote thereon, voting together as a single class. With respect to the ratification of KPMG, you may vote “FOR”, “AGAINST” or “ABSTAIN”. Abstentions will be counted toward the tabulations of voting power present and entitled to vote on the ratification of the independent registered public accounting firm proposal and will have the same effect as votes against the proposal. Brokers have discretion to vote on the proposal for ratification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155575</wp:posOffset>
            </wp:positionV>
            <wp:extent cx="7037705" cy="4679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67995"/>
                    </a:xfrm>
                    <a:prstGeom prst="rect">
                      <a:avLst/>
                    </a:prstGeom>
                    <a:noFill/>
                  </pic:spPr>
                </pic:pic>
              </a:graphicData>
            </a:graphic>
          </wp:anchor>
        </w:drawing>
      </w:r>
    </w:p>
    <w:p>
      <w:pPr>
        <w:spacing w:after="0" w:line="254" w:lineRule="exact"/>
        <w:rPr>
          <w:sz w:val="20"/>
          <w:szCs w:val="20"/>
          <w:color w:val="auto"/>
        </w:rPr>
      </w:pPr>
    </w:p>
    <w:p>
      <w:pPr>
        <w:jc w:val="center"/>
        <w:ind w:right="160"/>
        <w:spacing w:after="0" w:line="261"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RATIFICATION OF THE APPOINTMENT OF KPMG LLP AS TRIPADVISOR’S INDEPENDENT REGISTERED PUBLIC ACCOUNTING FIRM FOR THE FISCAL YEAR ENDING DECEMBER 31, 2023.</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Our Independent Registered Public Accounting Firm</w:t>
      </w:r>
    </w:p>
    <w:p>
      <w:pPr>
        <w:spacing w:after="0" w:line="114"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KPMG was Tripadvisor’s independent registered public accounting firm for the fiscal years ended December 31, 2022 and 2021. The following table sets forth aggregate fees for professional services rendered by KPMG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132080</wp:posOffset>
            </wp:positionV>
            <wp:extent cx="8255" cy="1098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098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132080</wp:posOffset>
            </wp:positionV>
            <wp:extent cx="8255" cy="1098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09855"/>
                    </a:xfrm>
                    <a:prstGeom prst="rect">
                      <a:avLst/>
                    </a:prstGeom>
                    <a:noFill/>
                  </pic:spPr>
                </pic:pic>
              </a:graphicData>
            </a:graphic>
          </wp:anchor>
        </w:drawing>
      </w:r>
    </w:p>
    <w:p>
      <w:pPr>
        <w:spacing w:after="0" w:line="188" w:lineRule="exact"/>
        <w:rPr>
          <w:sz w:val="20"/>
          <w:szCs w:val="20"/>
          <w:color w:val="auto"/>
        </w:rPr>
      </w:pPr>
    </w:p>
    <w:tbl>
      <w:tblPr>
        <w:tblLayout w:type="fixed"/>
        <w:tblInd w:w="590" w:type="dxa"/>
        <w:tblCellMar>
          <w:top w:w="0" w:type="dxa"/>
          <w:left w:w="0" w:type="dxa"/>
          <w:bottom w:w="0" w:type="dxa"/>
          <w:right w:w="0" w:type="dxa"/>
        </w:tblCellMar>
      </w:tblPr>
      <w:tr>
        <w:trPr>
          <w:trHeight w:val="173"/>
        </w:trPr>
        <w:tc>
          <w:tcPr>
            <w:tcW w:w="6680" w:type="dxa"/>
            <w:vAlign w:val="bottom"/>
            <w:tcBorders>
              <w:left w:val="single" w:sz="8" w:color="02AE90"/>
              <w:right w:val="single" w:sz="8" w:color="02AE90"/>
            </w:tcBorders>
            <w:shd w:val="clear" w:color="auto" w:fill="02AE90"/>
          </w:tcPr>
          <w:p>
            <w:pPr>
              <w:spacing w:after="0"/>
              <w:rPr>
                <w:sz w:val="15"/>
                <w:szCs w:val="15"/>
                <w:color w:val="auto"/>
              </w:rPr>
            </w:pPr>
          </w:p>
        </w:tc>
        <w:tc>
          <w:tcPr>
            <w:tcW w:w="1800" w:type="dxa"/>
            <w:vAlign w:val="bottom"/>
            <w:tcBorders>
              <w:right w:val="single" w:sz="8" w:color="02AE90"/>
            </w:tcBorders>
            <w:shd w:val="clear" w:color="auto" w:fill="02AE90"/>
          </w:tcPr>
          <w:p>
            <w:pPr>
              <w:jc w:val="right"/>
              <w:ind w:right="694"/>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1640" w:type="dxa"/>
            <w:vAlign w:val="bottom"/>
            <w:tcBorders>
              <w:right w:val="single" w:sz="8" w:color="02AE90"/>
            </w:tcBorders>
            <w:shd w:val="clear" w:color="auto" w:fill="02AE90"/>
          </w:tcPr>
          <w:p>
            <w:pPr>
              <w:jc w:val="right"/>
              <w:ind w:right="694"/>
              <w:spacing w:after="0"/>
              <w:rPr>
                <w:sz w:val="20"/>
                <w:szCs w:val="20"/>
                <w:color w:val="auto"/>
              </w:rPr>
            </w:pPr>
            <w:r>
              <w:rPr>
                <w:rFonts w:ascii="Times New Roman" w:cs="Times New Roman" w:eastAsia="Times New Roman" w:hAnsi="Times New Roman"/>
                <w:sz w:val="14"/>
                <w:szCs w:val="14"/>
                <w:b w:val="1"/>
                <w:bCs w:val="1"/>
                <w:color w:val="FFFFFF"/>
              </w:rPr>
              <w:t>2021</w:t>
            </w:r>
          </w:p>
        </w:tc>
      </w:tr>
      <w:tr>
        <w:trPr>
          <w:trHeight w:val="239"/>
        </w:trPr>
        <w:tc>
          <w:tcPr>
            <w:tcW w:w="6680" w:type="dxa"/>
            <w:vAlign w:val="bottom"/>
            <w:tcBorders>
              <w:left w:val="single" w:sz="8" w:color="02AE90"/>
              <w:bottom w:val="single" w:sz="8" w:color="02AE90"/>
              <w:right w:val="single" w:sz="8" w:color="02AE90"/>
            </w:tcBorders>
          </w:tcPr>
          <w:p>
            <w:pPr>
              <w:ind w:left="100"/>
              <w:spacing w:after="0" w:line="239"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800" w:type="dxa"/>
            <w:vAlign w:val="bottom"/>
            <w:tcBorders>
              <w:bottom w:val="single" w:sz="8" w:color="02AE90"/>
              <w:right w:val="single" w:sz="8" w:color="02AE90"/>
            </w:tcBorders>
          </w:tcPr>
          <w:p>
            <w:pPr>
              <w:jc w:val="right"/>
              <w:ind w:right="94"/>
              <w:spacing w:after="0"/>
              <w:rPr>
                <w:sz w:val="20"/>
                <w:szCs w:val="20"/>
                <w:color w:val="auto"/>
              </w:rPr>
            </w:pPr>
            <w:r>
              <w:rPr>
                <w:rFonts w:ascii="Times New Roman" w:cs="Times New Roman" w:eastAsia="Times New Roman" w:hAnsi="Times New Roman"/>
                <w:sz w:val="18"/>
                <w:szCs w:val="18"/>
                <w:color w:val="auto"/>
              </w:rPr>
              <w:t>$2,269,593</w:t>
            </w:r>
          </w:p>
        </w:tc>
        <w:tc>
          <w:tcPr>
            <w:tcW w:w="1640" w:type="dxa"/>
            <w:vAlign w:val="bottom"/>
            <w:tcBorders>
              <w:bottom w:val="single" w:sz="8" w:color="02AE90"/>
              <w:right w:val="single" w:sz="8" w:color="02AE90"/>
            </w:tcBorders>
          </w:tcPr>
          <w:p>
            <w:pPr>
              <w:jc w:val="right"/>
              <w:ind w:right="114"/>
              <w:spacing w:after="0"/>
              <w:rPr>
                <w:sz w:val="20"/>
                <w:szCs w:val="20"/>
                <w:color w:val="auto"/>
              </w:rPr>
            </w:pPr>
            <w:r>
              <w:rPr>
                <w:rFonts w:ascii="Times New Roman" w:cs="Times New Roman" w:eastAsia="Times New Roman" w:hAnsi="Times New Roman"/>
                <w:sz w:val="18"/>
                <w:szCs w:val="18"/>
                <w:color w:val="auto"/>
              </w:rPr>
              <w:t>$2,109,465</w:t>
            </w:r>
          </w:p>
        </w:tc>
      </w:tr>
      <w:tr>
        <w:trPr>
          <w:trHeight w:val="232"/>
        </w:trPr>
        <w:tc>
          <w:tcPr>
            <w:tcW w:w="6680" w:type="dxa"/>
            <w:vAlign w:val="bottom"/>
            <w:tcBorders>
              <w:left w:val="single" w:sz="8" w:color="02AE90"/>
              <w:bottom w:val="single" w:sz="8" w:color="02AE90"/>
              <w:right w:val="single" w:sz="8" w:color="02AE90"/>
            </w:tcBorders>
          </w:tcPr>
          <w:p>
            <w:pPr>
              <w:ind w:left="100"/>
              <w:spacing w:after="0" w:line="232"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1800" w:type="dxa"/>
            <w:vAlign w:val="bottom"/>
            <w:tcBorders>
              <w:bottom w:val="single" w:sz="8" w:color="02AE90"/>
              <w:right w:val="single" w:sz="8" w:color="02AE90"/>
            </w:tcBorders>
          </w:tcPr>
          <w:p>
            <w:pPr>
              <w:jc w:val="right"/>
              <w:ind w:right="94"/>
              <w:spacing w:after="0"/>
              <w:rPr>
                <w:sz w:val="20"/>
                <w:szCs w:val="20"/>
                <w:color w:val="auto"/>
              </w:rPr>
            </w:pPr>
            <w:r>
              <w:rPr>
                <w:rFonts w:ascii="Times New Roman" w:cs="Times New Roman" w:eastAsia="Times New Roman" w:hAnsi="Times New Roman"/>
                <w:sz w:val="18"/>
                <w:szCs w:val="18"/>
                <w:color w:val="auto"/>
              </w:rPr>
              <w:t>484,341</w:t>
            </w:r>
          </w:p>
        </w:tc>
        <w:tc>
          <w:tcPr>
            <w:tcW w:w="1640" w:type="dxa"/>
            <w:vAlign w:val="bottom"/>
            <w:tcBorders>
              <w:bottom w:val="single" w:sz="8" w:color="02AE90"/>
              <w:right w:val="single" w:sz="8" w:color="02AE90"/>
            </w:tcBorders>
          </w:tcPr>
          <w:p>
            <w:pPr>
              <w:jc w:val="right"/>
              <w:ind w:right="114"/>
              <w:spacing w:after="0"/>
              <w:rPr>
                <w:sz w:val="20"/>
                <w:szCs w:val="20"/>
                <w:color w:val="auto"/>
              </w:rPr>
            </w:pPr>
            <w:r>
              <w:rPr>
                <w:rFonts w:ascii="Times New Roman" w:cs="Times New Roman" w:eastAsia="Times New Roman" w:hAnsi="Times New Roman"/>
                <w:sz w:val="18"/>
                <w:szCs w:val="18"/>
                <w:color w:val="auto"/>
              </w:rPr>
              <w:t>1,885,000</w:t>
            </w:r>
          </w:p>
        </w:tc>
      </w:tr>
      <w:tr>
        <w:trPr>
          <w:trHeight w:val="232"/>
        </w:trPr>
        <w:tc>
          <w:tcPr>
            <w:tcW w:w="6680" w:type="dxa"/>
            <w:vAlign w:val="bottom"/>
            <w:tcBorders>
              <w:left w:val="single" w:sz="8" w:color="02AE90"/>
              <w:bottom w:val="single" w:sz="8" w:color="02AE90"/>
              <w:right w:val="single" w:sz="8" w:color="02AE90"/>
            </w:tcBorders>
          </w:tcPr>
          <w:p>
            <w:pPr>
              <w:ind w:left="100"/>
              <w:spacing w:after="0" w:line="232"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1800" w:type="dxa"/>
            <w:vAlign w:val="bottom"/>
            <w:tcBorders>
              <w:bottom w:val="single" w:sz="8" w:color="02AE90"/>
              <w:right w:val="single" w:sz="8" w:color="02AE90"/>
            </w:tcBorders>
          </w:tcPr>
          <w:p>
            <w:pPr>
              <w:jc w:val="right"/>
              <w:ind w:right="94"/>
              <w:spacing w:after="0"/>
              <w:rPr>
                <w:sz w:val="20"/>
                <w:szCs w:val="20"/>
                <w:color w:val="auto"/>
              </w:rPr>
            </w:pPr>
            <w:r>
              <w:rPr>
                <w:rFonts w:ascii="Times New Roman" w:cs="Times New Roman" w:eastAsia="Times New Roman" w:hAnsi="Times New Roman"/>
                <w:sz w:val="18"/>
                <w:szCs w:val="18"/>
                <w:color w:val="auto"/>
              </w:rPr>
              <w:t>27,261</w:t>
            </w:r>
          </w:p>
        </w:tc>
        <w:tc>
          <w:tcPr>
            <w:tcW w:w="1640" w:type="dxa"/>
            <w:vAlign w:val="bottom"/>
            <w:tcBorders>
              <w:bottom w:val="single" w:sz="8" w:color="02AE90"/>
              <w:right w:val="single" w:sz="8" w:color="02AE90"/>
            </w:tcBorders>
          </w:tcPr>
          <w:p>
            <w:pPr>
              <w:jc w:val="right"/>
              <w:ind w:right="114"/>
              <w:spacing w:after="0"/>
              <w:rPr>
                <w:sz w:val="20"/>
                <w:szCs w:val="20"/>
                <w:color w:val="auto"/>
              </w:rPr>
            </w:pPr>
            <w:r>
              <w:rPr>
                <w:rFonts w:ascii="Times New Roman" w:cs="Times New Roman" w:eastAsia="Times New Roman" w:hAnsi="Times New Roman"/>
                <w:sz w:val="18"/>
                <w:szCs w:val="18"/>
                <w:color w:val="auto"/>
              </w:rPr>
              <w:t>156,111</w:t>
            </w:r>
          </w:p>
        </w:tc>
      </w:tr>
      <w:tr>
        <w:trPr>
          <w:trHeight w:val="232"/>
        </w:trPr>
        <w:tc>
          <w:tcPr>
            <w:tcW w:w="6680" w:type="dxa"/>
            <w:vAlign w:val="bottom"/>
            <w:tcBorders>
              <w:left w:val="single" w:sz="8" w:color="02AE90"/>
              <w:bottom w:val="single" w:sz="8" w:color="02AE90"/>
              <w:right w:val="single" w:sz="8" w:color="02AE90"/>
            </w:tcBorders>
          </w:tcPr>
          <w:p>
            <w:pPr>
              <w:ind w:left="100"/>
              <w:spacing w:after="0" w:line="232" w:lineRule="exact"/>
              <w:rPr>
                <w:sz w:val="20"/>
                <w:szCs w:val="20"/>
                <w:color w:val="auto"/>
              </w:rPr>
            </w:pPr>
            <w:r>
              <w:rPr>
                <w:rFonts w:ascii="Times New Roman" w:cs="Times New Roman" w:eastAsia="Times New Roman" w:hAnsi="Times New Roman"/>
                <w:sz w:val="18"/>
                <w:szCs w:val="18"/>
                <w:color w:val="auto"/>
              </w:rPr>
              <w:t xml:space="preserve">Other Fees </w:t>
            </w:r>
            <w:r>
              <w:rPr>
                <w:rFonts w:ascii="Times New Roman" w:cs="Times New Roman" w:eastAsia="Times New Roman" w:hAnsi="Times New Roman"/>
                <w:sz w:val="23"/>
                <w:szCs w:val="23"/>
                <w:color w:val="auto"/>
                <w:vertAlign w:val="superscript"/>
              </w:rPr>
              <w:t>(4)</w:t>
            </w:r>
          </w:p>
        </w:tc>
        <w:tc>
          <w:tcPr>
            <w:tcW w:w="1800" w:type="dxa"/>
            <w:vAlign w:val="bottom"/>
            <w:tcBorders>
              <w:bottom w:val="single" w:sz="8" w:color="02AE90"/>
              <w:right w:val="single" w:sz="8" w:color="02AE90"/>
            </w:tcBorders>
          </w:tcPr>
          <w:p>
            <w:pPr>
              <w:jc w:val="right"/>
              <w:ind w:right="94"/>
              <w:spacing w:after="0"/>
              <w:rPr>
                <w:sz w:val="20"/>
                <w:szCs w:val="20"/>
                <w:color w:val="auto"/>
              </w:rPr>
            </w:pPr>
            <w:r>
              <w:rPr>
                <w:rFonts w:ascii="Times New Roman" w:cs="Times New Roman" w:eastAsia="Times New Roman" w:hAnsi="Times New Roman"/>
                <w:sz w:val="18"/>
                <w:szCs w:val="18"/>
                <w:color w:val="auto"/>
              </w:rPr>
              <w:t>2,730</w:t>
            </w:r>
          </w:p>
        </w:tc>
        <w:tc>
          <w:tcPr>
            <w:tcW w:w="1640" w:type="dxa"/>
            <w:vAlign w:val="bottom"/>
            <w:tcBorders>
              <w:bottom w:val="single" w:sz="8" w:color="02AE90"/>
              <w:right w:val="single" w:sz="8" w:color="02AE90"/>
            </w:tcBorders>
          </w:tcPr>
          <w:p>
            <w:pPr>
              <w:jc w:val="right"/>
              <w:ind w:right="114"/>
              <w:spacing w:after="0"/>
              <w:rPr>
                <w:sz w:val="20"/>
                <w:szCs w:val="20"/>
                <w:color w:val="auto"/>
              </w:rPr>
            </w:pPr>
            <w:r>
              <w:rPr>
                <w:rFonts w:ascii="Times New Roman" w:cs="Times New Roman" w:eastAsia="Times New Roman" w:hAnsi="Times New Roman"/>
                <w:sz w:val="18"/>
                <w:szCs w:val="18"/>
                <w:color w:val="auto"/>
              </w:rPr>
              <w:t>2,730</w:t>
            </w:r>
          </w:p>
        </w:tc>
      </w:tr>
      <w:tr>
        <w:trPr>
          <w:trHeight w:val="229"/>
        </w:trPr>
        <w:tc>
          <w:tcPr>
            <w:tcW w:w="6680" w:type="dxa"/>
            <w:vAlign w:val="bottom"/>
            <w:tcBorders>
              <w:left w:val="single" w:sz="8" w:color="02AE90"/>
              <w:bottom w:val="single" w:sz="8" w:color="02AE90"/>
              <w:right w:val="single" w:sz="8" w:color="02AE90"/>
            </w:tcBorders>
          </w:tcPr>
          <w:p>
            <w:pPr>
              <w:ind w:left="280"/>
              <w:spacing w:after="0"/>
              <w:rPr>
                <w:sz w:val="20"/>
                <w:szCs w:val="20"/>
                <w:color w:val="auto"/>
              </w:rPr>
            </w:pPr>
            <w:r>
              <w:rPr>
                <w:rFonts w:ascii="Times New Roman" w:cs="Times New Roman" w:eastAsia="Times New Roman" w:hAnsi="Times New Roman"/>
                <w:sz w:val="18"/>
                <w:szCs w:val="18"/>
                <w:color w:val="auto"/>
              </w:rPr>
              <w:t>Total Fees</w:t>
            </w:r>
          </w:p>
        </w:tc>
        <w:tc>
          <w:tcPr>
            <w:tcW w:w="1800" w:type="dxa"/>
            <w:vAlign w:val="bottom"/>
            <w:tcBorders>
              <w:bottom w:val="single" w:sz="8" w:color="02AE90"/>
              <w:right w:val="single" w:sz="8" w:color="02AE90"/>
            </w:tcBorders>
          </w:tcPr>
          <w:p>
            <w:pPr>
              <w:jc w:val="right"/>
              <w:ind w:right="94"/>
              <w:spacing w:after="0"/>
              <w:rPr>
                <w:sz w:val="20"/>
                <w:szCs w:val="20"/>
                <w:color w:val="auto"/>
              </w:rPr>
            </w:pPr>
            <w:r>
              <w:rPr>
                <w:rFonts w:ascii="Times New Roman" w:cs="Times New Roman" w:eastAsia="Times New Roman" w:hAnsi="Times New Roman"/>
                <w:sz w:val="18"/>
                <w:szCs w:val="18"/>
                <w:color w:val="auto"/>
              </w:rPr>
              <w:t>$2,783,925</w:t>
            </w:r>
          </w:p>
        </w:tc>
        <w:tc>
          <w:tcPr>
            <w:tcW w:w="1640" w:type="dxa"/>
            <w:vAlign w:val="bottom"/>
            <w:tcBorders>
              <w:bottom w:val="single" w:sz="8" w:color="02AE90"/>
              <w:right w:val="single" w:sz="8" w:color="02AE90"/>
            </w:tcBorders>
          </w:tcPr>
          <w:p>
            <w:pPr>
              <w:jc w:val="right"/>
              <w:ind w:right="114"/>
              <w:spacing w:after="0"/>
              <w:rPr>
                <w:sz w:val="20"/>
                <w:szCs w:val="20"/>
                <w:color w:val="auto"/>
              </w:rPr>
            </w:pPr>
            <w:r>
              <w:rPr>
                <w:rFonts w:ascii="Times New Roman" w:cs="Times New Roman" w:eastAsia="Times New Roman" w:hAnsi="Times New Roman"/>
                <w:sz w:val="18"/>
                <w:szCs w:val="18"/>
                <w:color w:val="auto"/>
              </w:rPr>
              <w:t>$4,153,306</w:t>
            </w:r>
          </w:p>
        </w:tc>
      </w:tr>
    </w:tbl>
    <w:p>
      <w:pPr>
        <w:spacing w:after="0" w:line="216" w:lineRule="exact"/>
        <w:rPr>
          <w:sz w:val="20"/>
          <w:szCs w:val="20"/>
          <w:color w:val="auto"/>
        </w:rPr>
      </w:pPr>
    </w:p>
    <w:p>
      <w:pPr>
        <w:ind w:left="900" w:hanging="384"/>
        <w:spacing w:after="0" w:line="252" w:lineRule="auto"/>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and expenses associated with the annual audit of our consolidated financial statements, statutory audits, review of our periodic reports, accounting consultations, review of SEC registration statements, report on the effectiveness of internal control, comfort letters, and consents and other services related to SEC matters.</w:t>
      </w:r>
    </w:p>
    <w:p>
      <w:pPr>
        <w:spacing w:after="0" w:line="60" w:lineRule="exact"/>
        <w:rPr>
          <w:rFonts w:ascii="Times New Roman" w:cs="Times New Roman" w:eastAsia="Times New Roman" w:hAnsi="Times New Roman"/>
          <w:sz w:val="14"/>
          <w:szCs w:val="14"/>
          <w:color w:val="auto"/>
        </w:rPr>
      </w:pPr>
    </w:p>
    <w:p>
      <w:pPr>
        <w:ind w:left="900" w:hanging="384"/>
        <w:spacing w:after="0" w:line="252" w:lineRule="auto"/>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assurance and related services that are reasonably related to the performance of the audit or review of our consolidated financial statements and not reported under “Audit Fees,” which also includes non-recurring transaction-related services performed separate from the annual audit.</w:t>
      </w:r>
    </w:p>
    <w:p>
      <w:pPr>
        <w:spacing w:after="0" w:line="60" w:lineRule="exact"/>
        <w:rPr>
          <w:rFonts w:ascii="Times New Roman" w:cs="Times New Roman" w:eastAsia="Times New Roman" w:hAnsi="Times New Roman"/>
          <w:sz w:val="14"/>
          <w:szCs w:val="14"/>
          <w:color w:val="auto"/>
        </w:rPr>
      </w:pPr>
    </w:p>
    <w:p>
      <w:pPr>
        <w:ind w:left="900" w:hanging="38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fees and expenses for tax compliance, tax planning, and tax advice.</w:t>
      </w:r>
    </w:p>
    <w:p>
      <w:pPr>
        <w:spacing w:after="0" w:line="91" w:lineRule="exact"/>
        <w:rPr>
          <w:rFonts w:ascii="Times New Roman" w:cs="Times New Roman" w:eastAsia="Times New Roman" w:hAnsi="Times New Roman"/>
          <w:sz w:val="14"/>
          <w:szCs w:val="14"/>
          <w:color w:val="auto"/>
        </w:rPr>
      </w:pPr>
    </w:p>
    <w:p>
      <w:pPr>
        <w:ind w:left="900" w:hanging="384"/>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Fees include accounting research software.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Audit and Non-Audit Services Pre-Approval Policy</w:t>
      </w:r>
    </w:p>
    <w:p>
      <w:pPr>
        <w:spacing w:after="0" w:line="114"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The Audit Committee has responsibility for appointing, setting the compensation of, retaining and overseeing the work of the independent registered public accounting firm. In recognition of this responsibility, the Audit Committee has adopted a policy governing the pre-approval of all audit and permitted non-audit services performed by Tripadvisor’s independent registered public accounting firm to ensure that the provision of such services does not impair the independent registered public accounting firm’s independence from Tripadvisor and our management. Unless a type of service to be provided by our independent registered public accounting firm has received general pre-approval from the Audit Committee, it requires specific pre-approval by the Audit Committee. The payment for any proposed non-audit services in excess of pre-approved cost levels requires specific pre-approval by the Audit Committee.</w:t>
      </w:r>
    </w:p>
    <w:p>
      <w:pPr>
        <w:spacing w:after="0" w:line="17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its pre-approval policy, the Audit Committee may delegate its authority to pre-approve services to one or more of its members, and it has currently delegated this authority to its Chairman, subject to a limit of $250,000 per approval. The decisions of the Chairman (or any other member(s) to whom such authority may be delegated) to grant pre-approvals must be presented to the full Audit Committee at its next scheduled meeting. The Audit Committee may not delegate its responsibilities to pre-approve services to Company management.</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All of the audit-related and all other services provided to us by KPMG in 2022 and 2021 were approved by the Audit Committee by means of specific pre-approvals or pursuant to the procedures contained in the Company’s pre-approval policy.</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Audit Committee has considered the non-audit services provided by KPMG in 2022 and 2021, as described above, and believes that they are compatible with maintaining KPMG’s independence in the conduct of their auditing functions.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AUDIT COMMITTEE REPORT</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Management has primary responsibility for our financial statements, reporting process and system of internal control over financial reporting. Tripadvisor’s independent registered public accounting firm is engaged to audit and express opinions on the conformity of our financial statements to generally accepted accounting principles, and the effectiveness of Tripadvisor’s internal control over financial reporting.</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Audit Committee serves as a representative of the Board and assists the Board in monitoring (i) the integrity of our accounting, financial reporting and public disclosures process, (ii) our relationship with our independent registered public accounting firm, including qualifications, performance and independence, (iii) the performance of our internal audit department, and (iv) our compliance with legal and regulatory requirements. In this context, the Audit Committee met seven times in 2022 and, among other things, took the following actions:</w:t>
      </w:r>
    </w:p>
    <w:p>
      <w:pPr>
        <w:spacing w:after="0" w:line="77" w:lineRule="exact"/>
        <w:rPr>
          <w:sz w:val="20"/>
          <w:szCs w:val="20"/>
          <w:color w:val="auto"/>
        </w:rPr>
      </w:pPr>
    </w:p>
    <w:p>
      <w:pPr>
        <w:ind w:left="1140" w:hanging="370"/>
        <w:spacing w:after="0" w:line="275"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appointed KPMG as our auditors and discussed with the auditors the overall scope and plans for the independent audit and pre-approved all audit and non-audit services to be performed by KPMG;</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reviewed and discussed with management and the auditors the audited consolidated financial statements for the year ended December 31, 2022, as well as our quarterly financial statements and interim financial information contained in each quarterly earnings announcement prior to public release;</w:t>
      </w:r>
    </w:p>
    <w:p>
      <w:pPr>
        <w:spacing w:after="0" w:line="7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discussed with the auditors the matters required to be discussed by the Public Company Accounting Oversight Board (“PCAOB”) and the SEC, and received all written disclosures and letters required by the applicable requirements of the PCAOB;</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discussed with the auditors its independence from Tripadvisor and Tripadvisor’s management as well as considered whether the non-audit services provided by the auditors could impair its independence and concluded that such services would not;</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reviewed and discussed with management and the auditors our compliance with the requirements of the Sarbanes-Oxley Act of 2002 with respect to internal control over financial reporting, together with management’s assessment of the effectiveness of our internal control over financial reporting and the auditors’ audit of internal control over financial reporting; and</w:t>
      </w:r>
    </w:p>
    <w:p>
      <w:pPr>
        <w:spacing w:after="0" w:line="7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1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regularly met with KPMG, with and without management present, to discuss the results of their examinations, including the integrity, adequacy and effectiveness of the accounting and financial reporting processes and controls.</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Relying on the reviews and discussions referred to above, the Audit Committee recommended to the Board that the audited consolidated financial statements be included in our Annual Report on Form 10-K for the year ended December 31, 2022, and the Board approved such inclusion.</w:t>
      </w:r>
    </w:p>
    <w:p>
      <w:pPr>
        <w:spacing w:after="0" w:line="16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 under either the Securities Act or the Exchange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Robert S. Wiesenthal (Chairman)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Trynka Shineman Blake</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Jeremy Philips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02AE90"/>
        </w:rPr>
        <w:t>PROPOSAL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2AE90"/>
        </w:rPr>
        <w:t>APPROVAL OF THE REDOMESTICATION IN NEVADA BY CONVERSION</w:t>
      </w:r>
    </w:p>
    <w:p>
      <w:pPr>
        <w:spacing w:after="0" w:line="200" w:lineRule="exact"/>
        <w:rPr>
          <w:sz w:val="20"/>
          <w:szCs w:val="20"/>
          <w:color w:val="auto"/>
        </w:rPr>
      </w:pPr>
    </w:p>
    <w:p>
      <w:pPr>
        <w:spacing w:after="0" w:line="21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Board has approved a proposal to redomesticate,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“Redomestication”). The Board recommends that our stockholders approve the Redomestication and adopt the resolution of the Board approving the Redomestication, which is included as Annex A to this Proxy Statement (the “Redomestication Resolution”). Upon the completion of the Redomestication, the Company will become a Nevada corporation and will continue to operate our business under the current name, "Tripadvisor,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Redomestication</w:t>
      </w:r>
    </w:p>
    <w:p>
      <w:pPr>
        <w:spacing w:after="0" w:line="22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Our Board believes that there are several reasons the Redomestication is in the best interests of the Company and its stockholders. In particular, the Board believes that the Redomestication will allow the Company to take advantage of certain provisions of the corporate and tax laws of Nevada.</w:t>
      </w:r>
    </w:p>
    <w:p>
      <w:pPr>
        <w:spacing w:after="0" w:line="163"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Redomestication will eliminate our obligation to pay the annual Delaware franchise tax, which we expect will result in substantial savings to us over the long term. For Fiscal 2022, we paid approximately $250,725 in Delaware franchise taxes. We anticipate that, if we remain a Delaware Corporation, for Fiscal 2023, our Delaware franchise taxes will be the same as 2022 (based on our current capital structure and assets). If we redomesticate in Nevada, our current annual fees will consist of an annual business license fee of $500.00 and the fee for filing the Company's annual list of directors and officers based on the number of authorized shares and their par value, currently equal to $1,225.</w:t>
      </w:r>
    </w:p>
    <w:p>
      <w:pPr>
        <w:spacing w:after="0" w:line="17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In addition, the Redomestication will provide potentially greater protection from unmeritorious litigation for directors and officers of the Company. Delaware law permits a corporation to adopt provisions limiting or eliminating the liability of a director or an officer to a company and its stockholders for monetary damages for breach of fiduciary duty, provided that the liability does not arise from certain proscribed conduct, including breach of the duty of loyalty, acts or omissions not in good faith or which involve intentional misconduct or a knowing violation of law. By contrast, Nevada law permits a broader exclusion of individual liability of both officers and directors to a company and its stockholders, providing for an exclusion of any damages as a result of any act or failure to act in his or her capacity as a director or officer unless the presumption that the director or officer acted in good faith, on an informed basis and with a view to the interests of the company, has been rebutted, and it is proven that the director’s or officer’s act or failure to act constituted a breach of his or her fiduciary duties as a director or officer, and such breach involved intentional misconduct, fraud or a knowing violation of law. The Redomestication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and officers of the Company have an interest in the Redomestication to the extent that they will be entitled to such limitation of liability. The Board was aware of these interests and considered them, among other matters, in reaching its decision to approve the Redomestication and to recommend that our stockholders vote in favor of this proposal.</w:t>
      </w:r>
    </w:p>
    <w:p>
      <w:pPr>
        <w:spacing w:after="0" w:line="19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Also, by reducing the risk of lawsuits being filed against the Company and its directors and officers, the Redomestication may help us attract and retain qualified management. As previously discussed and for the reasons described below, we believe that, in general, Nevada law provides greater protection to our directors, officers, and the Company than Delaware law. The increasing frequency of claims and litigation directed towards directors and officers has greatly expanded the risks facing directors and officers of public companies in exercising their duties. The amount of time and money required to respond to these claims and to defend these types of litigation matters can be substantial. Delaware law provides that every person becoming a director or an officer of a Delaware corporation consents to the personal jurisdiction of the Delaware courts in connection with any action concerning the corporation. Accordingly, both directors and officers can be personally sued in Delaware, even though the director or officer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Though Delaware corporate law has recently been amended to, among other things, increase protections for officers of a corporation, we believe Nevada is more advantageous than Delaware because Nevada has pursued a statute-focused approach that does not depend upon judicial interpretation, supplementation and revision, and is intended to be stable, predictable and more efficient, whereas much of Delaware corporate law still consists of judicial decisions that migrate and develop over time.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0" w:name="page31"/>
    <w:bookmarkEnd w:id="3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the Redomestication is expected to provide corporate flexibility in connection with certain corporate transactions. However, note that the Redomestication is not being effected to prevent a change in control, nor is it in response to any present attempt known to our Board to acquire control of the Company or obtain representation on our Board. In connection with the Redomestication, the Nevada Corporation will opt out of certain Nevada statutes that may discourage unsolicited takeovers. Nevertheless, certain effects of the proposed Redomestication may be considered to have anti-takeover implications by virtue of being subject to Nevada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Terms of the Redomestication</w:t>
      </w:r>
    </w:p>
    <w:p>
      <w:pPr>
        <w:spacing w:after="0" w:line="2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Redomestication would be effected through a conversion pursuant to Section 266 of the Delaware General Corporation Law ("DGCL") as set forth in the Plan of Conversion, which is included as Annex B to this Proxy Statement. Approval of Proposal 3 will constitute approval of the Plan of Conversion. The Plan of Conversion provides that we will convert from a Delaware corporation into a Nevada corporation pursuant to Section 266 of the DGCL and Sections 92A.195 and 92A.205 of the Nevada Revised Statutes, as amended ("NRS").</w:t>
      </w:r>
    </w:p>
    <w:p>
      <w:pPr>
        <w:spacing w:after="0" w:line="1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Plan of Conversion provides that, upon the Redomestication, (i) each outstanding share of common stock of the Delaware Corporation will be automatically converted into one outstanding share of common stock of the Nevada Corporation, and (ii) each outstanding share of Class B common stock of the Delaware Corporation will be automatically converted into one outstanding share of the Class B common stock of the Nevada Corporation. Securityholders will not have to exchange their existing stock certificates for new stock certificates. At the same time, upon the Redomestication, each outstanding restricted stock unit, option or right to acquire shares of common stock of the Delaware Corporation will automatically become a restricted stock unit, option or right to acquire an equal number of shares of common stock of the Nevada Corporation under the same terms and conditions. At the Effective Time (as defined herein) of the Redomestication, the common stock will continue to be traded on The Nasdaq Global Select Market under the symbol "TRIP." There is not expected to be any interruption in the trading of the common stock as a result of the Redomestication.</w:t>
      </w:r>
    </w:p>
    <w:p>
      <w:pPr>
        <w:spacing w:after="0" w:line="188"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The Board currently intends that the Redomestication will occur as soon as practicable following the Annual Meeting. If the Redomestication is approved by our stockholders, it is anticipated that the Redomestication will become effective at the date and time (the “Effective Time”) specified in each of</w:t>
      </w:r>
    </w:p>
    <w:p>
      <w:pPr>
        <w:spacing w:after="0" w:line="1" w:lineRule="exact"/>
        <w:rPr>
          <w:sz w:val="20"/>
          <w:szCs w:val="20"/>
          <w:color w:val="auto"/>
        </w:rPr>
      </w:pPr>
    </w:p>
    <w:p>
      <w:pPr>
        <w:jc w:val="both"/>
        <w:ind w:firstLine="6"/>
        <w:spacing w:after="0" w:line="247" w:lineRule="auto"/>
        <w:tabs>
          <w:tab w:leader="none" w:pos="2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Conversion to be executed and filed with the office of the Nevada Secretary of State in accordance with NRS 92A.205 and (ii) the Certificate of Conversion to be executed and filed with the Office of the Secretary of State of Delaware in accordance with Section 262 of the DGCL. However, the Redomestication may be delayed by our Board or the Plan of Conversion may be terminated and abandoned by action of our Board at any time prior to the Effective Time of the Redomestication, whether before or after the approval by the Company’s stockholders, if our Board determines for any reason that the consummation of the Redomestication should be delayed or would be inadvisable or not in the best interests of the Company and its stockholders, as the case may be.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Redomestication</w:t>
      </w:r>
    </w:p>
    <w:p>
      <w:pPr>
        <w:spacing w:after="0" w:line="22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Redomestication, we will be governed by the NRS instead of the DGCL, and we will be governed by the form of Nevada Articles of Incorporation (the “Nevada Charter”) and the form of Nevada Bylaws (the “Nevada Bylaws”), included as Annex C and Annex D, respectively, to this Proxy Statement. Approval of Proposal 3 will constitute approval of the Nevada Charter and Nevada Bylaws. Our current Amended and Restated Certificate of Incorporation (the “Delaware Charter”) and our current Amended and Restated Bylaws (as amended, the “Delaware Bylaws”) will no longer be applicable following completion of the Redomestication. Copies of the Delaware Charter and Delaware Bylaws are available as Exhibits 3.1, 3.2 and 3.3 of our 2022 Annual Report, available to the public over the Internet at the SEC's website at http://www.sec.gov.</w:t>
      </w:r>
    </w:p>
    <w:p>
      <w:pPr>
        <w:spacing w:after="0" w:line="183"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Apart from being governed by the Nevada Charter, Nevada Bylaws and the NRS, following completion of the Redomestication, the Company will continue to exist in the form of a Nevada corporation. By virtue of the Redomestication, all of the rights, privileges, and powers of the Delaware Corporation, and all property, real, personal, and mixed, and all debts due to the Delaware Corporation, as well as all other things and causes of action belonging to the Delaware Corporation, will remain vested in the Nevada Corporation and will be the property of the Nevada Corporation. In addition, all debts, liabilities, and duties of the Delaware Corporation will remain attached to the Nevada Corporation and may be enforced against the Nevada Corporation.</w:t>
      </w:r>
    </w:p>
    <w:p>
      <w:pPr>
        <w:spacing w:after="0" w:line="16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There will be no change in our business, properties, assets, obligations, or management as a result of the Redomestication. Our directors and officers immediately prior to the Redomestication will serve as our directors and officers following the completion of the Redomestication. We will continue to maintain our headquarters in Massachusetts.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Securities Act Consequences</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will continue to be a publicly held company following completion of the Redomestication, and its common stock will continue to be listed on The Nasdaq Global Select Market and traded under the symbol "TRIP." The Company will continue to file required periodic reports and other documents with the SEC. There is not expected to be any interruption in the trading of the common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jc w:val="both"/>
        <w:spacing w:after="0" w:line="275" w:lineRule="auto"/>
        <w:rPr>
          <w:sz w:val="20"/>
          <w:szCs w:val="20"/>
          <w:color w:val="auto"/>
        </w:rPr>
      </w:pPr>
      <w:r>
        <w:rPr>
          <w:rFonts w:ascii="Times New Roman" w:cs="Times New Roman" w:eastAsia="Times New Roman" w:hAnsi="Times New Roman"/>
          <w:sz w:val="18"/>
          <w:szCs w:val="18"/>
          <w:color w:val="auto"/>
        </w:rPr>
        <w:t>stock as a result of the Redomestication. We and our stockholders will be in the same respective positions under the federal securities laws after the Redomestication as we and our stockholders were prior to the Redomestication.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Differences Between Delaware Charter and Bylaws and the Nevada Charter and Bylaws</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Following completion of the Redomestication, the Company will be governed by the NRS instead of the DGCL as well as the Nevada Charter and Nevada Bylaws, forms of which are included as Annex C and Annex D, respectively, to this Proxy Statement. Approval of Proposal 3 will constitute approval of the Nevada Charter and Nevada Bylaws. Our current Delaware Charter and Delaware Bylaws will no longer be applicable following completion of the Redomestication. Copies of the Delaware Charter and Delaware Bylaws are available as Exhibits 3.1, 3.2 and 3.3 of our 2022 Annual Report, available to the public over the Internet at the SEC's website at http://www.sec.gov.</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262890</wp:posOffset>
            </wp:positionV>
            <wp:extent cx="8255" cy="421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262890</wp:posOffset>
            </wp:positionV>
            <wp:extent cx="8255" cy="421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262890</wp:posOffset>
            </wp:positionV>
            <wp:extent cx="8255" cy="421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421640"/>
                    </a:xfrm>
                    <a:prstGeom prst="rect">
                      <a:avLst/>
                    </a:prstGeom>
                    <a:noFill/>
                  </pic:spPr>
                </pic:pic>
              </a:graphicData>
            </a:graphic>
          </wp:anchor>
        </w:drawing>
      </w:r>
    </w:p>
    <w:p>
      <w:pPr>
        <w:spacing w:after="0" w:line="39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840" w:type="dxa"/>
            <w:vAlign w:val="bottom"/>
            <w:tcBorders>
              <w:left w:val="single" w:sz="8" w:color="02AE90"/>
              <w:right w:val="single" w:sz="8" w:color="02AE90"/>
            </w:tcBorders>
            <w:shd w:val="clear" w:color="auto" w:fill="02AE90"/>
          </w:tcPr>
          <w:p>
            <w:pPr>
              <w:ind w:left="600"/>
              <w:spacing w:after="0"/>
              <w:rPr>
                <w:sz w:val="20"/>
                <w:szCs w:val="20"/>
                <w:color w:val="auto"/>
              </w:rPr>
            </w:pPr>
            <w:r>
              <w:rPr>
                <w:rFonts w:ascii="Times New Roman" w:cs="Times New Roman" w:eastAsia="Times New Roman" w:hAnsi="Times New Roman"/>
                <w:sz w:val="18"/>
                <w:szCs w:val="18"/>
                <w:b w:val="1"/>
                <w:bCs w:val="1"/>
                <w:color w:val="FFFFFF"/>
              </w:rPr>
              <w:t>Provision</w:t>
            </w:r>
          </w:p>
        </w:tc>
        <w:tc>
          <w:tcPr>
            <w:tcW w:w="4300" w:type="dxa"/>
            <w:vAlign w:val="bottom"/>
            <w:gridSpan w:val="2"/>
            <w:shd w:val="clear" w:color="auto" w:fill="02AE90"/>
          </w:tcPr>
          <w:p>
            <w:pPr>
              <w:ind w:left="1800"/>
              <w:spacing w:after="0"/>
              <w:rPr>
                <w:sz w:val="20"/>
                <w:szCs w:val="20"/>
                <w:color w:val="auto"/>
              </w:rPr>
            </w:pPr>
            <w:r>
              <w:rPr>
                <w:rFonts w:ascii="Times New Roman" w:cs="Times New Roman" w:eastAsia="Times New Roman" w:hAnsi="Times New Roman"/>
                <w:sz w:val="18"/>
                <w:szCs w:val="18"/>
                <w:b w:val="1"/>
                <w:bCs w:val="1"/>
                <w:color w:val="FFFFFF"/>
              </w:rPr>
              <w:t>Delaware</w:t>
            </w:r>
          </w:p>
        </w:tc>
        <w:tc>
          <w:tcPr>
            <w:tcW w:w="20" w:type="dxa"/>
            <w:vAlign w:val="bottom"/>
            <w:shd w:val="clear" w:color="auto" w:fill="02AE90"/>
          </w:tcPr>
          <w:p>
            <w:pPr>
              <w:spacing w:after="0"/>
              <w:rPr>
                <w:sz w:val="22"/>
                <w:szCs w:val="22"/>
                <w:color w:val="auto"/>
              </w:rPr>
            </w:pPr>
          </w:p>
        </w:tc>
        <w:tc>
          <w:tcPr>
            <w:tcW w:w="5080" w:type="dxa"/>
            <w:vAlign w:val="bottom"/>
            <w:tcBorders>
              <w:right w:val="single" w:sz="8" w:color="02AE90"/>
            </w:tcBorders>
            <w:shd w:val="clear" w:color="auto" w:fill="02AE90"/>
          </w:tcPr>
          <w:p>
            <w:pPr>
              <w:ind w:left="2260"/>
              <w:spacing w:after="0"/>
              <w:rPr>
                <w:sz w:val="20"/>
                <w:szCs w:val="20"/>
                <w:color w:val="auto"/>
              </w:rPr>
            </w:pPr>
            <w:r>
              <w:rPr>
                <w:rFonts w:ascii="Times New Roman" w:cs="Times New Roman" w:eastAsia="Times New Roman" w:hAnsi="Times New Roman"/>
                <w:sz w:val="18"/>
                <w:szCs w:val="18"/>
                <w:b w:val="1"/>
                <w:bCs w:val="1"/>
                <w:color w:val="FFFFFF"/>
              </w:rPr>
              <w:t>Nevada</w:t>
            </w:r>
          </w:p>
        </w:tc>
        <w:tc>
          <w:tcPr>
            <w:tcW w:w="0" w:type="dxa"/>
            <w:vAlign w:val="bottom"/>
          </w:tcPr>
          <w:p>
            <w:pPr>
              <w:spacing w:after="0"/>
              <w:rPr>
                <w:sz w:val="1"/>
                <w:szCs w:val="1"/>
                <w:color w:val="auto"/>
              </w:rPr>
            </w:pPr>
          </w:p>
        </w:tc>
      </w:tr>
      <w:tr>
        <w:trPr>
          <w:trHeight w:val="410"/>
        </w:trPr>
        <w:tc>
          <w:tcPr>
            <w:tcW w:w="1840" w:type="dxa"/>
            <w:vAlign w:val="bottom"/>
            <w:tcBorders>
              <w:left w:val="single" w:sz="8" w:color="02AE90"/>
              <w:right w:val="single" w:sz="8" w:color="02AE90"/>
            </w:tcBorders>
            <w:shd w:val="clear" w:color="auto" w:fill="02AE90"/>
          </w:tcPr>
          <w:p>
            <w:pPr>
              <w:spacing w:after="0"/>
              <w:rPr>
                <w:sz w:val="24"/>
                <w:szCs w:val="24"/>
                <w:color w:val="auto"/>
              </w:rPr>
            </w:pPr>
          </w:p>
        </w:tc>
        <w:tc>
          <w:tcPr>
            <w:tcW w:w="4280" w:type="dxa"/>
            <w:vAlign w:val="bottom"/>
            <w:shd w:val="clear" w:color="auto" w:fill="02AE90"/>
          </w:tcPr>
          <w:p>
            <w:pPr>
              <w:spacing w:after="0"/>
              <w:rPr>
                <w:sz w:val="24"/>
                <w:szCs w:val="24"/>
                <w:color w:val="auto"/>
              </w:rPr>
            </w:pPr>
          </w:p>
        </w:tc>
        <w:tc>
          <w:tcPr>
            <w:tcW w:w="20" w:type="dxa"/>
            <w:vAlign w:val="bottom"/>
            <w:shd w:val="clear" w:color="auto" w:fill="02AE90"/>
          </w:tcPr>
          <w:p>
            <w:pPr>
              <w:spacing w:after="0"/>
              <w:rPr>
                <w:sz w:val="24"/>
                <w:szCs w:val="24"/>
                <w:color w:val="auto"/>
              </w:rPr>
            </w:pPr>
          </w:p>
        </w:tc>
        <w:tc>
          <w:tcPr>
            <w:tcW w:w="20" w:type="dxa"/>
            <w:vAlign w:val="bottom"/>
            <w:shd w:val="clear" w:color="auto" w:fill="02AE90"/>
          </w:tcPr>
          <w:p>
            <w:pPr>
              <w:spacing w:after="0"/>
              <w:rPr>
                <w:sz w:val="24"/>
                <w:szCs w:val="24"/>
                <w:color w:val="auto"/>
              </w:rPr>
            </w:pPr>
          </w:p>
        </w:tc>
        <w:tc>
          <w:tcPr>
            <w:tcW w:w="5080" w:type="dxa"/>
            <w:vAlign w:val="bottom"/>
            <w:tcBorders>
              <w:right w:val="single" w:sz="8" w:color="02AE90"/>
            </w:tcBorders>
            <w:shd w:val="clear" w:color="auto" w:fill="02AE90"/>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840" w:type="dxa"/>
            <w:vAlign w:val="bottom"/>
            <w:tcBorders>
              <w:left w:val="single" w:sz="8" w:color="02AE90"/>
              <w:right w:val="single" w:sz="8" w:color="02AE90"/>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Charter Regarding</w:t>
            </w:r>
          </w:p>
        </w:tc>
        <w:tc>
          <w:tcPr>
            <w:tcW w:w="4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 Delaware Charter provides that, to the fullest extent</w:t>
            </w:r>
          </w:p>
        </w:tc>
        <w:tc>
          <w:tcPr>
            <w:tcW w:w="20" w:type="dxa"/>
            <w:vAlign w:val="bottom"/>
          </w:tcPr>
          <w:p>
            <w:pPr>
              <w:spacing w:after="0"/>
              <w:rPr>
                <w:sz w:val="20"/>
                <w:szCs w:val="20"/>
                <w:color w:val="auto"/>
              </w:rPr>
            </w:pPr>
          </w:p>
        </w:tc>
        <w:tc>
          <w:tcPr>
            <w:tcW w:w="20" w:type="dxa"/>
            <w:vAlign w:val="bottom"/>
            <w:shd w:val="clear" w:color="auto" w:fill="02AE90"/>
          </w:tcPr>
          <w:p>
            <w:pPr>
              <w:spacing w:after="0"/>
              <w:rPr>
                <w:sz w:val="20"/>
                <w:szCs w:val="20"/>
                <w:color w:val="auto"/>
              </w:rPr>
            </w:pPr>
          </w:p>
        </w:tc>
        <w:tc>
          <w:tcPr>
            <w:tcW w:w="5080" w:type="dxa"/>
            <w:vAlign w:val="bottom"/>
            <w:tcBorders>
              <w:right w:val="single" w:sz="8" w:color="02AE90"/>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Nevada Charter provides that, to the fullest extent</w:t>
            </w:r>
          </w:p>
        </w:tc>
        <w:tc>
          <w:tcPr>
            <w:tcW w:w="0" w:type="dxa"/>
            <w:vAlign w:val="bottom"/>
          </w:tcPr>
          <w:p>
            <w:pPr>
              <w:spacing w:after="0"/>
              <w:rPr>
                <w:sz w:val="1"/>
                <w:szCs w:val="1"/>
                <w:color w:val="auto"/>
              </w:rPr>
            </w:pPr>
          </w:p>
        </w:tc>
      </w:tr>
      <w:tr>
        <w:trPr>
          <w:trHeight w:val="205"/>
        </w:trPr>
        <w:tc>
          <w:tcPr>
            <w:tcW w:w="1840" w:type="dxa"/>
            <w:vAlign w:val="bottom"/>
            <w:tcBorders>
              <w:left w:val="single" w:sz="8" w:color="02AE90"/>
              <w:right w:val="single" w:sz="8" w:color="02AE90"/>
            </w:tcBorders>
            <w:vMerge w:val="continue"/>
          </w:tcPr>
          <w:p>
            <w:pPr>
              <w:spacing w:after="0"/>
              <w:rPr>
                <w:sz w:val="17"/>
                <w:szCs w:val="17"/>
                <w:color w:val="auto"/>
              </w:rPr>
            </w:pPr>
          </w:p>
        </w:tc>
        <w:tc>
          <w:tcPr>
            <w:tcW w:w="4280" w:type="dxa"/>
            <w:vAlign w:val="bottom"/>
            <w:vMerge w:val="continue"/>
          </w:tcPr>
          <w:p>
            <w:pPr>
              <w:spacing w:after="0"/>
              <w:rPr>
                <w:sz w:val="17"/>
                <w:szCs w:val="17"/>
                <w:color w:val="auto"/>
              </w:rPr>
            </w:pPr>
          </w:p>
        </w:tc>
        <w:tc>
          <w:tcPr>
            <w:tcW w:w="20" w:type="dxa"/>
            <w:vAlign w:val="bottom"/>
            <w:shd w:val="clear" w:color="auto" w:fill="02AE90"/>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right w:val="single" w:sz="8" w:color="02AE9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Limitation of</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permitted by the DGCL, a director of the Company shall</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permitted by the NRS, the liability of directors and</w:t>
            </w:r>
          </w:p>
        </w:tc>
        <w:tc>
          <w:tcPr>
            <w:tcW w:w="0" w:type="dxa"/>
            <w:vAlign w:val="bottom"/>
          </w:tcPr>
          <w:p>
            <w:pPr>
              <w:spacing w:after="0"/>
              <w:rPr>
                <w:sz w:val="1"/>
                <w:szCs w:val="1"/>
                <w:color w:val="auto"/>
              </w:rPr>
            </w:pP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liable to the Company or its stockholders for</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officers of the Company shall be eliminated or limited.</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monetary damages for breach of fiduciary duty as a</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Note that, under the NRS, this provision does not</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except (a) for any breach of the director’s duty</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exclude exculpation for breaches of duty of loyalty and</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loyalty to the corporation or its stockholders; (b) for</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covers both directors and officers.</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acts or omissions not in good faith or involving</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intentional misconduct or a knowing violation of law; (c)</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the payment of unlawful dividends, stock repurchases</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redemptions; or (d) for any transaction in which the</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280" w:type="dxa"/>
            <w:vAlign w:val="bottom"/>
            <w:tcBorders>
              <w:bottom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 received an improper personal benefit.</w:t>
            </w:r>
          </w:p>
        </w:tc>
        <w:tc>
          <w:tcPr>
            <w:tcW w:w="20" w:type="dxa"/>
            <w:vAlign w:val="bottom"/>
            <w:tcBorders>
              <w:bottom w:val="single" w:sz="8" w:color="02AE90"/>
            </w:tcBorders>
            <w:shd w:val="clear" w:color="auto" w:fill="02AE90"/>
          </w:tcPr>
          <w:p>
            <w:pPr>
              <w:spacing w:after="0"/>
              <w:rPr>
                <w:sz w:val="20"/>
                <w:szCs w:val="20"/>
                <w:color w:val="auto"/>
              </w:rPr>
            </w:pPr>
          </w:p>
        </w:tc>
        <w:tc>
          <w:tcPr>
            <w:tcW w:w="20" w:type="dxa"/>
            <w:vAlign w:val="bottom"/>
            <w:tcBorders>
              <w:bottom w:val="single" w:sz="8" w:color="02AE90"/>
            </w:tcBorders>
          </w:tcPr>
          <w:p>
            <w:pPr>
              <w:spacing w:after="0"/>
              <w:rPr>
                <w:sz w:val="20"/>
                <w:szCs w:val="20"/>
                <w:color w:val="auto"/>
              </w:rPr>
            </w:pPr>
          </w:p>
        </w:tc>
        <w:tc>
          <w:tcPr>
            <w:tcW w:w="50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40" w:type="dxa"/>
            <w:vAlign w:val="bottom"/>
            <w:tcBorders>
              <w:left w:val="single" w:sz="8" w:color="02AE90"/>
              <w:right w:val="single" w:sz="8" w:color="02AE90"/>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auto"/>
              </w:rPr>
              <w:t>Charter Regarding</w:t>
            </w:r>
          </w:p>
        </w:tc>
        <w:tc>
          <w:tcPr>
            <w:tcW w:w="428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The Delaware Charter does not specify whether an</w:t>
            </w:r>
          </w:p>
        </w:tc>
        <w:tc>
          <w:tcPr>
            <w:tcW w:w="20" w:type="dxa"/>
            <w:vAlign w:val="bottom"/>
            <w:shd w:val="clear" w:color="auto" w:fill="02AE90"/>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right w:val="single" w:sz="8" w:color="02AE90"/>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The Nevada Charter specifically provides that an indemnitee’s right</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Indemnitee’s Right</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indemnitee’s right to advanced payment of expenses</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to advance payment of expenses related to a proceeding is not</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 Advanced</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to a proceeding is subject to the satisfaction of</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subject to the satisfaction of any standard of conduct and is not</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Payment of</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standard of conduct nor is it conditioned upon any</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conditioned upon any prior determination that the indemnitee is</w:t>
            </w:r>
          </w:p>
        </w:tc>
        <w:tc>
          <w:tcPr>
            <w:tcW w:w="0" w:type="dxa"/>
            <w:vAlign w:val="bottom"/>
          </w:tcPr>
          <w:p>
            <w:pPr>
              <w:spacing w:after="0"/>
              <w:rPr>
                <w:sz w:val="1"/>
                <w:szCs w:val="1"/>
                <w:color w:val="auto"/>
              </w:rPr>
            </w:pP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determination that the indemnitee is entitled to</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entitled to indemnification with respect to the related proceeding or</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indemnification with respect to the related proceeding (or</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the absence of any prior determination to the contrary.</w:t>
            </w:r>
          </w:p>
        </w:tc>
        <w:tc>
          <w:tcPr>
            <w:tcW w:w="0" w:type="dxa"/>
            <w:vAlign w:val="bottom"/>
          </w:tcPr>
          <w:p>
            <w:pPr>
              <w:spacing w:after="0"/>
              <w:rPr>
                <w:sz w:val="1"/>
                <w:szCs w:val="1"/>
                <w:color w:val="auto"/>
              </w:rPr>
            </w:pP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280" w:type="dxa"/>
            <w:vAlign w:val="bottom"/>
            <w:tcBorders>
              <w:bottom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absence of any prior determination to the contrary).</w:t>
            </w:r>
          </w:p>
        </w:tc>
        <w:tc>
          <w:tcPr>
            <w:tcW w:w="20" w:type="dxa"/>
            <w:vAlign w:val="bottom"/>
            <w:tcBorders>
              <w:bottom w:val="single" w:sz="8" w:color="02AE90"/>
            </w:tcBorders>
            <w:shd w:val="clear" w:color="auto" w:fill="02AE90"/>
          </w:tcPr>
          <w:p>
            <w:pPr>
              <w:spacing w:after="0"/>
              <w:rPr>
                <w:sz w:val="20"/>
                <w:szCs w:val="20"/>
                <w:color w:val="auto"/>
              </w:rPr>
            </w:pPr>
          </w:p>
        </w:tc>
        <w:tc>
          <w:tcPr>
            <w:tcW w:w="20" w:type="dxa"/>
            <w:vAlign w:val="bottom"/>
            <w:tcBorders>
              <w:bottom w:val="single" w:sz="8" w:color="02AE90"/>
            </w:tcBorders>
          </w:tcPr>
          <w:p>
            <w:pPr>
              <w:spacing w:after="0"/>
              <w:rPr>
                <w:sz w:val="20"/>
                <w:szCs w:val="20"/>
                <w:color w:val="auto"/>
              </w:rPr>
            </w:pPr>
          </w:p>
        </w:tc>
        <w:tc>
          <w:tcPr>
            <w:tcW w:w="50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40" w:type="dxa"/>
            <w:vAlign w:val="bottom"/>
            <w:tcBorders>
              <w:left w:val="single" w:sz="8" w:color="02AE90"/>
              <w:right w:val="single" w:sz="8" w:color="02AE90"/>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auto"/>
              </w:rPr>
              <w:t>Charter Regarding</w:t>
            </w:r>
          </w:p>
        </w:tc>
        <w:tc>
          <w:tcPr>
            <w:tcW w:w="428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The Delaware Charter does not specify the form for</w:t>
            </w:r>
          </w:p>
        </w:tc>
        <w:tc>
          <w:tcPr>
            <w:tcW w:w="20" w:type="dxa"/>
            <w:vAlign w:val="bottom"/>
            <w:shd w:val="clear" w:color="auto" w:fill="02AE90"/>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right w:val="single" w:sz="8" w:color="02AE90"/>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Under the Nevada Charter, the Eighth Judicial District Court of</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Forum Adjudication</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adjudication of disputes.</w:t>
            </w: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Clark County, Nevada shall be the sole and exclusive forum for (1)</w:t>
            </w:r>
          </w:p>
        </w:tc>
        <w:tc>
          <w:tcPr>
            <w:tcW w:w="0" w:type="dxa"/>
            <w:vAlign w:val="bottom"/>
          </w:tcPr>
          <w:p>
            <w:pPr>
              <w:spacing w:after="0"/>
              <w:rPr>
                <w:sz w:val="1"/>
                <w:szCs w:val="1"/>
                <w:color w:val="auto"/>
              </w:rPr>
            </w:pP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 Disputes</w:t>
            </w: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any derivative action or proceeding brought on behalf of the</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Company, (2) any action asserting a claim of breach of a fiduciary</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duty owed by any director or officer of the Company to the</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Company or the Company’s stockholders, (3) any action asserting a</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claim against the Company arising pursuant to any provision of the</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NRS or the Nevada Charter or Nevada Bylaws, or (4) any action</w:t>
            </w:r>
          </w:p>
        </w:tc>
        <w:tc>
          <w:tcPr>
            <w:tcW w:w="0" w:type="dxa"/>
            <w:vAlign w:val="bottom"/>
          </w:tcPr>
          <w:p>
            <w:pPr>
              <w:spacing w:after="0"/>
              <w:rPr>
                <w:sz w:val="1"/>
                <w:szCs w:val="1"/>
                <w:color w:val="auto"/>
              </w:rPr>
            </w:pP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shd w:val="clear" w:color="auto" w:fill="02AE90"/>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asserting a claim against the Company governed by the internal</w:t>
            </w:r>
          </w:p>
        </w:tc>
        <w:tc>
          <w:tcPr>
            <w:tcW w:w="0" w:type="dxa"/>
            <w:vAlign w:val="bottom"/>
          </w:tcPr>
          <w:p>
            <w:pPr>
              <w:spacing w:after="0"/>
              <w:rPr>
                <w:sz w:val="1"/>
                <w:szCs w:val="1"/>
                <w:color w:val="auto"/>
              </w:rPr>
            </w:pP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280" w:type="dxa"/>
            <w:vAlign w:val="bottom"/>
            <w:tcBorders>
              <w:bottom w:val="single" w:sz="8" w:color="02AE90"/>
            </w:tcBorders>
          </w:tcPr>
          <w:p>
            <w:pPr>
              <w:spacing w:after="0"/>
              <w:rPr>
                <w:sz w:val="20"/>
                <w:szCs w:val="20"/>
                <w:color w:val="auto"/>
              </w:rPr>
            </w:pPr>
          </w:p>
        </w:tc>
        <w:tc>
          <w:tcPr>
            <w:tcW w:w="20" w:type="dxa"/>
            <w:vAlign w:val="bottom"/>
            <w:tcBorders>
              <w:bottom w:val="single" w:sz="8" w:color="02AE90"/>
            </w:tcBorders>
            <w:shd w:val="clear" w:color="auto" w:fill="02AE90"/>
          </w:tcPr>
          <w:p>
            <w:pPr>
              <w:spacing w:after="0"/>
              <w:rPr>
                <w:sz w:val="20"/>
                <w:szCs w:val="20"/>
                <w:color w:val="auto"/>
              </w:rPr>
            </w:pPr>
          </w:p>
        </w:tc>
        <w:tc>
          <w:tcPr>
            <w:tcW w:w="20" w:type="dxa"/>
            <w:vAlign w:val="bottom"/>
            <w:tcBorders>
              <w:bottom w:val="single" w:sz="8" w:color="02AE90"/>
            </w:tcBorders>
          </w:tcPr>
          <w:p>
            <w:pPr>
              <w:spacing w:after="0"/>
              <w:rPr>
                <w:sz w:val="20"/>
                <w:szCs w:val="20"/>
                <w:color w:val="auto"/>
              </w:rPr>
            </w:pPr>
          </w:p>
        </w:tc>
        <w:tc>
          <w:tcPr>
            <w:tcW w:w="5080" w:type="dxa"/>
            <w:vAlign w:val="bottom"/>
            <w:tcBorders>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affairs doctrine.</w:t>
            </w: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42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84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54"/>
        </w:trPr>
        <w:tc>
          <w:tcPr>
            <w:tcW w:w="1840" w:type="dxa"/>
            <w:vAlign w:val="bottom"/>
            <w:tcBorders>
              <w:left w:val="single" w:sz="8" w:color="02AE90"/>
              <w:right w:val="single" w:sz="8" w:color="02AE90"/>
            </w:tcBorders>
            <w:shd w:val="clear" w:color="auto" w:fill="02AE90"/>
          </w:tcPr>
          <w:p>
            <w:pPr>
              <w:ind w:left="600"/>
              <w:spacing w:after="0"/>
              <w:rPr>
                <w:sz w:val="20"/>
                <w:szCs w:val="20"/>
                <w:color w:val="auto"/>
              </w:rPr>
            </w:pPr>
            <w:r>
              <w:rPr>
                <w:rFonts w:ascii="Times New Roman" w:cs="Times New Roman" w:eastAsia="Times New Roman" w:hAnsi="Times New Roman"/>
                <w:sz w:val="18"/>
                <w:szCs w:val="18"/>
                <w:b w:val="1"/>
                <w:bCs w:val="1"/>
                <w:color w:val="FFFFFF"/>
              </w:rPr>
              <w:t>Provision</w:t>
            </w:r>
          </w:p>
        </w:tc>
        <w:tc>
          <w:tcPr>
            <w:tcW w:w="4300" w:type="dxa"/>
            <w:vAlign w:val="bottom"/>
            <w:tcBorders>
              <w:right w:val="single" w:sz="8" w:color="02AE90"/>
            </w:tcBorders>
            <w:shd w:val="clear" w:color="auto" w:fill="02AE90"/>
          </w:tcPr>
          <w:p>
            <w:pPr>
              <w:ind w:left="1800"/>
              <w:spacing w:after="0"/>
              <w:rPr>
                <w:sz w:val="20"/>
                <w:szCs w:val="20"/>
                <w:color w:val="auto"/>
              </w:rPr>
            </w:pPr>
            <w:r>
              <w:rPr>
                <w:rFonts w:ascii="Times New Roman" w:cs="Times New Roman" w:eastAsia="Times New Roman" w:hAnsi="Times New Roman"/>
                <w:sz w:val="18"/>
                <w:szCs w:val="18"/>
                <w:b w:val="1"/>
                <w:bCs w:val="1"/>
                <w:color w:val="FFFFFF"/>
              </w:rPr>
              <w:t>Delaware</w:t>
            </w:r>
          </w:p>
        </w:tc>
        <w:tc>
          <w:tcPr>
            <w:tcW w:w="5100" w:type="dxa"/>
            <w:vAlign w:val="bottom"/>
            <w:tcBorders>
              <w:right w:val="single" w:sz="8" w:color="02AE90"/>
            </w:tcBorders>
            <w:shd w:val="clear" w:color="auto" w:fill="02AE90"/>
          </w:tcPr>
          <w:p>
            <w:pPr>
              <w:ind w:left="2280"/>
              <w:spacing w:after="0"/>
              <w:rPr>
                <w:sz w:val="20"/>
                <w:szCs w:val="20"/>
                <w:color w:val="auto"/>
              </w:rPr>
            </w:pPr>
            <w:r>
              <w:rPr>
                <w:rFonts w:ascii="Times New Roman" w:cs="Times New Roman" w:eastAsia="Times New Roman" w:hAnsi="Times New Roman"/>
                <w:sz w:val="18"/>
                <w:szCs w:val="18"/>
                <w:b w:val="1"/>
                <w:bCs w:val="1"/>
                <w:color w:val="FFFFFF"/>
              </w:rPr>
              <w:t>Nevada</w:t>
            </w:r>
          </w:p>
        </w:tc>
      </w:tr>
      <w:tr>
        <w:trPr>
          <w:trHeight w:val="427"/>
        </w:trPr>
        <w:tc>
          <w:tcPr>
            <w:tcW w:w="1840" w:type="dxa"/>
            <w:vAlign w:val="bottom"/>
            <w:tcBorders>
              <w:left w:val="single" w:sz="8" w:color="02AE90"/>
              <w:bottom w:val="single" w:sz="8" w:color="02AE90"/>
              <w:right w:val="single" w:sz="8" w:color="02AE90"/>
            </w:tcBorders>
            <w:shd w:val="clear" w:color="auto" w:fill="02AE90"/>
          </w:tcPr>
          <w:p>
            <w:pPr>
              <w:spacing w:after="0"/>
              <w:rPr>
                <w:sz w:val="24"/>
                <w:szCs w:val="24"/>
                <w:color w:val="auto"/>
              </w:rPr>
            </w:pPr>
          </w:p>
        </w:tc>
        <w:tc>
          <w:tcPr>
            <w:tcW w:w="4300" w:type="dxa"/>
            <w:vAlign w:val="bottom"/>
            <w:tcBorders>
              <w:bottom w:val="single" w:sz="8" w:color="02AE90"/>
              <w:right w:val="single" w:sz="8" w:color="02AE90"/>
            </w:tcBorders>
            <w:shd w:val="clear" w:color="auto" w:fill="02AE90"/>
          </w:tcPr>
          <w:p>
            <w:pPr>
              <w:spacing w:after="0"/>
              <w:rPr>
                <w:sz w:val="24"/>
                <w:szCs w:val="24"/>
                <w:color w:val="auto"/>
              </w:rPr>
            </w:pPr>
          </w:p>
        </w:tc>
        <w:tc>
          <w:tcPr>
            <w:tcW w:w="5100" w:type="dxa"/>
            <w:vAlign w:val="bottom"/>
            <w:tcBorders>
              <w:bottom w:val="single" w:sz="8" w:color="02AE90"/>
              <w:right w:val="single" w:sz="8" w:color="02AE90"/>
            </w:tcBorders>
            <w:shd w:val="clear" w:color="auto" w:fill="02AE90"/>
          </w:tcPr>
          <w:p>
            <w:pPr>
              <w:spacing w:after="0"/>
              <w:rPr>
                <w:sz w:val="24"/>
                <w:szCs w:val="24"/>
                <w:color w:val="auto"/>
              </w:rPr>
            </w:pPr>
          </w:p>
        </w:tc>
      </w:tr>
      <w:tr>
        <w:trPr>
          <w:trHeight w:val="182"/>
        </w:trPr>
        <w:tc>
          <w:tcPr>
            <w:tcW w:w="1840" w:type="dxa"/>
            <w:vAlign w:val="bottom"/>
            <w:tcBorders>
              <w:left w:val="single" w:sz="8" w:color="02AE90"/>
              <w:right w:val="single" w:sz="8" w:color="02AE90"/>
            </w:tcBorders>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Under the DGCL, no proxy authorized by a stockholder</w:t>
            </w:r>
          </w:p>
        </w:tc>
        <w:tc>
          <w:tcPr>
            <w:tcW w:w="5100" w:type="dxa"/>
            <w:vAlign w:val="bottom"/>
            <w:tcBorders>
              <w:right w:val="single" w:sz="8" w:color="02AE90"/>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The Nevada Bylaws provide that no proxy shall be voted or acted</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Proxies</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shall be valid after three years from the date of its</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upon after six months from its date, unless the proxy provides for a</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execution unless the proxy provides for a longer period.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longer period, which may not exceed seven years. Under the NRS,</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proxies are valid for six months from the date of creation unless the</w:t>
            </w:r>
          </w:p>
        </w:tc>
      </w:tr>
      <w:tr>
        <w:trPr>
          <w:trHeight w:val="257"/>
        </w:trPr>
        <w:tc>
          <w:tcPr>
            <w:tcW w:w="1840" w:type="dxa"/>
            <w:vAlign w:val="bottom"/>
            <w:tcBorders>
              <w:left w:val="single" w:sz="8" w:color="02AE90"/>
              <w:bottom w:val="single" w:sz="8" w:color="02AE90"/>
              <w:right w:val="single" w:sz="8" w:color="02AE90"/>
            </w:tcBorders>
          </w:tcPr>
          <w:p>
            <w:pPr>
              <w:spacing w:after="0"/>
              <w:rPr>
                <w:sz w:val="22"/>
                <w:szCs w:val="22"/>
                <w:color w:val="auto"/>
              </w:rPr>
            </w:pPr>
          </w:p>
        </w:tc>
        <w:tc>
          <w:tcPr>
            <w:tcW w:w="4300" w:type="dxa"/>
            <w:vAlign w:val="bottom"/>
            <w:tcBorders>
              <w:bottom w:val="single" w:sz="8" w:color="02AE90"/>
              <w:right w:val="single" w:sz="8" w:color="02AE90"/>
            </w:tcBorders>
          </w:tcPr>
          <w:p>
            <w:pPr>
              <w:spacing w:after="0"/>
              <w:rPr>
                <w:sz w:val="22"/>
                <w:szCs w:val="22"/>
                <w:color w:val="auto"/>
              </w:rPr>
            </w:pP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proxy provides for a longer period of up to seven years.</w:t>
            </w:r>
          </w:p>
        </w:tc>
      </w:tr>
      <w:tr>
        <w:trPr>
          <w:trHeight w:val="185"/>
        </w:trPr>
        <w:tc>
          <w:tcPr>
            <w:tcW w:w="1840" w:type="dxa"/>
            <w:vAlign w:val="bottom"/>
            <w:tcBorders>
              <w:left w:val="single" w:sz="8" w:color="02AE90"/>
              <w:right w:val="single" w:sz="8" w:color="02AE90"/>
            </w:tcBorders>
          </w:tcPr>
          <w:p>
            <w:pPr>
              <w:ind w:left="160"/>
              <w:spacing w:after="0" w:line="185" w:lineRule="exact"/>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line="185" w:lineRule="exact"/>
              <w:rPr>
                <w:sz w:val="20"/>
                <w:szCs w:val="20"/>
                <w:color w:val="auto"/>
              </w:rPr>
            </w:pPr>
            <w:r>
              <w:rPr>
                <w:rFonts w:ascii="Times New Roman" w:cs="Times New Roman" w:eastAsia="Times New Roman" w:hAnsi="Times New Roman"/>
                <w:sz w:val="18"/>
                <w:szCs w:val="18"/>
                <w:color w:val="auto"/>
              </w:rPr>
              <w:t>The Delaware Bylaws provide that any director or the</w:t>
            </w:r>
          </w:p>
        </w:tc>
        <w:tc>
          <w:tcPr>
            <w:tcW w:w="5100" w:type="dxa"/>
            <w:vAlign w:val="bottom"/>
            <w:tcBorders>
              <w:right w:val="single" w:sz="8" w:color="02AE90"/>
            </w:tcBorders>
          </w:tcPr>
          <w:p>
            <w:pPr>
              <w:ind w:left="120"/>
              <w:spacing w:after="0" w:line="185" w:lineRule="exact"/>
              <w:rPr>
                <w:sz w:val="20"/>
                <w:szCs w:val="20"/>
                <w:color w:val="auto"/>
              </w:rPr>
            </w:pPr>
            <w:r>
              <w:rPr>
                <w:rFonts w:ascii="Times New Roman" w:cs="Times New Roman" w:eastAsia="Times New Roman" w:hAnsi="Times New Roman"/>
                <w:sz w:val="18"/>
                <w:szCs w:val="18"/>
                <w:color w:val="auto"/>
              </w:rPr>
              <w:t>The Nevada Bylaws provide that any director or the entire Board</w:t>
            </w: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Removal of</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entire Board of Directors may at any time be removed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may at any time be removed effective immediately, with or without</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effective immediately, with or without cause, by the vote,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cause, by the vote, either in person or represented by proxy, of not</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either in person or represented by proxy, of a majority of</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less than two-thirds of the voting power of the issued and</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voting power of shares of stock issued and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outstanding shares of stock of the class or classes that elected such</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outstanding of the class or classes that elected such</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 and entitled to vote at a special meeting held for such</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 and entitled to vote at a special meeting held for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purpose or by the written consent of not less than two-thirds of the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such purpose or by the written consent of a majority of</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voting power of the issued and outstanding shares of stock of the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voting power of shares of stock issued and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class or classes that elected such director, which is the lowest</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outstanding of the class or classes that elected such</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permitted voting threshold for director removal permitted under the</w:t>
            </w:r>
          </w:p>
        </w:tc>
      </w:tr>
      <w:tr>
        <w:trPr>
          <w:trHeight w:val="232"/>
        </w:trPr>
        <w:tc>
          <w:tcPr>
            <w:tcW w:w="1840" w:type="dxa"/>
            <w:vAlign w:val="bottom"/>
            <w:tcBorders>
              <w:left w:val="single" w:sz="8" w:color="02AE90"/>
              <w:right w:val="single" w:sz="8" w:color="02AE90"/>
            </w:tcBorders>
          </w:tcPr>
          <w:p>
            <w:pPr>
              <w:spacing w:after="0"/>
              <w:rPr>
                <w:sz w:val="20"/>
                <w:szCs w:val="20"/>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NRS.</w:t>
            </w:r>
          </w:p>
        </w:tc>
      </w:tr>
      <w:tr>
        <w:trPr>
          <w:trHeight w:val="225"/>
        </w:trPr>
        <w:tc>
          <w:tcPr>
            <w:tcW w:w="1840" w:type="dxa"/>
            <w:vAlign w:val="bottom"/>
            <w:tcBorders>
              <w:left w:val="single" w:sz="8" w:color="02AE90"/>
              <w:bottom w:val="single" w:sz="8" w:color="02AE90"/>
              <w:right w:val="single" w:sz="8" w:color="02AE90"/>
            </w:tcBorders>
          </w:tcPr>
          <w:p>
            <w:pPr>
              <w:spacing w:after="0"/>
              <w:rPr>
                <w:sz w:val="19"/>
                <w:szCs w:val="19"/>
                <w:color w:val="auto"/>
              </w:rPr>
            </w:pPr>
          </w:p>
        </w:tc>
        <w:tc>
          <w:tcPr>
            <w:tcW w:w="4300" w:type="dxa"/>
            <w:vAlign w:val="bottom"/>
            <w:tcBorders>
              <w:bottom w:val="single" w:sz="8" w:color="02AE90"/>
              <w:right w:val="single" w:sz="8" w:color="02AE90"/>
            </w:tcBorders>
          </w:tcPr>
          <w:p>
            <w:pPr>
              <w:spacing w:after="0"/>
              <w:rPr>
                <w:sz w:val="19"/>
                <w:szCs w:val="19"/>
                <w:color w:val="auto"/>
              </w:rPr>
            </w:pPr>
          </w:p>
        </w:tc>
        <w:tc>
          <w:tcPr>
            <w:tcW w:w="5100" w:type="dxa"/>
            <w:vAlign w:val="bottom"/>
            <w:tcBorders>
              <w:bottom w:val="single" w:sz="8" w:color="02AE90"/>
              <w:right w:val="single" w:sz="8" w:color="02AE90"/>
            </w:tcBorders>
          </w:tcPr>
          <w:p>
            <w:pPr>
              <w:spacing w:after="0"/>
              <w:rPr>
                <w:sz w:val="19"/>
                <w:szCs w:val="19"/>
                <w:color w:val="auto"/>
              </w:rPr>
            </w:pPr>
          </w:p>
        </w:tc>
      </w:tr>
      <w:tr>
        <w:trPr>
          <w:trHeight w:val="199"/>
        </w:trPr>
        <w:tc>
          <w:tcPr>
            <w:tcW w:w="1840" w:type="dxa"/>
            <w:vAlign w:val="bottom"/>
            <w:tcBorders>
              <w:left w:val="single" w:sz="8" w:color="02AE90"/>
              <w:right w:val="single" w:sz="8" w:color="02AE90"/>
            </w:tcBorders>
          </w:tcPr>
          <w:p>
            <w:pPr>
              <w:ind w:left="160"/>
              <w:spacing w:after="0" w:line="199" w:lineRule="exact"/>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The DGCL does not have a statutory requirement with</w:t>
            </w:r>
          </w:p>
        </w:tc>
        <w:tc>
          <w:tcPr>
            <w:tcW w:w="5100" w:type="dxa"/>
            <w:vAlign w:val="bottom"/>
            <w:tcBorders>
              <w:right w:val="single" w:sz="8" w:color="02AE90"/>
            </w:tcBorders>
          </w:tcPr>
          <w:p>
            <w:pPr>
              <w:ind w:left="120"/>
              <w:spacing w:after="0" w:line="199" w:lineRule="exact"/>
              <w:rPr>
                <w:sz w:val="20"/>
                <w:szCs w:val="20"/>
                <w:color w:val="auto"/>
              </w:rPr>
            </w:pPr>
            <w:r>
              <w:rPr>
                <w:rFonts w:ascii="Times New Roman" w:cs="Times New Roman" w:eastAsia="Times New Roman" w:hAnsi="Times New Roman"/>
                <w:sz w:val="18"/>
                <w:szCs w:val="18"/>
                <w:color w:val="auto"/>
              </w:rPr>
              <w:t>The NRS does not have any statutory advance notice requirements</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Advance Notice</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regard to advance notice procedures required of</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but a Nevada corporation is permitted to set forth such requirements</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stockholders in order to properly bring business or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in its bylaws; the Nevada Bylaws establish advance notice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 nominations before a meeting of stockholders,</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procedures for stockholder proposals and the nomination, other than</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but a corporation is permitted to include such</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by or at the direction of the Board, of candidates for election as</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requirements in its bylaws; however, the Delaware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directors. These procedures generally provide that the notice of</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Charter does not provide for any such advance notice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stockholder proposals and stockholder nominations for the election</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requirements that stockholders must satisfy.</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of directors at an annual meeting must be in writing and received by</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our secretary at least 90 days but not more than 120 days prior to the</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spacing w:after="0"/>
              <w:rPr>
                <w:sz w:val="20"/>
                <w:szCs w:val="20"/>
                <w:color w:val="auto"/>
              </w:rPr>
            </w:pP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first anniversary of our preceding year’s annual meeting.</w:t>
            </w:r>
          </w:p>
        </w:tc>
      </w:tr>
      <w:tr>
        <w:trPr>
          <w:trHeight w:val="44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annual meeting of stockholders for the election of</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annual meeting of stockholders for the election of directors and</w:t>
            </w: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Annual Meetings of</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directors and for the transaction of such other business as</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 the transaction of such other business as may properly come</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may properly come before the meeting shall be held at</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before the meeting shall be held at such time and date as shall be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such time and date as shall be designated from time to</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designated from time to time by the Board, the Chief Executive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time by the Board.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Officer or the Chairman of the Board and stated in the Company’s</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spacing w:after="0"/>
              <w:rPr>
                <w:sz w:val="20"/>
                <w:szCs w:val="20"/>
                <w:color w:val="auto"/>
              </w:rPr>
            </w:pP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notice of the meeting.</w:t>
            </w:r>
          </w:p>
        </w:tc>
      </w:tr>
      <w:tr>
        <w:trPr>
          <w:trHeight w:val="44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Delaware Bylaws provide that a majority of the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Nevada Bylaws provide that a majority of the voting power of</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voting power of all issued and outstanding shares of the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all issued and outstanding shares of the Company’s capital stock</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Company’s capital stock entitled to vote thereat, present</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entitled to vote thereat, present in person or represented by proxy,</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in person or represented by proxy, constitutes a quorum</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constitutes a quorum for the transaction of business.</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 the transaction of business.</w:t>
            </w:r>
          </w:p>
        </w:tc>
        <w:tc>
          <w:tcPr>
            <w:tcW w:w="5100" w:type="dxa"/>
            <w:vAlign w:val="bottom"/>
            <w:tcBorders>
              <w:bottom w:val="single" w:sz="8" w:color="02AE90"/>
              <w:right w:val="single" w:sz="8" w:color="02AE90"/>
            </w:tcBorders>
          </w:tcPr>
          <w:p>
            <w:pPr>
              <w:spacing w:after="0"/>
              <w:rPr>
                <w:sz w:val="20"/>
                <w:szCs w:val="20"/>
                <w:color w:val="auto"/>
              </w:rPr>
            </w:pPr>
          </w:p>
        </w:tc>
      </w:tr>
      <w:tr>
        <w:trPr>
          <w:trHeight w:val="44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meetings of the stockholders shall be presided over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meetings of the stockholders shall be presided over by the</w:t>
            </w: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Conduct of</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by the Chairman of the Board, or if he or she is not</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Chairman of the Board, or if he or she is not present, by the Chief</w:t>
            </w:r>
          </w:p>
        </w:tc>
      </w:tr>
      <w:tr>
        <w:trPr>
          <w:trHeight w:val="212"/>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present, by the Chief Executive Officer, or if neither the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Executive Officer, or if he or she is not present, by the President, or</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Chairman of the Board, nor the Chief Executive Officer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if none of the Chairman of the Board, the Chief Executive Officer or</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is present, by a chairman elected by a resolution adopted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President is present, by a chairman elected by a resolution</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by the majority of the Board. The order of business at all</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adopted by the majority of the Board. The Secretary will act as</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meetings of stockholders shall be as determined by the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secretary of the meeting, but in the Secretary’s absence, and the</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chairman of the meeting.</w:t>
            </w: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absence of any Assistant Secretary, the chairman</w:t>
            </w:r>
          </w:p>
        </w:tc>
      </w:tr>
      <w:tr>
        <w:trPr>
          <w:trHeight w:val="319"/>
        </w:trPr>
        <w:tc>
          <w:tcPr>
            <w:tcW w:w="1840" w:type="dxa"/>
            <w:vAlign w:val="bottom"/>
          </w:tcPr>
          <w:p>
            <w:pPr>
              <w:spacing w:after="0"/>
              <w:rPr>
                <w:sz w:val="24"/>
                <w:szCs w:val="24"/>
                <w:color w:val="auto"/>
              </w:rPr>
            </w:pPr>
          </w:p>
        </w:tc>
        <w:tc>
          <w:tcPr>
            <w:tcW w:w="43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32</w:t>
            </w:r>
          </w:p>
        </w:tc>
        <w:tc>
          <w:tcPr>
            <w:tcW w:w="5100" w:type="dxa"/>
            <w:vAlign w:val="bottom"/>
          </w:tcPr>
          <w:p>
            <w:pPr>
              <w:spacing w:after="0"/>
              <w:rPr>
                <w:sz w:val="24"/>
                <w:szCs w:val="24"/>
                <w:color w:val="auto"/>
              </w:rPr>
            </w:pPr>
          </w:p>
        </w:tc>
      </w:tr>
      <w:tr>
        <w:trPr>
          <w:trHeight w:val="112"/>
        </w:trPr>
        <w:tc>
          <w:tcPr>
            <w:tcW w:w="184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1353820</wp:posOffset>
            </wp:positionH>
            <wp:positionV relativeFrom="page">
              <wp:posOffset>88900</wp:posOffset>
            </wp:positionV>
            <wp:extent cx="8255" cy="421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page">
              <wp:posOffset>4095115</wp:posOffset>
            </wp:positionH>
            <wp:positionV relativeFrom="page">
              <wp:posOffset>88900</wp:posOffset>
            </wp:positionV>
            <wp:extent cx="8255" cy="421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page">
              <wp:posOffset>7332980</wp:posOffset>
            </wp:positionH>
            <wp:positionV relativeFrom="page">
              <wp:posOffset>88900</wp:posOffset>
            </wp:positionV>
            <wp:extent cx="8255" cy="421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54"/>
        </w:trPr>
        <w:tc>
          <w:tcPr>
            <w:tcW w:w="1840" w:type="dxa"/>
            <w:vAlign w:val="bottom"/>
            <w:tcBorders>
              <w:left w:val="single" w:sz="8" w:color="02AE90"/>
              <w:right w:val="single" w:sz="8" w:color="02AE90"/>
            </w:tcBorders>
            <w:shd w:val="clear" w:color="auto" w:fill="02AE90"/>
          </w:tcPr>
          <w:p>
            <w:pPr>
              <w:ind w:left="600"/>
              <w:spacing w:after="0"/>
              <w:rPr>
                <w:sz w:val="20"/>
                <w:szCs w:val="20"/>
                <w:color w:val="auto"/>
              </w:rPr>
            </w:pPr>
            <w:r>
              <w:rPr>
                <w:rFonts w:ascii="Times New Roman" w:cs="Times New Roman" w:eastAsia="Times New Roman" w:hAnsi="Times New Roman"/>
                <w:sz w:val="18"/>
                <w:szCs w:val="18"/>
                <w:b w:val="1"/>
                <w:bCs w:val="1"/>
                <w:color w:val="FFFFFF"/>
              </w:rPr>
              <w:t>Provision</w:t>
            </w:r>
          </w:p>
        </w:tc>
        <w:tc>
          <w:tcPr>
            <w:tcW w:w="4300" w:type="dxa"/>
            <w:vAlign w:val="bottom"/>
            <w:tcBorders>
              <w:right w:val="single" w:sz="8" w:color="02AE90"/>
            </w:tcBorders>
            <w:shd w:val="clear" w:color="auto" w:fill="02AE90"/>
          </w:tcPr>
          <w:p>
            <w:pPr>
              <w:ind w:left="1800"/>
              <w:spacing w:after="0"/>
              <w:rPr>
                <w:sz w:val="20"/>
                <w:szCs w:val="20"/>
                <w:color w:val="auto"/>
              </w:rPr>
            </w:pPr>
            <w:r>
              <w:rPr>
                <w:rFonts w:ascii="Times New Roman" w:cs="Times New Roman" w:eastAsia="Times New Roman" w:hAnsi="Times New Roman"/>
                <w:sz w:val="18"/>
                <w:szCs w:val="18"/>
                <w:b w:val="1"/>
                <w:bCs w:val="1"/>
                <w:color w:val="FFFFFF"/>
              </w:rPr>
              <w:t>Delaware</w:t>
            </w:r>
          </w:p>
        </w:tc>
        <w:tc>
          <w:tcPr>
            <w:tcW w:w="5100" w:type="dxa"/>
            <w:vAlign w:val="bottom"/>
            <w:tcBorders>
              <w:right w:val="single" w:sz="8" w:color="02AE90"/>
            </w:tcBorders>
            <w:shd w:val="clear" w:color="auto" w:fill="02AE90"/>
          </w:tcPr>
          <w:p>
            <w:pPr>
              <w:ind w:left="2280"/>
              <w:spacing w:after="0"/>
              <w:rPr>
                <w:sz w:val="20"/>
                <w:szCs w:val="20"/>
                <w:color w:val="auto"/>
              </w:rPr>
            </w:pPr>
            <w:r>
              <w:rPr>
                <w:rFonts w:ascii="Times New Roman" w:cs="Times New Roman" w:eastAsia="Times New Roman" w:hAnsi="Times New Roman"/>
                <w:sz w:val="18"/>
                <w:szCs w:val="18"/>
                <w:b w:val="1"/>
                <w:bCs w:val="1"/>
                <w:color w:val="FFFFFF"/>
              </w:rPr>
              <w:t>Nevada</w:t>
            </w:r>
          </w:p>
        </w:tc>
      </w:tr>
      <w:tr>
        <w:trPr>
          <w:trHeight w:val="410"/>
        </w:trPr>
        <w:tc>
          <w:tcPr>
            <w:tcW w:w="1840" w:type="dxa"/>
            <w:vAlign w:val="bottom"/>
            <w:tcBorders>
              <w:left w:val="single" w:sz="8" w:color="02AE90"/>
              <w:right w:val="single" w:sz="8" w:color="02AE90"/>
            </w:tcBorders>
            <w:shd w:val="clear" w:color="auto" w:fill="02AE90"/>
          </w:tcPr>
          <w:p>
            <w:pPr>
              <w:spacing w:after="0"/>
              <w:rPr>
                <w:sz w:val="24"/>
                <w:szCs w:val="24"/>
                <w:color w:val="auto"/>
              </w:rPr>
            </w:pPr>
          </w:p>
        </w:tc>
        <w:tc>
          <w:tcPr>
            <w:tcW w:w="4300" w:type="dxa"/>
            <w:vAlign w:val="bottom"/>
            <w:tcBorders>
              <w:right w:val="single" w:sz="8" w:color="02AE90"/>
            </w:tcBorders>
            <w:shd w:val="clear" w:color="auto" w:fill="02AE90"/>
          </w:tcPr>
          <w:p>
            <w:pPr>
              <w:spacing w:after="0"/>
              <w:rPr>
                <w:sz w:val="24"/>
                <w:szCs w:val="24"/>
                <w:color w:val="auto"/>
              </w:rPr>
            </w:pPr>
          </w:p>
        </w:tc>
        <w:tc>
          <w:tcPr>
            <w:tcW w:w="5100" w:type="dxa"/>
            <w:vAlign w:val="bottom"/>
            <w:tcBorders>
              <w:right w:val="single" w:sz="8" w:color="02AE90"/>
            </w:tcBorders>
            <w:shd w:val="clear" w:color="auto" w:fill="02AE90"/>
          </w:tcPr>
          <w:p>
            <w:pPr>
              <w:spacing w:after="0"/>
              <w:rPr>
                <w:sz w:val="24"/>
                <w:szCs w:val="24"/>
                <w:color w:val="auto"/>
              </w:rPr>
            </w:pPr>
          </w:p>
        </w:tc>
      </w:tr>
      <w:tr>
        <w:trPr>
          <w:trHeight w:val="207"/>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of the meeting may appoint any person to act as secretary of the</w:t>
            </w:r>
          </w:p>
        </w:tc>
      </w:tr>
      <w:tr>
        <w:trPr>
          <w:trHeight w:val="232"/>
        </w:trPr>
        <w:tc>
          <w:tcPr>
            <w:tcW w:w="1840" w:type="dxa"/>
            <w:vAlign w:val="bottom"/>
            <w:tcBorders>
              <w:left w:val="single" w:sz="8" w:color="02AE90"/>
              <w:right w:val="single" w:sz="8" w:color="02AE90"/>
            </w:tcBorders>
          </w:tcPr>
          <w:p>
            <w:pPr>
              <w:spacing w:after="0"/>
              <w:rPr>
                <w:sz w:val="20"/>
                <w:szCs w:val="20"/>
                <w:color w:val="auto"/>
              </w:rPr>
            </w:pPr>
          </w:p>
        </w:tc>
        <w:tc>
          <w:tcPr>
            <w:tcW w:w="4300" w:type="dxa"/>
            <w:vAlign w:val="bottom"/>
            <w:tcBorders>
              <w:right w:val="single" w:sz="8" w:color="02AE90"/>
            </w:tcBorders>
          </w:tcPr>
          <w:p>
            <w:pPr>
              <w:spacing w:after="0"/>
              <w:rPr>
                <w:sz w:val="20"/>
                <w:szCs w:val="20"/>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meeting.</w:t>
            </w:r>
          </w:p>
        </w:tc>
      </w:tr>
      <w:tr>
        <w:trPr>
          <w:trHeight w:val="406"/>
        </w:trPr>
        <w:tc>
          <w:tcPr>
            <w:tcW w:w="1840" w:type="dxa"/>
            <w:vAlign w:val="bottom"/>
            <w:tcBorders>
              <w:left w:val="single" w:sz="8" w:color="02AE90"/>
              <w:right w:val="single" w:sz="8" w:color="02AE90"/>
            </w:tcBorders>
          </w:tcPr>
          <w:p>
            <w:pPr>
              <w:spacing w:after="0"/>
              <w:rPr>
                <w:sz w:val="24"/>
                <w:szCs w:val="24"/>
                <w:color w:val="auto"/>
              </w:rPr>
            </w:pPr>
          </w:p>
        </w:tc>
        <w:tc>
          <w:tcPr>
            <w:tcW w:w="4300" w:type="dxa"/>
            <w:vAlign w:val="bottom"/>
            <w:tcBorders>
              <w:right w:val="single" w:sz="8" w:color="02AE90"/>
            </w:tcBorders>
          </w:tcPr>
          <w:p>
            <w:pPr>
              <w:spacing w:after="0"/>
              <w:rPr>
                <w:sz w:val="24"/>
                <w:szCs w:val="24"/>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Board may adopt by resolution guidelines and procedures as it</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may deem appropriate for the conduct of any meeting of</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stockholders, including guidelines on stockholder participation by</w:t>
            </w:r>
          </w:p>
        </w:tc>
      </w:tr>
      <w:tr>
        <w:trPr>
          <w:trHeight w:val="232"/>
        </w:trPr>
        <w:tc>
          <w:tcPr>
            <w:tcW w:w="1840" w:type="dxa"/>
            <w:vAlign w:val="bottom"/>
            <w:tcBorders>
              <w:left w:val="single" w:sz="8" w:color="02AE90"/>
              <w:right w:val="single" w:sz="8" w:color="02AE90"/>
            </w:tcBorders>
          </w:tcPr>
          <w:p>
            <w:pPr>
              <w:spacing w:after="0"/>
              <w:rPr>
                <w:sz w:val="20"/>
                <w:szCs w:val="20"/>
                <w:color w:val="auto"/>
              </w:rPr>
            </w:pPr>
          </w:p>
        </w:tc>
        <w:tc>
          <w:tcPr>
            <w:tcW w:w="4300" w:type="dxa"/>
            <w:vAlign w:val="bottom"/>
            <w:tcBorders>
              <w:right w:val="single" w:sz="8" w:color="02AE90"/>
            </w:tcBorders>
          </w:tcPr>
          <w:p>
            <w:pPr>
              <w:spacing w:after="0"/>
              <w:rPr>
                <w:sz w:val="20"/>
                <w:szCs w:val="20"/>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remote communication.</w:t>
            </w:r>
          </w:p>
        </w:tc>
      </w:tr>
      <w:tr>
        <w:trPr>
          <w:trHeight w:val="406"/>
        </w:trPr>
        <w:tc>
          <w:tcPr>
            <w:tcW w:w="1840" w:type="dxa"/>
            <w:vAlign w:val="bottom"/>
            <w:tcBorders>
              <w:left w:val="single" w:sz="8" w:color="02AE90"/>
              <w:right w:val="single" w:sz="8" w:color="02AE90"/>
            </w:tcBorders>
          </w:tcPr>
          <w:p>
            <w:pPr>
              <w:spacing w:after="0"/>
              <w:rPr>
                <w:sz w:val="24"/>
                <w:szCs w:val="24"/>
                <w:color w:val="auto"/>
              </w:rPr>
            </w:pPr>
          </w:p>
        </w:tc>
        <w:tc>
          <w:tcPr>
            <w:tcW w:w="4300" w:type="dxa"/>
            <w:vAlign w:val="bottom"/>
            <w:tcBorders>
              <w:right w:val="single" w:sz="8" w:color="02AE90"/>
            </w:tcBorders>
          </w:tcPr>
          <w:p>
            <w:pPr>
              <w:spacing w:after="0"/>
              <w:rPr>
                <w:sz w:val="24"/>
                <w:szCs w:val="24"/>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chairman of any meeting of stockholders shall have the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authority to convene, recess and/or adjourn the meeting, to prescribe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such rules, regulations and procedures and to do all such acts as are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appropriate for the proper conduct of the meeting. The chairman, in</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addition to making any other determinations that may be appropriate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to the conduct of the meeting, shall determine whether a matter or</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spacing w:after="0"/>
              <w:rPr>
                <w:sz w:val="20"/>
                <w:szCs w:val="20"/>
                <w:color w:val="auto"/>
              </w:rPr>
            </w:pP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business was not properly brought before the meeting.</w:t>
            </w:r>
          </w:p>
        </w:tc>
      </w:tr>
      <w:tr>
        <w:trPr>
          <w:trHeight w:val="44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Bylaws Regarding</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officers of the Company shall be chosen by the</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officers of the Company shall be chosen by the Board and shall</w:t>
            </w:r>
          </w:p>
        </w:tc>
      </w:tr>
      <w:tr>
        <w:trPr>
          <w:trHeight w:val="214"/>
        </w:trPr>
        <w:tc>
          <w:tcPr>
            <w:tcW w:w="1840" w:type="dxa"/>
            <w:vAlign w:val="bottom"/>
            <w:tcBorders>
              <w:left w:val="single" w:sz="8" w:color="02AE90"/>
              <w:right w:val="single" w:sz="8" w:color="02AE9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Board and shall consist of a Chairman of the Board,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include a President, a Chief Financial Officer, and a Secretary or</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President, a Secretary, a Treasurer and such other officers</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their equivalents. The Board, in its discretion, may also appoint such</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and agents as may be deemed necessary by the Board.</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additional officers as the Board may deem necessary or desirable,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Chairman shall appoint the Chief Executive Officer.</w:t>
            </w: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including a Treasurer, one or more Vice Presidents, one or more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w w:val="99"/>
              </w:rPr>
              <w:t>Assistant Vice Presidents, one or more Assistant Secretaries, and one</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or more Assistant Treasurers, each of whom shall hold office for</w:t>
            </w:r>
          </w:p>
        </w:tc>
      </w:tr>
      <w:tr>
        <w:trPr>
          <w:trHeight w:val="212"/>
        </w:trPr>
        <w:tc>
          <w:tcPr>
            <w:tcW w:w="1840" w:type="dxa"/>
            <w:vAlign w:val="bottom"/>
            <w:tcBorders>
              <w:left w:val="single" w:sz="8" w:color="02AE90"/>
              <w:right w:val="single" w:sz="8" w:color="02AE90"/>
            </w:tcBorders>
          </w:tcPr>
          <w:p>
            <w:pPr>
              <w:spacing w:after="0"/>
              <w:rPr>
                <w:sz w:val="18"/>
                <w:szCs w:val="18"/>
                <w:color w:val="auto"/>
              </w:rPr>
            </w:pPr>
          </w:p>
        </w:tc>
        <w:tc>
          <w:tcPr>
            <w:tcW w:w="4300" w:type="dxa"/>
            <w:vAlign w:val="bottom"/>
            <w:tcBorders>
              <w:right w:val="single" w:sz="8" w:color="02AE90"/>
            </w:tcBorders>
          </w:tcPr>
          <w:p>
            <w:pPr>
              <w:spacing w:after="0"/>
              <w:rPr>
                <w:sz w:val="18"/>
                <w:szCs w:val="18"/>
                <w:color w:val="auto"/>
              </w:rPr>
            </w:pPr>
          </w:p>
        </w:tc>
        <w:tc>
          <w:tcPr>
            <w:tcW w:w="5100" w:type="dxa"/>
            <w:vAlign w:val="bottom"/>
            <w:tcBorders>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such period, have such authority and perform such duties as the</w:t>
            </w:r>
          </w:p>
        </w:tc>
      </w:tr>
      <w:tr>
        <w:trPr>
          <w:trHeight w:val="238"/>
        </w:trPr>
        <w:tc>
          <w:tcPr>
            <w:tcW w:w="1840" w:type="dxa"/>
            <w:vAlign w:val="bottom"/>
            <w:tcBorders>
              <w:left w:val="single" w:sz="8" w:color="02AE90"/>
              <w:bottom w:val="single" w:sz="8" w:color="02AE90"/>
              <w:right w:val="single" w:sz="8" w:color="02AE90"/>
            </w:tcBorders>
          </w:tcPr>
          <w:p>
            <w:pPr>
              <w:spacing w:after="0"/>
              <w:rPr>
                <w:sz w:val="20"/>
                <w:szCs w:val="20"/>
                <w:color w:val="auto"/>
              </w:rPr>
            </w:pPr>
          </w:p>
        </w:tc>
        <w:tc>
          <w:tcPr>
            <w:tcW w:w="4300" w:type="dxa"/>
            <w:vAlign w:val="bottom"/>
            <w:tcBorders>
              <w:bottom w:val="single" w:sz="8" w:color="02AE90"/>
              <w:right w:val="single" w:sz="8" w:color="02AE90"/>
            </w:tcBorders>
          </w:tcPr>
          <w:p>
            <w:pPr>
              <w:spacing w:after="0"/>
              <w:rPr>
                <w:sz w:val="20"/>
                <w:szCs w:val="20"/>
                <w:color w:val="auto"/>
              </w:rPr>
            </w:pPr>
          </w:p>
        </w:tc>
        <w:tc>
          <w:tcPr>
            <w:tcW w:w="5100" w:type="dxa"/>
            <w:vAlign w:val="bottom"/>
            <w:tcBorders>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Board may from time to time determine.</w:t>
            </w:r>
          </w:p>
        </w:tc>
      </w:tr>
      <w:tr>
        <w:trPr>
          <w:trHeight w:val="425"/>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Stockholder Rights under Delaware and Nevada Law</w:t>
            </w:r>
          </w:p>
        </w:tc>
        <w:tc>
          <w:tcPr>
            <w:tcW w:w="5100" w:type="dxa"/>
            <w:vAlign w:val="bottom"/>
          </w:tcPr>
          <w:p>
            <w:pPr>
              <w:spacing w:after="0"/>
              <w:rPr>
                <w:sz w:val="24"/>
                <w:szCs w:val="24"/>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1353820</wp:posOffset>
            </wp:positionH>
            <wp:positionV relativeFrom="page">
              <wp:posOffset>88900</wp:posOffset>
            </wp:positionV>
            <wp:extent cx="8255" cy="421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page">
              <wp:posOffset>4095115</wp:posOffset>
            </wp:positionH>
            <wp:positionV relativeFrom="page">
              <wp:posOffset>88900</wp:posOffset>
            </wp:positionV>
            <wp:extent cx="8255" cy="421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421640"/>
                    </a:xfrm>
                    <a:prstGeom prst="rect">
                      <a:avLst/>
                    </a:prstGeom>
                    <a:noFill/>
                  </pic:spPr>
                </pic:pic>
              </a:graphicData>
            </a:graphic>
          </wp:anchor>
        </w:drawing>
        <w:drawing>
          <wp:anchor simplePos="0" relativeHeight="251657728" behindDoc="1" locked="0" layoutInCell="0" allowOverlap="1">
            <wp:simplePos x="0" y="0"/>
            <wp:positionH relativeFrom="page">
              <wp:posOffset>7332980</wp:posOffset>
            </wp:positionH>
            <wp:positionV relativeFrom="page">
              <wp:posOffset>88900</wp:posOffset>
            </wp:positionV>
            <wp:extent cx="8255" cy="421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421640"/>
                    </a:xfrm>
                    <a:prstGeom prst="rect">
                      <a:avLst/>
                    </a:prstGeom>
                    <a:noFill/>
                  </pic:spPr>
                </pic:pic>
              </a:graphicData>
            </a:graphic>
          </wp:anchor>
        </w:drawing>
      </w:r>
    </w:p>
    <w:p>
      <w:pPr>
        <w:jc w:val="both"/>
        <w:ind w:firstLine="721"/>
        <w:spacing w:after="0" w:line="275" w:lineRule="auto"/>
        <w:rPr>
          <w:sz w:val="20"/>
          <w:szCs w:val="20"/>
          <w:color w:val="auto"/>
        </w:rPr>
      </w:pPr>
      <w:r>
        <w:rPr>
          <w:rFonts w:ascii="Times New Roman" w:cs="Times New Roman" w:eastAsia="Times New Roman" w:hAnsi="Times New Roman"/>
          <w:sz w:val="18"/>
          <w:szCs w:val="18"/>
          <w:color w:val="auto"/>
        </w:rPr>
        <w:t>The rights of our stockholders are currently governed by the DGCL, the Delaware Charter and the Delaware Bylaws. Following completion of the Redomestication, the rights of our stockholders will be governed by the NRS, the Nevada Charter and the Nevada Bylaws.</w:t>
      </w:r>
    </w:p>
    <w:p>
      <w:pPr>
        <w:spacing w:after="0" w:line="163" w:lineRule="exact"/>
        <w:rPr>
          <w:sz w:val="20"/>
          <w:szCs w:val="20"/>
          <w:color w:val="auto"/>
        </w:rPr>
      </w:pPr>
    </w:p>
    <w:p>
      <w:pPr>
        <w:jc w:val="both"/>
        <w:ind w:firstLine="776"/>
        <w:spacing w:after="0" w:line="252"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Redomestication.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or Decreasing Authorized Capital Stock</w:t>
      </w:r>
    </w:p>
    <w:p>
      <w:pPr>
        <w:spacing w:after="0" w:line="222" w:lineRule="exact"/>
        <w:rPr>
          <w:sz w:val="20"/>
          <w:szCs w:val="20"/>
          <w:color w:val="auto"/>
        </w:rPr>
      </w:pPr>
    </w:p>
    <w:p>
      <w:pPr>
        <w:jc w:val="both"/>
        <w:ind w:firstLine="811"/>
        <w:spacing w:after="0" w:line="252" w:lineRule="auto"/>
        <w:rPr>
          <w:sz w:val="20"/>
          <w:szCs w:val="20"/>
          <w:color w:val="auto"/>
        </w:rPr>
      </w:pPr>
      <w:r>
        <w:rPr>
          <w:rFonts w:ascii="Times New Roman" w:cs="Times New Roman" w:eastAsia="Times New Roman" w:hAnsi="Times New Roman"/>
          <w:sz w:val="18"/>
          <w:szCs w:val="18"/>
          <w:color w:val="auto"/>
        </w:rPr>
        <w:t>The NRS allows the board of directors of a 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2" w:lineRule="exact"/>
        <w:rPr>
          <w:sz w:val="20"/>
          <w:szCs w:val="20"/>
          <w:color w:val="auto"/>
        </w:rPr>
      </w:pPr>
    </w:p>
    <w:p>
      <w:pPr>
        <w:jc w:val="both"/>
        <w:ind w:firstLine="677"/>
        <w:spacing w:after="0" w:line="275" w:lineRule="auto"/>
        <w:rPr>
          <w:sz w:val="20"/>
          <w:szCs w:val="20"/>
          <w:color w:val="auto"/>
        </w:rPr>
      </w:pPr>
      <w:r>
        <w:rPr>
          <w:rFonts w:ascii="Times New Roman" w:cs="Times New Roman" w:eastAsia="Times New Roman" w:hAnsi="Times New Roman"/>
          <w:sz w:val="18"/>
          <w:szCs w:val="18"/>
          <w:color w:val="auto"/>
        </w:rPr>
        <w:t>The DGCL permits any Delaware corporation to classify its board of directors into as many as three classes with staggered terms of office. If this is done, the stockholders elect only one class each year and each class would have a term of office of three years;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jc w:val="both"/>
        <w:spacing w:after="0" w:line="260" w:lineRule="auto"/>
        <w:rPr>
          <w:sz w:val="20"/>
          <w:szCs w:val="20"/>
          <w:color w:val="auto"/>
        </w:rPr>
      </w:pPr>
      <w:r>
        <w:rPr>
          <w:rFonts w:ascii="Times New Roman" w:cs="Times New Roman" w:eastAsia="Times New Roman" w:hAnsi="Times New Roman"/>
          <w:sz w:val="18"/>
          <w:szCs w:val="18"/>
          <w:color w:val="auto"/>
        </w:rPr>
        <w:t>however, neither the Delaware Charter nor Delaware Bylaws provide for a classified board of directors. The NRS also permits any Nevada corporation to classify its board of directors into any number of classes with staggered terms of office, so long as at least one-fourth of the total number of directors is elected annually; however neither the Nevada Charter nor Nevada Bylaws provide for a classified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2" w:lineRule="exact"/>
        <w:rPr>
          <w:sz w:val="20"/>
          <w:szCs w:val="20"/>
          <w:color w:val="auto"/>
        </w:rPr>
      </w:pPr>
    </w:p>
    <w:p>
      <w:pPr>
        <w:jc w:val="both"/>
        <w:ind w:firstLine="884"/>
        <w:spacing w:after="0" w:line="255" w:lineRule="auto"/>
        <w:rPr>
          <w:sz w:val="20"/>
          <w:szCs w:val="20"/>
          <w:color w:val="auto"/>
        </w:rPr>
      </w:pPr>
      <w:r>
        <w:rPr>
          <w:rFonts w:ascii="Times New Roman" w:cs="Times New Roman" w:eastAsia="Times New Roman" w:hAnsi="Times New Roman"/>
          <w:sz w:val="18"/>
          <w:szCs w:val="18"/>
          <w:color w:val="auto"/>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spacing w:after="0" w:line="183" w:lineRule="exact"/>
        <w:rPr>
          <w:sz w:val="20"/>
          <w:szCs w:val="20"/>
          <w:color w:val="auto"/>
        </w:rPr>
      </w:pPr>
    </w:p>
    <w:p>
      <w:pPr>
        <w:jc w:val="both"/>
        <w:ind w:firstLine="901"/>
        <w:spacing w:after="0" w:line="260" w:lineRule="auto"/>
        <w:rPr>
          <w:sz w:val="20"/>
          <w:szCs w:val="20"/>
          <w:color w:val="auto"/>
        </w:rPr>
      </w:pPr>
      <w:r>
        <w:rPr>
          <w:rFonts w:ascii="Times New Roman" w:cs="Times New Roman" w:eastAsia="Times New Roman" w:hAnsi="Times New Roman"/>
          <w:sz w:val="18"/>
          <w:szCs w:val="18"/>
          <w:color w:val="auto"/>
        </w:rPr>
        <w:t>Although the DGCL does not generally grant stockholders cumulative voting rights, a Delaware corporation may provide in its certificate of incorporation for cumulative voting in the election of directors. The NRS also permits any Nevada corporation to provide in its articles of incorporation the right to cumulative voting in the election of directors as long as certain procedures are followed.</w:t>
      </w:r>
    </w:p>
    <w:p>
      <w:pPr>
        <w:spacing w:after="0" w:line="177" w:lineRule="exact"/>
        <w:rPr>
          <w:sz w:val="20"/>
          <w:szCs w:val="20"/>
          <w:color w:val="auto"/>
        </w:rPr>
      </w:pPr>
    </w:p>
    <w:p>
      <w:pPr>
        <w:jc w:val="both"/>
        <w:ind w:firstLine="885"/>
        <w:spacing w:after="0" w:line="275" w:lineRule="auto"/>
        <w:rPr>
          <w:sz w:val="20"/>
          <w:szCs w:val="20"/>
          <w:color w:val="auto"/>
        </w:rPr>
      </w:pPr>
      <w:r>
        <w:rPr>
          <w:rFonts w:ascii="Times New Roman" w:cs="Times New Roman" w:eastAsia="Times New Roman" w:hAnsi="Times New Roman"/>
          <w:sz w:val="18"/>
          <w:szCs w:val="18"/>
          <w:color w:val="auto"/>
        </w:rPr>
        <w:t>The Delaware Charter does not provide for cumulative voting in the election of directors. Similarly, the Nevada Charter does not provide for cumulative voting.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w:t>
      </w:r>
    </w:p>
    <w:p>
      <w:pPr>
        <w:spacing w:after="0" w:line="222" w:lineRule="exact"/>
        <w:rPr>
          <w:sz w:val="20"/>
          <w:szCs w:val="20"/>
          <w:color w:val="auto"/>
        </w:rPr>
      </w:pPr>
    </w:p>
    <w:p>
      <w:pPr>
        <w:jc w:val="both"/>
        <w:ind w:firstLine="690"/>
        <w:spacing w:after="0" w:line="283" w:lineRule="auto"/>
        <w:rPr>
          <w:sz w:val="20"/>
          <w:szCs w:val="20"/>
          <w:color w:val="auto"/>
        </w:rPr>
      </w:pPr>
      <w:r>
        <w:rPr>
          <w:rFonts w:ascii="Times New Roman" w:cs="Times New Roman" w:eastAsia="Times New Roman" w:hAnsi="Times New Roman"/>
          <w:sz w:val="17"/>
          <w:szCs w:val="17"/>
          <w:color w:val="auto"/>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2" w:lineRule="exact"/>
        <w:rPr>
          <w:sz w:val="20"/>
          <w:szCs w:val="20"/>
          <w:color w:val="auto"/>
        </w:rPr>
      </w:pPr>
    </w:p>
    <w:p>
      <w:pPr>
        <w:jc w:val="both"/>
        <w:ind w:firstLine="677"/>
        <w:spacing w:after="0" w:line="251" w:lineRule="auto"/>
        <w:rPr>
          <w:sz w:val="20"/>
          <w:szCs w:val="20"/>
          <w:color w:val="auto"/>
        </w:rPr>
      </w:pPr>
      <w:r>
        <w:rPr>
          <w:rFonts w:ascii="Times New Roman" w:cs="Times New Roman" w:eastAsia="Times New Roman" w:hAnsi="Times New Roman"/>
          <w:sz w:val="18"/>
          <w:szCs w:val="18"/>
          <w:color w:val="auto"/>
        </w:rPr>
        <w:t xml:space="preserve">Under the DGCL, the holders of a majority of shares of each class entitled to vote at an election of directors may vote to remove any director or the entire board without cause </w:t>
      </w:r>
      <w:r>
        <w:rPr>
          <w:rFonts w:ascii="Times New Roman" w:cs="Times New Roman" w:eastAsia="Times New Roman" w:hAnsi="Times New Roman"/>
          <w:sz w:val="18"/>
          <w:szCs w:val="18"/>
          <w:b w:val="1"/>
          <w:bCs w:val="1"/>
          <w:color w:val="auto"/>
        </w:rPr>
        <w:t>unless</w:t>
      </w:r>
      <w:r>
        <w:rPr>
          <w:rFonts w:ascii="Times New Roman" w:cs="Times New Roman" w:eastAsia="Times New Roman" w:hAnsi="Times New Roman"/>
          <w:sz w:val="18"/>
          <w:szCs w:val="18"/>
          <w:color w:val="auto"/>
        </w:rPr>
        <w:t xml:space="preserve"> (i) the board is a classified board, in which case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shares or class or series of shares of the issued and outstanding stock entitled to vote at an election of directors in order to remove a director or all of the directors. The articles of incorporation may provide for a voting threshold higher than two-thirds, but not lower. Furthermore, the NRS does not make a distinction between removals for cause and removals without cause.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Fiduciary Duties and Business Judgment</w:t>
      </w:r>
    </w:p>
    <w:p>
      <w:pPr>
        <w:spacing w:after="0" w:line="222" w:lineRule="exact"/>
        <w:rPr>
          <w:sz w:val="20"/>
          <w:szCs w:val="20"/>
          <w:color w:val="auto"/>
        </w:rPr>
      </w:pPr>
    </w:p>
    <w:p>
      <w:pPr>
        <w:jc w:val="both"/>
        <w:ind w:firstLine="650"/>
        <w:spacing w:after="0" w:line="249" w:lineRule="auto"/>
        <w:rPr>
          <w:sz w:val="20"/>
          <w:szCs w:val="20"/>
          <w:color w:val="auto"/>
        </w:rPr>
      </w:pPr>
      <w:r>
        <w:rPr>
          <w:rFonts w:ascii="Times New Roman" w:cs="Times New Roman" w:eastAsia="Times New Roman" w:hAnsi="Times New Roman"/>
          <w:sz w:val="18"/>
          <w:szCs w:val="18"/>
          <w:color w:val="auto"/>
        </w:rPr>
        <w:t>Nevada, like most jurisdictions, requires that directors and officers of Nevada corporations exercise their powers in good faith and with a view to the interests of the corporation but, unlike some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190" w:lineRule="exact"/>
        <w:rPr>
          <w:sz w:val="20"/>
          <w:szCs w:val="20"/>
          <w:color w:val="auto"/>
        </w:rPr>
      </w:pPr>
    </w:p>
    <w:p>
      <w:pPr>
        <w:jc w:val="both"/>
        <w:ind w:firstLine="693"/>
        <w:spacing w:after="0" w:line="252" w:lineRule="auto"/>
        <w:rPr>
          <w:sz w:val="20"/>
          <w:szCs w:val="20"/>
          <w:color w:val="auto"/>
        </w:rPr>
      </w:pPr>
      <w:r>
        <w:rPr>
          <w:rFonts w:ascii="Times New Roman" w:cs="Times New Roman" w:eastAsia="Times New Roman" w:hAnsi="Times New Roman"/>
          <w:sz w:val="18"/>
          <w:szCs w:val="18"/>
          <w:color w:val="auto"/>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Both Delaware and Nevada law extend the statutory protection for reliance on such persons to corporate officers.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Flexibility for Decisions, including Takeovers</w:t>
      </w:r>
    </w:p>
    <w:p>
      <w:pPr>
        <w:spacing w:after="0" w:line="222" w:lineRule="exact"/>
        <w:rPr>
          <w:sz w:val="20"/>
          <w:szCs w:val="20"/>
          <w:color w:val="auto"/>
        </w:rPr>
      </w:pPr>
    </w:p>
    <w:p>
      <w:pPr>
        <w:jc w:val="both"/>
        <w:ind w:firstLine="631"/>
        <w:spacing w:after="0" w:line="272" w:lineRule="auto"/>
        <w:rPr>
          <w:sz w:val="20"/>
          <w:szCs w:val="20"/>
          <w:color w:val="auto"/>
        </w:rPr>
      </w:pPr>
      <w:r>
        <w:rPr>
          <w:rFonts w:ascii="Times New Roman" w:cs="Times New Roman" w:eastAsia="Times New Roman" w:hAnsi="Times New Roman"/>
          <w:sz w:val="17"/>
          <w:szCs w:val="17"/>
          <w:color w:val="auto"/>
        </w:rPr>
        <w:t>Nevada provides directors with more discretion than Delaware in making corporate decisions, including decisions made in takeover situations. Under Nevada law, director and officer actions taken in response to a change or potential change in control are granted the benefits of the business judgment rule. However, in the case of an action to resist a change or potential change in control that impedes the rights of stockholders to vote for or remove directors, directors will only be given the benefit of the presumption of the business judgment rule if the directors have reasonable grounds to believe a threat to corporate policy and effectiveness exists and the action taken that impedes the exercise of the stockholders’ rights is reasonable in relation to such threat.</w:t>
      </w:r>
    </w:p>
    <w:p>
      <w:pPr>
        <w:spacing w:after="0" w:line="167" w:lineRule="exact"/>
        <w:rPr>
          <w:sz w:val="20"/>
          <w:szCs w:val="20"/>
          <w:color w:val="auto"/>
        </w:rPr>
      </w:pPr>
    </w:p>
    <w:p>
      <w:pPr>
        <w:jc w:val="both"/>
        <w:ind w:firstLine="832"/>
        <w:spacing w:after="0" w:line="249" w:lineRule="auto"/>
        <w:rPr>
          <w:sz w:val="20"/>
          <w:szCs w:val="20"/>
          <w:color w:val="auto"/>
        </w:rPr>
      </w:pPr>
      <w:r>
        <w:rPr>
          <w:rFonts w:ascii="Times New Roman" w:cs="Times New Roman" w:eastAsia="Times New Roman" w:hAnsi="Times New Roman"/>
          <w:sz w:val="18"/>
          <w:szCs w:val="18"/>
          <w:color w:val="auto"/>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several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subjected to bankruptcy proceedings.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DGCL does not provide a similar list of statutory factors that corporate directors and officers may consider in making decisions. In a number of cases and in certain situations,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Personal Liability of Directors and Officers</w:t>
      </w:r>
    </w:p>
    <w:p>
      <w:pPr>
        <w:spacing w:after="0" w:line="222" w:lineRule="exact"/>
        <w:rPr>
          <w:sz w:val="20"/>
          <w:szCs w:val="20"/>
          <w:color w:val="auto"/>
        </w:rPr>
      </w:pPr>
    </w:p>
    <w:p>
      <w:pPr>
        <w:jc w:val="both"/>
        <w:ind w:firstLine="635"/>
        <w:spacing w:after="0" w:line="260" w:lineRule="auto"/>
        <w:rPr>
          <w:sz w:val="20"/>
          <w:szCs w:val="20"/>
          <w:color w:val="auto"/>
        </w:rPr>
      </w:pPr>
      <w:r>
        <w:rPr>
          <w:rFonts w:ascii="Times New Roman" w:cs="Times New Roman" w:eastAsia="Times New Roman" w:hAnsi="Times New Roman"/>
          <w:sz w:val="18"/>
          <w:szCs w:val="18"/>
          <w:color w:val="auto"/>
        </w:rPr>
        <w:t>The NRS and the DGCL each , by way of statutory provisions or permitted provisions in corporate charter documents, eliminate or limit the personal liability of directors and officers to the corporation or their stockholders for monetary damages for breach of a director’s fiduciary duty, subject to the differences discussed below.</w:t>
      </w:r>
    </w:p>
    <w:p>
      <w:pPr>
        <w:spacing w:after="0" w:line="177" w:lineRule="exact"/>
        <w:rPr>
          <w:sz w:val="20"/>
          <w:szCs w:val="20"/>
          <w:color w:val="auto"/>
        </w:rPr>
      </w:pPr>
    </w:p>
    <w:p>
      <w:pPr>
        <w:jc w:val="both"/>
        <w:ind w:firstLine="800"/>
        <w:spacing w:after="0" w:line="248" w:lineRule="auto"/>
        <w:rPr>
          <w:sz w:val="20"/>
          <w:szCs w:val="20"/>
          <w:color w:val="auto"/>
        </w:rPr>
      </w:pPr>
      <w:r>
        <w:rPr>
          <w:rFonts w:ascii="Times New Roman" w:cs="Times New Roman" w:eastAsia="Times New Roman" w:hAnsi="Times New Roman"/>
          <w:sz w:val="18"/>
          <w:szCs w:val="18"/>
          <w:color w:val="auto"/>
        </w:rPr>
        <w:t>The DGCL precludes liability limitation for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the duty of loyalty or transaction from which a director derives an improper personal benefit, but does, pursuant to NRS 78.300, impose limited personal liability on directors for distributions made in violation of NRS 78.288. Further, the NRS permits a corporation to renounce in its articles of incorporation any interest or expectancy to participate in specific or specified classes or categories of business opportunities. Both the DGCL and the NRS permit limitation of liability which applies to both directors and officers, though the NRS expressly also applies this limitation to liabilities owed to creditors of the corporation. Furthermore, under the NRS, it is not necessary to adopt provisions in the articles of incorporation limiting personal liability of directors or officers as this limitation is provided by statute. However,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the Company’s most recent SEC filings) is authorized only in connection with direct claims brought by stockholders, including class actions; however, it does not eliminate monetary liability of officers for breach of fiduciary duty arising out of claims brought by the corporation itself or for derivative claims brought by stockholders in the name of the corporation.</w:t>
      </w:r>
    </w:p>
    <w:p>
      <w:pPr>
        <w:spacing w:after="0" w:line="192" w:lineRule="exact"/>
        <w:rPr>
          <w:sz w:val="20"/>
          <w:szCs w:val="20"/>
          <w:color w:val="auto"/>
        </w:rPr>
      </w:pPr>
    </w:p>
    <w:p>
      <w:pPr>
        <w:jc w:val="both"/>
        <w:ind w:firstLine="849"/>
        <w:spacing w:after="0" w:line="275" w:lineRule="auto"/>
        <w:rPr>
          <w:sz w:val="20"/>
          <w:szCs w:val="20"/>
          <w:color w:val="auto"/>
        </w:rPr>
      </w:pPr>
      <w:r>
        <w:rPr>
          <w:rFonts w:ascii="Times New Roman" w:cs="Times New Roman" w:eastAsia="Times New Roman" w:hAnsi="Times New Roman"/>
          <w:sz w:val="18"/>
          <w:szCs w:val="18"/>
          <w:color w:val="auto"/>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2" w:lineRule="exact"/>
        <w:rPr>
          <w:sz w:val="20"/>
          <w:szCs w:val="20"/>
          <w:color w:val="auto"/>
        </w:rPr>
      </w:pPr>
    </w:p>
    <w:p>
      <w:pPr>
        <w:jc w:val="both"/>
        <w:ind w:firstLine="773"/>
        <w:spacing w:after="0" w:line="275" w:lineRule="auto"/>
        <w:rPr>
          <w:sz w:val="20"/>
          <w:szCs w:val="20"/>
          <w:color w:val="auto"/>
        </w:rPr>
      </w:pPr>
      <w:r>
        <w:rPr>
          <w:rFonts w:ascii="Times New Roman" w:cs="Times New Roman" w:eastAsia="Times New Roman" w:hAnsi="Times New Roman"/>
          <w:sz w:val="18"/>
          <w:szCs w:val="18"/>
          <w:color w:val="auto"/>
        </w:rPr>
        <w:t>The NRS and the DGCL each permit corporations to indemnify directors, officers, employees and agents in similar circumstances, subject to the differences discussed below.</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ind w:firstLine="717"/>
        <w:spacing w:after="0" w:line="252"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spacing w:after="0" w:line="183" w:lineRule="exact"/>
        <w:rPr>
          <w:sz w:val="20"/>
          <w:szCs w:val="20"/>
          <w:color w:val="auto"/>
        </w:rPr>
      </w:pPr>
    </w:p>
    <w:p>
      <w:pPr>
        <w:jc w:val="both"/>
        <w:ind w:firstLine="641"/>
        <w:spacing w:after="0" w:line="305" w:lineRule="auto"/>
        <w:rPr>
          <w:sz w:val="20"/>
          <w:szCs w:val="20"/>
          <w:color w:val="auto"/>
        </w:rPr>
      </w:pPr>
      <w:r>
        <w:rPr>
          <w:rFonts w:ascii="Times New Roman" w:cs="Times New Roman" w:eastAsia="Times New Roman" w:hAnsi="Times New Roman"/>
          <w:sz w:val="17"/>
          <w:szCs w:val="17"/>
          <w:color w:val="auto"/>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spacing w:after="0" w:line="141" w:lineRule="exact"/>
        <w:rPr>
          <w:sz w:val="20"/>
          <w:szCs w:val="20"/>
          <w:color w:val="auto"/>
        </w:rPr>
      </w:pPr>
    </w:p>
    <w:p>
      <w:pPr>
        <w:jc w:val="both"/>
        <w:ind w:firstLine="610"/>
        <w:spacing w:after="0" w:line="283" w:lineRule="auto"/>
        <w:rPr>
          <w:sz w:val="20"/>
          <w:szCs w:val="20"/>
          <w:color w:val="auto"/>
        </w:rPr>
      </w:pPr>
      <w:r>
        <w:rPr>
          <w:rFonts w:ascii="Times New Roman" w:cs="Times New Roman" w:eastAsia="Times New Roman" w:hAnsi="Times New Roman"/>
          <w:sz w:val="17"/>
          <w:szCs w:val="17"/>
          <w:color w:val="auto"/>
        </w:rPr>
        <w:t>No corporation may indemnify a party unless it decides that indemnification is proper. Under the DGCL, the corporation through its stockholders, directors or independent legal counsel will determine whether the conduct of the person seeking indemnity conformed with the statutory provisions governing indemnity. Under the NRS, the corporation through its stockholders, directors or independent counsel must determine that the indemnification is proper.</w:t>
      </w:r>
    </w:p>
    <w:p>
      <w:pPr>
        <w:spacing w:after="0" w:line="158" w:lineRule="exact"/>
        <w:rPr>
          <w:sz w:val="20"/>
          <w:szCs w:val="20"/>
          <w:color w:val="auto"/>
        </w:rPr>
      </w:pPr>
    </w:p>
    <w:p>
      <w:pPr>
        <w:jc w:val="both"/>
        <w:ind w:firstLine="628"/>
        <w:spacing w:after="0" w:line="253" w:lineRule="auto"/>
        <w:rPr>
          <w:sz w:val="20"/>
          <w:szCs w:val="20"/>
          <w:color w:val="auto"/>
        </w:rPr>
      </w:pPr>
      <w:r>
        <w:rPr>
          <w:rFonts w:ascii="Times New Roman" w:cs="Times New Roman" w:eastAsia="Times New Roman" w:hAnsi="Times New Roman"/>
          <w:sz w:val="18"/>
          <w:szCs w:val="18"/>
          <w:color w:val="auto"/>
        </w:rPr>
        <w:t>Under the NRS, 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Both the Delaware Charter and the Nevada Charter provide for indemnification to the fullest extent permitted by the respective laws.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Advancement of Expenses</w:t>
      </w:r>
    </w:p>
    <w:p>
      <w:pPr>
        <w:spacing w:after="0" w:line="222" w:lineRule="exact"/>
        <w:rPr>
          <w:sz w:val="20"/>
          <w:szCs w:val="20"/>
          <w:color w:val="auto"/>
        </w:rPr>
      </w:pPr>
    </w:p>
    <w:p>
      <w:pPr>
        <w:jc w:val="both"/>
        <w:ind w:firstLine="707"/>
        <w:spacing w:after="0" w:line="260" w:lineRule="auto"/>
        <w:rPr>
          <w:sz w:val="20"/>
          <w:szCs w:val="20"/>
          <w:color w:val="auto"/>
        </w:rPr>
      </w:pPr>
      <w:r>
        <w:rPr>
          <w:rFonts w:ascii="Times New Roman" w:cs="Times New Roman" w:eastAsia="Times New Roman" w:hAnsi="Times New Roman"/>
          <w:sz w:val="18"/>
          <w:szCs w:val="18"/>
          <w:color w:val="auto"/>
        </w:rPr>
        <w:t>Although the DGCL and NRS have substantially similar provisions regarding indemnification by a corporation of its officers, directors, 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spacing w:after="0" w:line="177" w:lineRule="exact"/>
        <w:rPr>
          <w:sz w:val="20"/>
          <w:szCs w:val="20"/>
          <w:color w:val="auto"/>
        </w:rPr>
      </w:pPr>
    </w:p>
    <w:p>
      <w:pPr>
        <w:jc w:val="both"/>
        <w:ind w:firstLine="726"/>
        <w:spacing w:after="0" w:line="253"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w:t>
      </w:r>
    </w:p>
    <w:p>
      <w:pPr>
        <w:spacing w:after="0" w:line="184" w:lineRule="exact"/>
        <w:rPr>
          <w:sz w:val="20"/>
          <w:szCs w:val="20"/>
          <w:color w:val="auto"/>
        </w:rPr>
      </w:pPr>
    </w:p>
    <w:p>
      <w:pPr>
        <w:jc w:val="both"/>
        <w:ind w:firstLine="780"/>
        <w:spacing w:after="0" w:line="260" w:lineRule="auto"/>
        <w:rPr>
          <w:sz w:val="20"/>
          <w:szCs w:val="20"/>
          <w:color w:val="auto"/>
        </w:rPr>
      </w:pPr>
      <w:r>
        <w:rPr>
          <w:rFonts w:ascii="Times New Roman" w:cs="Times New Roman" w:eastAsia="Times New Roman" w:hAnsi="Times New Roman"/>
          <w:sz w:val="18"/>
          <w:szCs w:val="18"/>
          <w:color w:val="auto"/>
        </w:rPr>
        <w:t>In contrast, under the NRS, unless otherwise restricted by the articles of incorporation, the bylaws or an agreement made by the corporation, the corporation may pay advancements of expenses in advance of the final disposition of the action, suit or proceeding upon receipt of an undertaking by or on behalf of the director or officer to repay the amount if it is ultimately determined that he or she is not entitled to be indemnified by the corporation.</w:t>
      </w:r>
    </w:p>
    <w:p>
      <w:pPr>
        <w:spacing w:after="0" w:line="177" w:lineRule="exact"/>
        <w:rPr>
          <w:sz w:val="20"/>
          <w:szCs w:val="20"/>
          <w:color w:val="auto"/>
        </w:rPr>
      </w:pPr>
    </w:p>
    <w:p>
      <w:pPr>
        <w:jc w:val="both"/>
        <w:ind w:firstLine="738"/>
        <w:spacing w:after="0" w:line="260" w:lineRule="auto"/>
        <w:rPr>
          <w:sz w:val="20"/>
          <w:szCs w:val="20"/>
          <w:color w:val="auto"/>
        </w:rPr>
      </w:pPr>
      <w:r>
        <w:rPr>
          <w:rFonts w:ascii="Times New Roman" w:cs="Times New Roman" w:eastAsia="Times New Roman" w:hAnsi="Times New Roman"/>
          <w:sz w:val="18"/>
          <w:szCs w:val="18"/>
          <w:color w:val="auto"/>
        </w:rPr>
        <w:t>The Nevada Charter specifically provides that an indemnitee’s right to advanced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 The Delaware Charter does not include similar provision.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of Directors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795"/>
        <w:spacing w:after="0" w:line="260" w:lineRule="auto"/>
        <w:rPr>
          <w:sz w:val="20"/>
          <w:szCs w:val="20"/>
          <w:color w:val="auto"/>
        </w:rPr>
      </w:pPr>
      <w:r>
        <w:rPr>
          <w:rFonts w:ascii="Times New Roman" w:cs="Times New Roman" w:eastAsia="Times New Roman" w:hAnsi="Times New Roman"/>
          <w:sz w:val="18"/>
          <w:szCs w:val="18"/>
          <w:color w:val="auto"/>
        </w:rPr>
        <w:t>Both the DGCL and NRS provide that, unless the articles or certificate of incorporation or the bylaws provide otherwise, any action required or permitted to be taken at a meeting of the directors or a committee thereof may be taken without a meeting if all members of the board or committee, as the case may be, consent to the action in writing.</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Neither the Delaware Charter or Delaware Bylaws nor the Nevada Charter or Nevada Bylaws limit a Board action by written consent.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by Written Consent of Stockholders</w:t>
      </w:r>
    </w:p>
    <w:p>
      <w:pPr>
        <w:spacing w:after="0" w:line="222" w:lineRule="exact"/>
        <w:rPr>
          <w:sz w:val="20"/>
          <w:szCs w:val="20"/>
          <w:color w:val="auto"/>
        </w:rPr>
      </w:pPr>
    </w:p>
    <w:p>
      <w:pPr>
        <w:jc w:val="both"/>
        <w:ind w:firstLine="723"/>
        <w:spacing w:after="0" w:line="253" w:lineRule="auto"/>
        <w:rPr>
          <w:sz w:val="20"/>
          <w:szCs w:val="20"/>
          <w:color w:val="auto"/>
        </w:rPr>
      </w:pPr>
      <w:r>
        <w:rPr>
          <w:rFonts w:ascii="Times New Roman" w:cs="Times New Roman" w:eastAsia="Times New Roman" w:hAnsi="Times New Roman"/>
          <w:sz w:val="18"/>
          <w:szCs w:val="18"/>
          <w:color w:val="auto"/>
        </w:rPr>
        <w:t>Both the DGCL and NRS provide that, unless the articles or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spacing w:after="0" w:line="184" w:lineRule="exact"/>
        <w:rPr>
          <w:sz w:val="20"/>
          <w:szCs w:val="20"/>
          <w:color w:val="auto"/>
        </w:rPr>
      </w:pPr>
    </w:p>
    <w:p>
      <w:pPr>
        <w:jc w:val="both"/>
        <w:ind w:firstLine="898"/>
        <w:spacing w:after="0" w:line="275" w:lineRule="auto"/>
        <w:rPr>
          <w:sz w:val="20"/>
          <w:szCs w:val="20"/>
          <w:color w:val="auto"/>
        </w:rPr>
      </w:pPr>
      <w:r>
        <w:rPr>
          <w:rFonts w:ascii="Times New Roman" w:cs="Times New Roman" w:eastAsia="Times New Roman" w:hAnsi="Times New Roman"/>
          <w:sz w:val="18"/>
          <w:szCs w:val="18"/>
          <w:color w:val="auto"/>
        </w:rPr>
        <w:t>The NRS also permits a corporation to prohibit stockholder action by written consent in lieu of a meeting of stockholders by including such prohibition in its articles of incorporation or bylaws.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Neither the Delaware Charter or Delaware Bylaws nor the Nevada Charter or Nevada Bylaws limit stockholder action by written consent.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2"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Delaware law is more restrictive than Nevada law with respect to dividend 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spacing w:after="0" w:line="185" w:lineRule="exact"/>
        <w:rPr>
          <w:sz w:val="20"/>
          <w:szCs w:val="20"/>
          <w:color w:val="auto"/>
        </w:rPr>
      </w:pPr>
    </w:p>
    <w:p>
      <w:pPr>
        <w:jc w:val="both"/>
        <w:ind w:firstLine="1030"/>
        <w:spacing w:after="0" w:line="251" w:lineRule="auto"/>
        <w:rPr>
          <w:sz w:val="20"/>
          <w:szCs w:val="20"/>
          <w:color w:val="auto"/>
        </w:rPr>
      </w:pPr>
      <w:r>
        <w:rPr>
          <w:rFonts w:ascii="Times New Roman" w:cs="Times New Roman" w:eastAsia="Times New Roman" w:hAnsi="Times New Roman"/>
          <w:sz w:val="18"/>
          <w:szCs w:val="18"/>
          <w:color w:val="auto"/>
        </w:rPr>
        <w:t>The NRS provides that no distribution (including dividends on, or redemption or purchases of, shares of capital stock or distributions of indebtedness)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(the condition in this clause (ii), the “Balance Sheet Test”).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Business Combinations</w:t>
      </w:r>
    </w:p>
    <w:p>
      <w:pPr>
        <w:spacing w:after="0" w:line="222" w:lineRule="exact"/>
        <w:rPr>
          <w:sz w:val="20"/>
          <w:szCs w:val="20"/>
          <w:color w:val="auto"/>
        </w:rPr>
      </w:pPr>
    </w:p>
    <w:p>
      <w:pPr>
        <w:jc w:val="both"/>
        <w:ind w:firstLine="678"/>
        <w:spacing w:after="0" w:line="275" w:lineRule="auto"/>
        <w:rPr>
          <w:sz w:val="20"/>
          <w:szCs w:val="20"/>
          <w:color w:val="auto"/>
        </w:rPr>
      </w:pPr>
      <w:r>
        <w:rPr>
          <w:rFonts w:ascii="Times New Roman" w:cs="Times New Roman" w:eastAsia="Times New Roman" w:hAnsi="Times New Roman"/>
          <w:sz w:val="18"/>
          <w:szCs w:val="18"/>
          <w:color w:val="auto"/>
        </w:rPr>
        <w:t>Both Delaware and Nevada law provide certain protections to stockholders in connection with certain business combinations. These protections can be found in NRS 78.411 to 78.444, inclusive, and Section 203 of the DGCL.</w:t>
      </w:r>
    </w:p>
    <w:p>
      <w:pPr>
        <w:spacing w:after="0" w:line="163" w:lineRule="exact"/>
        <w:rPr>
          <w:sz w:val="20"/>
          <w:szCs w:val="20"/>
          <w:color w:val="auto"/>
        </w:rPr>
      </w:pPr>
    </w:p>
    <w:p>
      <w:pPr>
        <w:jc w:val="both"/>
        <w:ind w:firstLine="913"/>
        <w:spacing w:after="0" w:line="249"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spacing w:after="0" w:line="192" w:lineRule="exact"/>
        <w:rPr>
          <w:sz w:val="20"/>
          <w:szCs w:val="20"/>
          <w:color w:val="auto"/>
        </w:rPr>
      </w:pPr>
    </w:p>
    <w:p>
      <w:pPr>
        <w:jc w:val="both"/>
        <w:ind w:firstLine="752"/>
        <w:spacing w:after="0" w:line="260"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the interested stockholder owns 85% of the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spacing w:after="0" w:line="184" w:lineRule="exact"/>
        <w:rPr>
          <w:sz w:val="20"/>
          <w:szCs w:val="20"/>
          <w:color w:val="auto"/>
        </w:rPr>
      </w:pPr>
    </w:p>
    <w:p>
      <w:pPr>
        <w:jc w:val="both"/>
        <w:ind w:firstLine="704"/>
        <w:spacing w:after="0" w:line="249" w:lineRule="auto"/>
        <w:rPr>
          <w:sz w:val="20"/>
          <w:szCs w:val="20"/>
          <w:color w:val="auto"/>
        </w:rPr>
      </w:pPr>
      <w:r>
        <w:rPr>
          <w:rFonts w:ascii="Times New Roman" w:cs="Times New Roman" w:eastAsia="Times New Roman" w:hAnsi="Times New Roman"/>
          <w:sz w:val="18"/>
          <w:szCs w:val="18"/>
          <w:color w:val="auto"/>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Second, the two-year moratorium can be lifted only by advance approval of the combination or the transaction by which such person first becomes an interested stockholder by a corporation’s board of directors or unless the combination is approved by the board and 60% of the corporation’s voting power not beneficially owned by the interested stockholder, its affiliates and associates, as opposed to Delaware’s provision that allows interested stockholder combinations with stockholder approval at the time of such combination. Finally, after the two-year period, a combination remains prohibited unless (i) it is approved by the board of directors, the disinterested stockholders or a majority of the outstanding voting power not beneficially owned by the interested stockholder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 The combinations statutes in Nevada apply only to Nevada corporations with 200 or more stockholders of record.</w:t>
      </w:r>
    </w:p>
    <w:p>
      <w:pPr>
        <w:spacing w:after="0" w:line="190" w:lineRule="exact"/>
        <w:rPr>
          <w:sz w:val="20"/>
          <w:szCs w:val="20"/>
          <w:color w:val="auto"/>
        </w:rPr>
      </w:pPr>
    </w:p>
    <w:p>
      <w:pPr>
        <w:jc w:val="both"/>
        <w:ind w:firstLine="742"/>
        <w:spacing w:after="0" w:line="25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The Company has not opted out of the business combination provisions of Section 203 of the DGCL, nor does the Company plan to opt out of the business combination provisions of NRS 78.411 to 78.444, inclusive, under the Nevada Charter. Any opt-out of the business combinations provisions of the NRS must be contained in an amendment to the Nevada Charter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2" w:lineRule="exact"/>
        <w:rPr>
          <w:sz w:val="20"/>
          <w:szCs w:val="20"/>
          <w:color w:val="auto"/>
        </w:rPr>
      </w:pPr>
    </w:p>
    <w:p>
      <w:pPr>
        <w:jc w:val="both"/>
        <w:ind w:firstLine="721"/>
        <w:spacing w:after="0" w:line="260" w:lineRule="auto"/>
        <w:rPr>
          <w:sz w:val="20"/>
          <w:szCs w:val="20"/>
          <w:color w:val="auto"/>
        </w:rPr>
      </w:pPr>
      <w:r>
        <w:rPr>
          <w:rFonts w:ascii="Times New Roman" w:cs="Times New Roman" w:eastAsia="Times New Roman" w:hAnsi="Times New Roman"/>
          <w:sz w:val="18"/>
          <w:szCs w:val="18"/>
          <w:color w:val="auto"/>
        </w:rPr>
        <w:t>In addition to the restrictions on business combinations with interested stockholders, Nevada law also protects the corporation and its stockholders from persons acquiring a “controlling interest” in a corporation. The provisions can be found in NRS 78.378 to 78.3793, inclusive. Delaware law does not have similar provisions.</w:t>
      </w:r>
    </w:p>
    <w:p>
      <w:pPr>
        <w:spacing w:after="0" w:line="177" w:lineRule="exact"/>
        <w:rPr>
          <w:sz w:val="20"/>
          <w:szCs w:val="20"/>
          <w:color w:val="auto"/>
        </w:rPr>
      </w:pPr>
    </w:p>
    <w:p>
      <w:pPr>
        <w:jc w:val="both"/>
        <w:ind w:firstLine="675"/>
        <w:spacing w:after="0" w:line="265" w:lineRule="auto"/>
        <w:rPr>
          <w:sz w:val="20"/>
          <w:szCs w:val="20"/>
          <w:color w:val="auto"/>
        </w:rPr>
      </w:pPr>
      <w:r>
        <w:rPr>
          <w:rFonts w:ascii="Times New Roman" w:cs="Times New Roman" w:eastAsia="Times New Roman" w:hAnsi="Times New Roman"/>
          <w:sz w:val="17"/>
          <w:szCs w:val="17"/>
          <w:color w:val="auto"/>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spacing w:after="0" w:line="179"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directly or indirectly in Nevada. NRS 78.378(2) provides that the corporation may impose stricter requirements if it so desires.</w:t>
      </w:r>
    </w:p>
    <w:p>
      <w:pPr>
        <w:spacing w:after="0" w:line="185" w:lineRule="exact"/>
        <w:rPr>
          <w:sz w:val="20"/>
          <w:szCs w:val="20"/>
          <w:color w:val="auto"/>
        </w:rPr>
      </w:pPr>
    </w:p>
    <w:p>
      <w:pPr>
        <w:jc w:val="both"/>
        <w:ind w:firstLine="732"/>
        <w:spacing w:after="0" w:line="275" w:lineRule="auto"/>
        <w:rPr>
          <w:sz w:val="20"/>
          <w:szCs w:val="20"/>
          <w:color w:val="auto"/>
        </w:rPr>
      </w:pPr>
      <w:r>
        <w:rPr>
          <w:rFonts w:ascii="Times New Roman" w:cs="Times New Roman" w:eastAsia="Times New Roman" w:hAnsi="Times New Roman"/>
          <w:sz w:val="18"/>
          <w:szCs w:val="18"/>
          <w:color w:val="auto"/>
        </w:rPr>
        <w:t>Corporations are entitled to opt out of the above controlling interest provisions of the NRS. In the Nevada Charter, the Company opts out of these provisions.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Vote for Mergers and Other Corporate Reorganizations</w:t>
      </w:r>
    </w:p>
    <w:p>
      <w:pPr>
        <w:spacing w:after="0" w:line="222" w:lineRule="exact"/>
        <w:rPr>
          <w:sz w:val="20"/>
          <w:szCs w:val="20"/>
          <w:color w:val="auto"/>
        </w:rPr>
      </w:pPr>
    </w:p>
    <w:p>
      <w:pPr>
        <w:jc w:val="both"/>
        <w:ind w:firstLine="723"/>
        <w:spacing w:after="0" w:line="267" w:lineRule="auto"/>
        <w:rPr>
          <w:sz w:val="20"/>
          <w:szCs w:val="20"/>
          <w:color w:val="auto"/>
        </w:rPr>
      </w:pPr>
      <w:r>
        <w:rPr>
          <w:rFonts w:ascii="Times New Roman" w:cs="Times New Roman" w:eastAsia="Times New Roman" w:hAnsi="Times New Roman"/>
          <w:sz w:val="17"/>
          <w:szCs w:val="17"/>
          <w:color w:val="auto"/>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spacing w:after="0" w:line="173" w:lineRule="exact"/>
        <w:rPr>
          <w:sz w:val="20"/>
          <w:szCs w:val="20"/>
          <w:color w:val="auto"/>
        </w:rPr>
      </w:pPr>
    </w:p>
    <w:p>
      <w:pPr>
        <w:jc w:val="both"/>
        <w:ind w:firstLine="790"/>
        <w:spacing w:after="0" w:line="249" w:lineRule="auto"/>
        <w:rPr>
          <w:sz w:val="20"/>
          <w:szCs w:val="20"/>
          <w:color w:val="auto"/>
        </w:rPr>
      </w:pPr>
      <w:r>
        <w:rPr>
          <w:rFonts w:ascii="Times New Roman" w:cs="Times New Roman" w:eastAsia="Times New Roman" w:hAnsi="Times New Roman"/>
          <w:sz w:val="18"/>
          <w:szCs w:val="18"/>
          <w:color w:val="auto"/>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192" w:lineRule="exact"/>
        <w:rPr>
          <w:sz w:val="20"/>
          <w:szCs w:val="20"/>
          <w:color w:val="auto"/>
        </w:rPr>
      </w:pPr>
    </w:p>
    <w:p>
      <w:pPr>
        <w:jc w:val="both"/>
        <w:ind w:right="20" w:firstLine="785"/>
        <w:spacing w:after="0" w:line="275" w:lineRule="auto"/>
        <w:rPr>
          <w:sz w:val="20"/>
          <w:szCs w:val="20"/>
          <w:color w:val="auto"/>
        </w:rPr>
      </w:pPr>
      <w:r>
        <w:rPr>
          <w:rFonts w:ascii="Times New Roman" w:cs="Times New Roman" w:eastAsia="Times New Roman" w:hAnsi="Times New Roman"/>
          <w:sz w:val="18"/>
          <w:szCs w:val="18"/>
          <w:color w:val="auto"/>
        </w:rPr>
        <w:t>The Delaware Charter does not require a higher percentage to vote to approve certain corporate transactions. The Nevada Charter also does not specify a higher percentage.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Appraisal or Dissenter’s Rights</w:t>
      </w:r>
    </w:p>
    <w:p>
      <w:pPr>
        <w:spacing w:after="0" w:line="222" w:lineRule="exact"/>
        <w:rPr>
          <w:sz w:val="20"/>
          <w:szCs w:val="20"/>
          <w:color w:val="auto"/>
        </w:rPr>
      </w:pPr>
    </w:p>
    <w:p>
      <w:pPr>
        <w:jc w:val="both"/>
        <w:ind w:firstLine="910"/>
        <w:spacing w:after="0" w:line="260" w:lineRule="auto"/>
        <w:rPr>
          <w:sz w:val="20"/>
          <w:szCs w:val="20"/>
          <w:color w:val="auto"/>
        </w:rPr>
      </w:pPr>
      <w:r>
        <w:rPr>
          <w:rFonts w:ascii="Times New Roman" w:cs="Times New Roman" w:eastAsia="Times New Roman" w:hAnsi="Times New Roman"/>
          <w:sz w:val="18"/>
          <w:szCs w:val="18"/>
          <w:color w:val="auto"/>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spacing w:after="0" w:line="177" w:lineRule="exact"/>
        <w:rPr>
          <w:sz w:val="20"/>
          <w:szCs w:val="20"/>
          <w:color w:val="auto"/>
        </w:rPr>
      </w:pPr>
    </w:p>
    <w:p>
      <w:pPr>
        <w:jc w:val="both"/>
        <w:ind w:firstLine="675"/>
        <w:spacing w:after="0" w:line="251" w:lineRule="auto"/>
        <w:rPr>
          <w:sz w:val="20"/>
          <w:szCs w:val="20"/>
          <w:color w:val="auto"/>
        </w:rPr>
      </w:pPr>
      <w:r>
        <w:rPr>
          <w:rFonts w:ascii="Times New Roman" w:cs="Times New Roman" w:eastAsia="Times New Roman" w:hAnsi="Times New Roman"/>
          <w:sz w:val="18"/>
          <w:szCs w:val="18"/>
          <w:color w:val="auto"/>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spacing w:after="0" w:line="185" w:lineRule="exact"/>
        <w:rPr>
          <w:sz w:val="20"/>
          <w:szCs w:val="20"/>
          <w:color w:val="auto"/>
        </w:rPr>
      </w:pPr>
    </w:p>
    <w:p>
      <w:pPr>
        <w:jc w:val="both"/>
        <w:ind w:firstLine="672"/>
        <w:spacing w:after="0" w:line="253"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spacing w:after="0" w:line="184" w:lineRule="exact"/>
        <w:rPr>
          <w:sz w:val="20"/>
          <w:szCs w:val="20"/>
          <w:color w:val="auto"/>
        </w:rPr>
      </w:pPr>
    </w:p>
    <w:p>
      <w:pPr>
        <w:jc w:val="both"/>
        <w:ind w:firstLine="642"/>
        <w:spacing w:after="0" w:line="249" w:lineRule="auto"/>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(iv) any corporate action taken pursuant to a vote of the stockholders, if the articles of incorporation, bylaws or a resolution of the board of directors provides that voting or nonvoting stockholders are entitled to dissent and obtain payment for their shares, or (v)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firstLine="645"/>
        <w:spacing w:after="0" w:line="249" w:lineRule="auto"/>
        <w:rPr>
          <w:sz w:val="20"/>
          <w:szCs w:val="20"/>
          <w:color w:val="auto"/>
        </w:rPr>
      </w:pPr>
      <w:r>
        <w:rPr>
          <w:rFonts w:ascii="Times New Roman" w:cs="Times New Roman" w:eastAsia="Times New Roman" w:hAnsi="Times New Roman"/>
          <w:sz w:val="18"/>
          <w:szCs w:val="18"/>
          <w:color w:val="auto"/>
        </w:rPr>
        <w:t>Holders of covered securities (generally those that are listed on a national securities exchange), any shares traded in an organized market and held by at least 2,000 stockholders of record with a market value of at least $20,000,000, and any shares issued by an open 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shares of stock or other securities as described in NRS 92A.390(3) or any combination thereof. The NRS prohibits a dissenting stockholder from voting his or her shares or receiving certain dividends or distributions after his or her dissent. The Nevada Charter and Nevada Bylaws do not provide for dissenter’s rights in addition to those provided by the NRS.</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the Stockholders</w:t>
      </w:r>
    </w:p>
    <w:p>
      <w:pPr>
        <w:spacing w:after="0" w:line="222" w:lineRule="exact"/>
        <w:rPr>
          <w:sz w:val="20"/>
          <w:szCs w:val="20"/>
          <w:color w:val="auto"/>
        </w:rPr>
      </w:pPr>
    </w:p>
    <w:p>
      <w:pPr>
        <w:jc w:val="both"/>
        <w:ind w:firstLine="776"/>
        <w:spacing w:after="0" w:line="260" w:lineRule="auto"/>
        <w:rPr>
          <w:sz w:val="20"/>
          <w:szCs w:val="20"/>
          <w:color w:val="auto"/>
        </w:rPr>
      </w:pPr>
      <w:r>
        <w:rPr>
          <w:rFonts w:ascii="Times New Roman" w:cs="Times New Roman" w:eastAsia="Times New Roman" w:hAnsi="Times New Roman"/>
          <w:sz w:val="18"/>
          <w:szCs w:val="18"/>
          <w:color w:val="auto"/>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spacing w:after="0" w:line="177" w:lineRule="exact"/>
        <w:rPr>
          <w:sz w:val="20"/>
          <w:szCs w:val="20"/>
          <w:color w:val="auto"/>
        </w:rPr>
      </w:pPr>
    </w:p>
    <w:p>
      <w:pPr>
        <w:jc w:val="both"/>
        <w:ind w:firstLine="672"/>
        <w:spacing w:after="0" w:line="275" w:lineRule="auto"/>
        <w:rPr>
          <w:sz w:val="20"/>
          <w:szCs w:val="20"/>
          <w:color w:val="auto"/>
        </w:rPr>
      </w:pPr>
      <w:r>
        <w:rPr>
          <w:rFonts w:ascii="Times New Roman" w:cs="Times New Roman" w:eastAsia="Times New Roman" w:hAnsi="Times New Roman"/>
          <w:sz w:val="18"/>
          <w:szCs w:val="18"/>
          <w:color w:val="auto"/>
        </w:rPr>
        <w:t>Under the Delaware Bylaws, a special meeting of stockholders may be called by the Chairman of the Board or a majority of the Board. The Nevada Bylaws contain a substantially similar provision.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Pursuant to Petition of Stockholders</w:t>
      </w:r>
    </w:p>
    <w:p>
      <w:pPr>
        <w:spacing w:after="0" w:line="222" w:lineRule="exact"/>
        <w:rPr>
          <w:sz w:val="20"/>
          <w:szCs w:val="20"/>
          <w:color w:val="auto"/>
        </w:rPr>
      </w:pPr>
    </w:p>
    <w:p>
      <w:pPr>
        <w:jc w:val="both"/>
        <w:ind w:firstLine="657"/>
        <w:spacing w:after="0" w:line="260" w:lineRule="auto"/>
        <w:rPr>
          <w:sz w:val="20"/>
          <w:szCs w:val="20"/>
          <w:color w:val="auto"/>
        </w:rPr>
      </w:pPr>
      <w:r>
        <w:rPr>
          <w:rFonts w:ascii="Times New Roman" w:cs="Times New Roman" w:eastAsia="Times New Roman" w:hAnsi="Times New Roman"/>
          <w:sz w:val="18"/>
          <w:szCs w:val="18"/>
          <w:color w:val="auto"/>
        </w:rPr>
        <w:t>The DGCL provides that a director or a stockholder of a corporation may apply to the Court of Chancery of Delaware if the corporation fails to hold an annual meeting for the election of directors or there is no written consent to elect directors in lieu of an annual meeting for a period of 30 days after the date designated for the special meeting or, if there is no date designated, within 13 months after the last annual meeting.</w:t>
      </w:r>
    </w:p>
    <w:p>
      <w:pPr>
        <w:spacing w:after="0" w:line="177" w:lineRule="exact"/>
        <w:rPr>
          <w:sz w:val="20"/>
          <w:szCs w:val="20"/>
          <w:color w:val="auto"/>
        </w:rPr>
      </w:pPr>
    </w:p>
    <w:p>
      <w:pPr>
        <w:jc w:val="both"/>
        <w:ind w:firstLine="767"/>
        <w:spacing w:after="0" w:line="275" w:lineRule="auto"/>
        <w:rPr>
          <w:sz w:val="20"/>
          <w:szCs w:val="20"/>
          <w:color w:val="auto"/>
        </w:rPr>
      </w:pPr>
      <w:r>
        <w:rPr>
          <w:rFonts w:ascii="Times New Roman" w:cs="Times New Roman" w:eastAsia="Times New Roman" w:hAnsi="Times New Roman"/>
          <w:sz w:val="18"/>
          <w:szCs w:val="18"/>
          <w:color w:val="auto"/>
        </w:rPr>
        <w:t>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Adjournment of Stockholder Special Meetings</w:t>
      </w:r>
    </w:p>
    <w:p>
      <w:pPr>
        <w:spacing w:after="0" w:line="222" w:lineRule="exact"/>
        <w:rPr>
          <w:sz w:val="20"/>
          <w:szCs w:val="20"/>
          <w:color w:val="auto"/>
        </w:rPr>
      </w:pPr>
    </w:p>
    <w:p>
      <w:pPr>
        <w:jc w:val="both"/>
        <w:ind w:firstLine="752"/>
        <w:spacing w:after="0" w:line="260" w:lineRule="auto"/>
        <w:rPr>
          <w:sz w:val="20"/>
          <w:szCs w:val="20"/>
          <w:color w:val="auto"/>
        </w:rPr>
      </w:pPr>
      <w:r>
        <w:rPr>
          <w:rFonts w:ascii="Times New Roman" w:cs="Times New Roman" w:eastAsia="Times New Roman" w:hAnsi="Times New Roman"/>
          <w:sz w:val="18"/>
          <w:szCs w:val="18"/>
          <w:color w:val="auto"/>
        </w:rPr>
        <w:t>Under the DGCL, if a meeting of stockholders is adjourned due to lack of a quorum and the 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77" w:lineRule="exact"/>
        <w:rPr>
          <w:sz w:val="20"/>
          <w:szCs w:val="20"/>
          <w:color w:val="auto"/>
        </w:rPr>
      </w:pPr>
    </w:p>
    <w:p>
      <w:pPr>
        <w:jc w:val="both"/>
        <w:ind w:firstLine="871"/>
        <w:spacing w:after="0" w:line="255"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of Proxies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Under the DGCL, a proxy executed by a stockholder will remain valid for a period of three years, unless the proxy provides for a longer period.</w:t>
      </w:r>
    </w:p>
    <w:p>
      <w:pPr>
        <w:spacing w:after="0" w:line="218" w:lineRule="exact"/>
        <w:rPr>
          <w:sz w:val="20"/>
          <w:szCs w:val="20"/>
          <w:color w:val="auto"/>
        </w:rPr>
      </w:pPr>
    </w:p>
    <w:p>
      <w:pPr>
        <w:jc w:val="both"/>
        <w:ind w:firstLine="701"/>
        <w:spacing w:after="0" w:line="305" w:lineRule="auto"/>
        <w:rPr>
          <w:sz w:val="20"/>
          <w:szCs w:val="20"/>
          <w:color w:val="auto"/>
        </w:rPr>
      </w:pPr>
      <w:r>
        <w:rPr>
          <w:rFonts w:ascii="Times New Roman" w:cs="Times New Roman" w:eastAsia="Times New Roman" w:hAnsi="Times New Roman"/>
          <w:sz w:val="17"/>
          <w:szCs w:val="17"/>
          <w:color w:val="auto"/>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and Voting</w:t>
      </w:r>
    </w:p>
    <w:p>
      <w:pPr>
        <w:spacing w:after="0" w:line="222" w:lineRule="exact"/>
        <w:rPr>
          <w:sz w:val="20"/>
          <w:szCs w:val="20"/>
          <w:color w:val="auto"/>
        </w:rPr>
      </w:pPr>
    </w:p>
    <w:p>
      <w:pPr>
        <w:jc w:val="both"/>
        <w:ind w:firstLine="742"/>
        <w:spacing w:after="0" w:line="260" w:lineRule="auto"/>
        <w:rPr>
          <w:sz w:val="20"/>
          <w:szCs w:val="20"/>
          <w:color w:val="auto"/>
        </w:rPr>
      </w:pPr>
      <w:r>
        <w:rPr>
          <w:rFonts w:ascii="Times New Roman" w:cs="Times New Roman" w:eastAsia="Times New Roman" w:hAnsi="Times New Roman"/>
          <w:sz w:val="18"/>
          <w:szCs w:val="18"/>
          <w:color w:val="auto"/>
        </w:rPr>
        <w:t>The DGCL provides that the certificate of incorporation and bylaws may establish quorum and voting requirements, but in no event shall quorum consist of less than one-third of the shares entitled to vote. If the certificate of incorporation and bylaws are silent as to specific quorum and voting requirements: (a) a majority of the shares entitled to vote shall constitute a quorum at a meeting of</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7"/>
          <w:szCs w:val="17"/>
          <w:color w:val="auto"/>
        </w:rPr>
        <w:t>stockholders; (b) in all matters other than the election of directors, the affirmative vote of the majority of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is required, a majority of the outstanding shares of such class or series shall constitute a quorum entitled to take action with respect to that vote on that matter and, in all matters other than the election of directors, the affirmative vote of the majority of shares of such class or series present at the meeting shall be the act of such class or series or classes or series. A bylaw amendment adopted by stockholders which specifies the votes that shall be necessary for the election of directors shall not be further amended or repealed by the board. The Delaware Bylaws provide that the holders of shares representing a majority of the voting power of the Company entitled to vote shall constitute a quorum at all meetings of the stockholders for the transaction of business, provided, however, that where a separate vote by a class or series or classes or series is required, a majority of the outstanding shares of such class or series or classes or series shall constitute a quorum with respect to such vote.</w:t>
      </w:r>
    </w:p>
    <w:p>
      <w:pPr>
        <w:spacing w:after="0" w:line="175"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provide that unless otherwise required by law or the articles of incorporation of the Company, the holders of a majority of the voting power of the outstanding shares of capital stock of the Company entitled to vote thereat shall constitute a quorum at all meetings of the stockholders for the transaction of business. The Nevada Bylaws provide that, except as otherwise provided by law, in the articles of incorporation or bylaws of the corporation, that action by the stockholders on a matter other than the election of directors is approved if a majority of the voting power of the shares present in person or represented by proxy at the meeting and entitled to vote on the matter approve the 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Inspection Rights</w:t>
      </w:r>
    </w:p>
    <w:p>
      <w:pPr>
        <w:spacing w:after="0" w:line="222" w:lineRule="exact"/>
        <w:rPr>
          <w:sz w:val="20"/>
          <w:szCs w:val="20"/>
          <w:color w:val="auto"/>
        </w:rPr>
      </w:pPr>
    </w:p>
    <w:p>
      <w:pPr>
        <w:jc w:val="both"/>
        <w:ind w:firstLine="661"/>
        <w:spacing w:after="0" w:line="260" w:lineRule="auto"/>
        <w:rPr>
          <w:sz w:val="20"/>
          <w:szCs w:val="20"/>
          <w:color w:val="auto"/>
        </w:rPr>
      </w:pPr>
      <w:r>
        <w:rPr>
          <w:rFonts w:ascii="Times New Roman" w:cs="Times New Roman" w:eastAsia="Times New Roman" w:hAnsi="Times New Roman"/>
          <w:sz w:val="18"/>
          <w:szCs w:val="18"/>
          <w:color w:val="auto"/>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spacing w:after="0" w:line="177" w:lineRule="exact"/>
        <w:rPr>
          <w:sz w:val="20"/>
          <w:szCs w:val="20"/>
          <w:color w:val="auto"/>
        </w:rPr>
      </w:pPr>
    </w:p>
    <w:p>
      <w:pPr>
        <w:jc w:val="both"/>
        <w:ind w:firstLine="666"/>
        <w:spacing w:after="0" w:line="251" w:lineRule="auto"/>
        <w:rPr>
          <w:sz w:val="20"/>
          <w:szCs w:val="20"/>
          <w:color w:val="auto"/>
        </w:rPr>
      </w:pPr>
      <w:r>
        <w:rPr>
          <w:rFonts w:ascii="Times New Roman" w:cs="Times New Roman" w:eastAsia="Times New Roman" w:hAnsi="Times New Roman"/>
          <w:sz w:val="18"/>
          <w:szCs w:val="18"/>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spacing w:after="0" w:line="185" w:lineRule="exact"/>
        <w:rPr>
          <w:sz w:val="20"/>
          <w:szCs w:val="20"/>
          <w:color w:val="auto"/>
        </w:rPr>
      </w:pPr>
    </w:p>
    <w:p>
      <w:pPr>
        <w:jc w:val="both"/>
        <w:ind w:firstLine="696"/>
        <w:spacing w:after="0" w:line="252" w:lineRule="auto"/>
        <w:rPr>
          <w:sz w:val="20"/>
          <w:szCs w:val="20"/>
          <w:color w:val="auto"/>
        </w:rPr>
      </w:pPr>
      <w:r>
        <w:rPr>
          <w:rFonts w:ascii="Times New Roman" w:cs="Times New Roman" w:eastAsia="Times New Roman" w:hAnsi="Times New Roman"/>
          <w:sz w:val="18"/>
          <w:szCs w:val="18"/>
          <w:color w:val="auto"/>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Opportunities</w:t>
      </w:r>
    </w:p>
    <w:p>
      <w:pPr>
        <w:spacing w:after="0" w:line="222" w:lineRule="exact"/>
        <w:rPr>
          <w:sz w:val="20"/>
          <w:szCs w:val="20"/>
          <w:color w:val="auto"/>
        </w:rPr>
      </w:pPr>
    </w:p>
    <w:p>
      <w:pPr>
        <w:jc w:val="both"/>
        <w:ind w:firstLine="482"/>
        <w:spacing w:after="0" w:line="251" w:lineRule="auto"/>
        <w:rPr>
          <w:sz w:val="20"/>
          <w:szCs w:val="20"/>
          <w:color w:val="auto"/>
        </w:rPr>
      </w:pPr>
      <w:r>
        <w:rPr>
          <w:rFonts w:ascii="Times New Roman" w:cs="Times New Roman" w:eastAsia="Times New Roman" w:hAnsi="Times New Roman"/>
          <w:sz w:val="18"/>
          <w:szCs w:val="18"/>
          <w:color w:val="auto"/>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spacing w:after="0" w:line="185" w:lineRule="exact"/>
        <w:rPr>
          <w:sz w:val="20"/>
          <w:szCs w:val="20"/>
          <w:color w:val="auto"/>
        </w:rPr>
      </w:pPr>
    </w:p>
    <w:p>
      <w:pPr>
        <w:jc w:val="both"/>
        <w:ind w:firstLine="600"/>
        <w:spacing w:after="0" w:line="260" w:lineRule="auto"/>
        <w:rPr>
          <w:sz w:val="20"/>
          <w:szCs w:val="20"/>
          <w:color w:val="auto"/>
        </w:rPr>
      </w:pPr>
      <w:r>
        <w:rPr>
          <w:rFonts w:ascii="Times New Roman" w:cs="Times New Roman" w:eastAsia="Times New Roman" w:hAnsi="Times New Roman"/>
          <w:sz w:val="18"/>
          <w:szCs w:val="18"/>
          <w:color w:val="auto"/>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The Nevada Charter provides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that the Company renounces any interest or expectancy in certain corporate opportunities, the general effect of which will be that no officer or director of the Company who is also an officer or director of LTRIP will be liable to the Company or its stockholders for breach of any fiduciary duty by reason of the fact that any such individual directs a corporate opportunity to LTRIP instead of to the Company, or does not communicate information to the Company regarding a corporate opportunity that the officer or director has directed to LTRIP.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Risks and Disadvantages of the Redomestication</w:t>
      </w:r>
    </w:p>
    <w:p>
      <w:pPr>
        <w:spacing w:after="0" w:line="22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7"/>
          <w:szCs w:val="17"/>
          <w:color w:val="auto"/>
        </w:rPr>
        <w:t>Because of Delaware’s prominence as a state of incorporation for many large corporations, the Delaware courts have developed considerable expertise in dealing with corporate issues and a substantial body of case law has developed construing Delaware law and establishing public policies with respect to Delaware corporations. While Nevada also has encouraged incorporation in that state and has adopted comprehensive, modern and flexible statutes that it periodically updates and revises to meet changing business needs, Nevada case law concerning the effects of its statutes and regulations is more limited. As a result, the Company and its stockholders may experience less predictability with respect to the legality of certain corporate affairs and transactions and stockholders’ rights to challenge them, to the extent Nevada’s statutes do not provide a clear answer and a Nevada court must make a determination.</w:t>
      </w:r>
    </w:p>
    <w:p>
      <w:pPr>
        <w:spacing w:after="0" w:line="17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Also, underwriters and other members of the financial services industry may be less willing and able to assist the Company with capital-raising programs because they might perceive Nevada’s laws as being less flexible or developed than those of Delaware. Certain investment funds, sophisticated investors and brokerage firms may likewise be less comfortable and less willing to invest in a corporation incorporated in a jurisdiction other than Delaware whose corporate laws may be less understood or perceived to be unresponsive to stockholder rights.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will also incur certain non-recurring costs in connection with the Redomestication, including legal and other transaction costs. A majority of these costs have already been incurred or will be incurred regardless of whether the Redomestication is ultimately completed. Many of the expenses that will be incurred are difficult to accurately estimate at the present time, and additional unanticipated costs may be incurred in connection with the Redomestication</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0"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8"/>
          <w:szCs w:val="18"/>
          <w:color w:val="auto"/>
        </w:rPr>
        <w:t>The consummation of the Redomestication requires the filing of the Articles of Conversion and the Nevada Charter with the office of the Nevada Secretary of State and the Certificate of Conversion with the Office of the Secretary of State in Delaware. No other regulatory or governmental approvals or consents will be required in connection with the Redomestication.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Under the DGCL, holders of our common stock are not entitled to appraisal rights with respect to the Redomestication described in this Proposal. Under the DGCL, holders of our Class B common stock are entitled to appraisal rights in connection with the Redomestication but LTRIP, the sole holder of our Class B common stock, has waived such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Exchange of Stock Certificates Required</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will not have to exchange their existing stock certificates for new stock certificates.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Material Accounting Implications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Effecting the Redomestication will not have any material accounting implications.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22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of the Redomestication to holders of the shares of the common stock and Class B common stock of the Delaware Corporation (together, the “Delaware Common Stock”), each of which shares is converted into one outstanding share of common stock or Class B common stock of the Nevada Corporation (together, the “Nevada Common Stock”), respectively, in connection with the Redomestication.</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This discussion is based on the Code, applicable Treasury regulations promulgated or proposed thereunder (collectively, the “Treasury Regulations”), judicial authority, and administrative rulings and practice, all as in effect as of the date of this proxy statement, and all of which are subject to change at any time, possibly with retroactive effect. This discussion is limited to holders of the Delaware Common Stock that are U.S. holders (as defined below) and that hold their shares of common stock as capital assets, within the meaning of Section 1221 of the Code. Further, this discussion does not discuss all tax considerations that may be relevant to holders of the Delaware Common Stock in light of their particular circumstances (including the Medicare tax imposed on net investment income and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spacing w:after="0" w:line="269" w:lineRule="auto"/>
        <w:rPr>
          <w:sz w:val="20"/>
          <w:szCs w:val="20"/>
          <w:color w:val="auto"/>
        </w:rPr>
      </w:pPr>
      <w:r>
        <w:rPr>
          <w:rFonts w:ascii="Times New Roman" w:cs="Times New Roman" w:eastAsia="Times New Roman" w:hAnsi="Times New Roman"/>
          <w:sz w:val="17"/>
          <w:szCs w:val="17"/>
          <w:color w:val="auto"/>
        </w:rPr>
        <w:t>the alternative minimum tax), nor does it address any tax consequences to holders subject to special treatment under the U.S. federal income tax laws, such as tax-exempt entities, partnerships or other pass-through entities for U.S. federal income tax purposes (and investors therein), holders that acquired their shares of common stock pursuant to the exercise of employee stock options or otherwise as compensation, financial institutions, insurance companies, dealers or traders in securities, holders that have a functional currency other than the U.S. dollar, and holders that hold their shares of common stock as part of a straddle, hedge, conversion, constructive sale, synthetic security, integrated investment, or other risk-reduction transaction for U.S. federal income tax purposes. This discussion does not address any U.S. federal estate, gift, or other non-income tax consequences or any state, local, or foreign tax consequences.</w:t>
      </w:r>
    </w:p>
    <w:p>
      <w:pPr>
        <w:spacing w:after="0" w:line="171"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Holders of the Delaware Common Stock are urged to consult their tax advisors as to the particular tax consequences to them of the Redomestication, including any applicable U.S. federal, state, local, or foreign tax consequences.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purposes of this section, a U.S. holder is a beneficial owner of the Delaware Common Stock that is, for U.S. federal income tax purposes, (i) an individual that is a citizen or resident of the United States; (ii) a corporation, or other entity taxable as a corporation for U.S. federal income tax purposes, created or organized under the laws of the United States or any state or political subdivision thereof; (iii) an estate, the income of which is subject to U.S. federal income taxation regardless of its source; or (iv) a trust, if (a) a court within the United States is able to exercise primary jurisdiction over its administration and one or more U.S. persons have the authority to control all of its substantial decisions, or (b) it has a valid election in place under applicable Treasury Regulations to be treated as a U.S. person.</w:t>
      </w:r>
    </w:p>
    <w:p>
      <w:pPr>
        <w:spacing w:after="0" w:line="183"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7"/>
          <w:szCs w:val="17"/>
          <w:color w:val="auto"/>
        </w:rPr>
        <w:t>If a partnership (including any entity or arrangement treated as partnership for U.S. federal income tax purposes) holds shares of the Delaware Common Stock, the tax treatment of a partner in the partnership will generally depend upon the status of the partner and the activities of the partnership. A partner in a partnership holding shares of the Delaware Common Stock should consult its tax advisor regarding the tax consequences of the Redomestication.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the Redomestication</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Subject to the caveats and qualifications noted above, we intend the Redomestication, under U.S. federal income tax law, to qualify as a tax-free “reorganization” within the meaning of Section 368(a)(1)(F) of the Code. Assuming the Redomestication qualifies as a “reorganization” within the meaning of Section 368(a)(1)(F) of the Code, then, for U.S. federal income tax purposes:</w:t>
      </w:r>
    </w:p>
    <w:p>
      <w:pPr>
        <w:spacing w:after="0" w:line="284" w:lineRule="exact"/>
        <w:rPr>
          <w:sz w:val="20"/>
          <w:szCs w:val="20"/>
          <w:color w:val="auto"/>
        </w:rPr>
      </w:pPr>
    </w:p>
    <w:p>
      <w:pPr>
        <w:ind w:left="1020" w:hanging="505"/>
        <w:spacing w:after="0" w:line="275" w:lineRule="auto"/>
        <w:tabs>
          <w:tab w:leader="none" w:pos="1020" w:val="left"/>
        </w:tabs>
        <w:numPr>
          <w:ilvl w:val="0"/>
          <w:numId w:val="2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no gain or loss will be recognized by, and no amount will be included in the income of, a holder of the Delaware Common Stock upon the conversion of such Delaware Common Stock into the Nevada Common Stock in connection with the Redomestication;</w:t>
      </w:r>
    </w:p>
    <w:p>
      <w:pPr>
        <w:spacing w:after="0" w:line="56" w:lineRule="exact"/>
        <w:rPr>
          <w:rFonts w:ascii="Times New Roman" w:cs="Times New Roman" w:eastAsia="Times New Roman" w:hAnsi="Times New Roman"/>
          <w:sz w:val="18"/>
          <w:szCs w:val="18"/>
          <w:color w:val="02AE90"/>
        </w:rPr>
      </w:pPr>
    </w:p>
    <w:p>
      <w:pPr>
        <w:jc w:val="both"/>
        <w:ind w:left="1020" w:hanging="505"/>
        <w:spacing w:after="0" w:line="260" w:lineRule="auto"/>
        <w:tabs>
          <w:tab w:leader="none" w:pos="1020" w:val="left"/>
        </w:tabs>
        <w:numPr>
          <w:ilvl w:val="0"/>
          <w:numId w:val="2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aggregate tax basis of the shares of the Nevada Common Stock received by a holder of shares of the Delaware Common Stock in connection with the Redomestication will equal the aggregate tax basis of the shares of the Delaware Common Stock converted into such shares of the Nevada Common Stock; and</w:t>
      </w:r>
    </w:p>
    <w:p>
      <w:pPr>
        <w:spacing w:after="0" w:line="71" w:lineRule="exact"/>
        <w:rPr>
          <w:rFonts w:ascii="Times New Roman" w:cs="Times New Roman" w:eastAsia="Times New Roman" w:hAnsi="Times New Roman"/>
          <w:sz w:val="18"/>
          <w:szCs w:val="18"/>
          <w:color w:val="02AE90"/>
        </w:rPr>
      </w:pPr>
    </w:p>
    <w:p>
      <w:pPr>
        <w:ind w:left="1020" w:hanging="505"/>
        <w:spacing w:after="0" w:line="275" w:lineRule="auto"/>
        <w:tabs>
          <w:tab w:leader="none" w:pos="1020" w:val="left"/>
        </w:tabs>
        <w:numPr>
          <w:ilvl w:val="0"/>
          <w:numId w:val="2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holding period of the shares of the Nevada Common Stock received by a holder of the Delaware Common Stock in connection with the Redomestication will include the holding period of the common stock converted into such shares of the Nevada Common Stock.</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Stockholders that have acquired different blocks of the Delaware Common Stock at different times or at different prices, and whose blocks of such common stock are converted into shares of Nevada Common Stock in connection with the Redomestication, should consult their tax advisors regarding the allocation of their aggregate tax basis among, and the holding period of, such shares of the Nevada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U.S. holder of the Delaware Common Stock that owns at least 5% of the outstanding stock of the Company (by vote or value) immediately before the Redomestication will generally be required to attach to such holder’s U.S. federal income tax return for the year in which the Redomestication occurs a statement setting forth certain information relating to the Redomestication, including the aggregate fair market value and tax basis of the stock of such holder converted in connection with the Redomestication. Holders of the Delaware Common Stock should consult their tax advisors to determine whether they are required to provide the foregoing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Implications of the Redomestication</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Redomestication is not being effected to prevent a change in control, nor is it in response to any present attempt known to our Board to acquire control of the Company or obtain representation on our Board. Nevertheless, certain effects of the Redomestication may be considered to have anti-takeover implications by virtue of being subject to Nevada law.</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4" w:name="page45"/>
    <w:bookmarkEnd w:id="44"/>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the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Board-approved transactions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Board recognizes that hostile takeover attempts do not always have the unfavorable consequences or effects described above and may be beneficial to stockholders, providing them with considerable value for their shares. However, the Board believes that the potential disadvantages of unapproved takeover attempts are sufficiently great that prudent measures are needed to give the Board the time and flexibility to determine 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Nevada law includes some features that may deter hostile takeover attempts. The Nevada Charter contains certain anti-takeover provisions similar to those set forth in the Delaware Charter; both the Delaware Charter and Nevada Charter allow the Board alone to fill any directorship vacancies. Notwithstanding these similarities, there are a number of differences between Nevada and Delaware law and between the governing documents of the Delaware Corporation and the Nevada Corporation which could have a bearing on unapproved takeover attempts. For example, the Delaware Charter allows the stockholders to remove the directors with or without cause by the vote of a majority of the voting power of shares of stock issued and outstanding of the class that elected such director while the Nevada Charter allows the stockholders to remove a director only by the vote of not less than two-thirds of the voting power of the shares of the class that elected such director.</w:t>
      </w:r>
    </w:p>
    <w:p>
      <w:pPr>
        <w:spacing w:after="0" w:line="185"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Board may in the future propose other measures designed to address hostile takeovers apart from those discussed in this proxy statement, if warranted from time to time in the judgment of the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ask our stockholders to approve the Redomestication and the adoption of the Redomestication Resolution. This proposal requires the affirmative vote of a majority of the voting power of the shares of Tripadvisor capital stock, present in person or represented by proxy, and entitled to vote thereon, voting together as a single class.</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With respect to approval of the Redomestication and the adoption of the Redomestication Resolution, you may vote “FOR”, “AGAINST” or “ABSTAIN”. Abstentions will only be counted toward the tabulations of voting power present and entitled to vote on the Redomestication proposal and will have the same effect as votes against the proposal. Brokers do not have discretion to vote on the proposal to approve the Redomestication and broker non-votes will have the same effect as votes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273050</wp:posOffset>
            </wp:positionV>
            <wp:extent cx="7037705" cy="3333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3333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THE APPROVAL OF THE REDOMESTICATION AND THE ADOPTION OF THE REDOMESTICATION RESOLUTION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02AE90"/>
        </w:rPr>
        <w:t>PROPOSAL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2AE90"/>
        </w:rPr>
        <w:t>APPROVAL OF THE TRIPADVISOR INC. 2023 STOCK AND ANNUAL INCENTIVE PLAN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stock options, restricted stock units, performance awards and other stock-based or incentive awards can play an important role in the success of Tripadvisor by encouraging and enabling our employees, officers, non-employee directors, and consultants, upon whose judgment, initiative, and efforts we largely depend for the success of our business, to acquire a proprietary interest in Tripadvisor. The Board anticipates that providing such persons with a direct stake in the Company will assure a closer identification of the interests of such individuals with those of Tripadvisor and its stockholders, thereby stimulating their efforts on Tripadvisor’s behalf and strengthening their desire to remain with Tripadvisor.</w:t>
      </w:r>
    </w:p>
    <w:p>
      <w:pPr>
        <w:spacing w:after="0" w:line="13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19, 2023], the Board approved the Tripadvisor, Inc. 2023 Stock and Annual Incentive Plan (the "2023 Plan"), subject to approval by the stockholders, primarily for the purpose of providing sufficient reserves of shares of our common stock to ensure our ability to continue to provide new hires, employees, management and other participants with equity incentives. If approved, the number of shares reserved and available for issuance under the 2023 Plan would be [ ] plus the number of shares available for issuance (and not subject to outstanding awards) under the Tripadvisor, Inc. 2018 Stock and Annual Incentive Plan (the “2018 Plan”), as of the effective date of the 2023 Plan. The 2023 Plan is attached hereto as Annex 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Burn Rate and Expected Duration</w:t>
      </w:r>
    </w:p>
    <w:p>
      <w:pPr>
        <w:spacing w:after="0" w:line="20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committed to managing the use of our equity incentives prudently to balance the benefits that equity compensation brings to our equity compensation programs against the dilution it causes our stockholders. As a result, as part of our analysis when considering the number of shares to be reserved under the 2023 Plan, we reviewed key metrics that are typically used to evaluate such proposed increases. One such metric considered was our “burn rate” calculation in order to quantify how quickly we use our stockholder capital. Tripadvisor’s 2022 YTD share usage rate of 6.0% is slightly above the 2021 peer 75th percentile (5.7%), and the Company’s 3-year average share usage rate of 5.0% is between the 3-year average peer median (2.6%) and 75th percentile (5.8%) due to special equity grants made in 2020 as well as executive hires made in 2022.</w:t>
      </w:r>
    </w:p>
    <w:p>
      <w:pPr>
        <w:spacing w:after="0" w:line="15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result, we currently expect that the proposed share reserve under the 2023 Plan will be sufficient for currently-anticipated awards through [202__]. Expectations regarding future share usage could be impacted by a number of factors including but not limited to, hiring and promotion activity; the rate at which shares are returned to the 2023 Plan reserve upon the expiration, forfeiture, and net share settlement of awards; the future performance of our stock price; and the terms of any potential future acquisitions. While we believe that the assumptions we used are reasonable, future share usage may differ from current expectations.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2023 Plan</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material features of the 2023 Plan are as follows:</w:t>
      </w:r>
    </w:p>
    <w:p>
      <w:pPr>
        <w:sectPr>
          <w:pgSz w:w="11900" w:h="16838" w:orient="portrait"/>
          <w:cols w:equalWidth="0" w:num="1">
            <w:col w:w="11240"/>
          </w:cols>
          <w:pgMar w:left="320" w:top="119" w:right="339" w:bottom="1440" w:gutter="0" w:footer="0" w:header="0"/>
        </w:sectPr>
      </w:pP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02AE90"/>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total number of shares of common stock available for issuance under the 2023 Plan is [ under the 2018 Plan as of the effective date of the 2023 Plan.</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plus the number of shares available for issuance</w:t>
      </w:r>
    </w:p>
    <w:p>
      <w:pPr>
        <w:spacing w:after="0" w:line="335" w:lineRule="exact"/>
        <w:rPr>
          <w:sz w:val="20"/>
          <w:szCs w:val="20"/>
          <w:color w:val="auto"/>
        </w:rPr>
      </w:pPr>
    </w:p>
    <w:p>
      <w:pPr>
        <w:sectPr>
          <w:pgSz w:w="11900" w:h="16838" w:orient="portrait"/>
          <w:cols w:equalWidth="0" w:num="3">
            <w:col w:w="580" w:space="320"/>
            <w:col w:w="6520" w:space="300"/>
            <w:col w:w="3520"/>
          </w:cols>
          <w:pgMar w:left="320" w:top="119" w:right="339" w:bottom="1440" w:gutter="0" w:footer="0" w:header="0"/>
          <w:type w:val="continuous"/>
        </w:sectPr>
      </w:pPr>
    </w:p>
    <w:p>
      <w:pPr>
        <w:jc w:val="both"/>
        <w:ind w:left="900" w:hanging="384"/>
        <w:spacing w:after="0" w:line="260" w:lineRule="auto"/>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Shares of common stock underlying awards that are forfeited, canceled, or otherwise terminated and shares tendered or held back for taxes or to cover the exercise price of options under the 2023 Plan and the 2018 Plan will be added back to the reserve pool under the 2023 Plan. Shares of common stock repurchased on the open market will not be added back to the shares available for issuance under the 2023 Plan.</w:t>
      </w:r>
    </w:p>
    <w:p>
      <w:pPr>
        <w:spacing w:after="0" w:line="71" w:lineRule="exact"/>
        <w:rPr>
          <w:rFonts w:ascii="Times New Roman" w:cs="Times New Roman" w:eastAsia="Times New Roman" w:hAnsi="Times New Roman"/>
          <w:sz w:val="18"/>
          <w:szCs w:val="18"/>
          <w:color w:val="02AE90"/>
        </w:rPr>
      </w:pPr>
    </w:p>
    <w:p>
      <w:pPr>
        <w:ind w:left="900" w:hanging="384"/>
        <w:spacing w:after="0" w:line="275" w:lineRule="auto"/>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Based on current grant practices, we currently expect that the 2023 Plan will provide the Compensation Committees with sufficient shares for grants through [______].</w:t>
      </w:r>
    </w:p>
    <w:p>
      <w:pPr>
        <w:spacing w:after="0" w:line="56" w:lineRule="exact"/>
        <w:rPr>
          <w:rFonts w:ascii="Times New Roman" w:cs="Times New Roman" w:eastAsia="Times New Roman" w:hAnsi="Times New Roman"/>
          <w:sz w:val="18"/>
          <w:szCs w:val="18"/>
          <w:color w:val="02AE90"/>
        </w:rPr>
      </w:pPr>
    </w:p>
    <w:p>
      <w:pPr>
        <w:ind w:left="900" w:hanging="384"/>
        <w:spacing w:after="0"/>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2023 Plan does not allow for acceleration of equity awards solely upon a change in control (also known as a “single trigger”).</w:t>
      </w:r>
    </w:p>
    <w:p>
      <w:pPr>
        <w:spacing w:after="0" w:line="111" w:lineRule="exact"/>
        <w:rPr>
          <w:rFonts w:ascii="Times New Roman" w:cs="Times New Roman" w:eastAsia="Times New Roman" w:hAnsi="Times New Roman"/>
          <w:sz w:val="18"/>
          <w:szCs w:val="18"/>
          <w:color w:val="02AE90"/>
        </w:rPr>
      </w:pPr>
    </w:p>
    <w:p>
      <w:pPr>
        <w:ind w:left="900" w:hanging="384"/>
        <w:spacing w:after="0"/>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Stock options and stock appreciation rights may not be repriced in any manner without stockholder approval.</w:t>
      </w:r>
    </w:p>
    <w:p>
      <w:pPr>
        <w:spacing w:after="0" w:line="111" w:lineRule="exact"/>
        <w:rPr>
          <w:rFonts w:ascii="Times New Roman" w:cs="Times New Roman" w:eastAsia="Times New Roman" w:hAnsi="Times New Roman"/>
          <w:sz w:val="18"/>
          <w:szCs w:val="18"/>
          <w:color w:val="02AE90"/>
        </w:rPr>
      </w:pPr>
    </w:p>
    <w:p>
      <w:pPr>
        <w:ind w:left="900" w:hanging="384"/>
        <w:spacing w:after="0" w:line="275" w:lineRule="auto"/>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2023 Plan provides that, during any calendar year, the maximum value of awards made under the 2023 Plan and cash fees paid to any non-employee director shall not exceed $1,000,000.</w:t>
      </w:r>
    </w:p>
    <w:p>
      <w:pPr>
        <w:spacing w:after="0" w:line="56" w:lineRule="exact"/>
        <w:rPr>
          <w:rFonts w:ascii="Times New Roman" w:cs="Times New Roman" w:eastAsia="Times New Roman" w:hAnsi="Times New Roman"/>
          <w:sz w:val="18"/>
          <w:szCs w:val="18"/>
          <w:color w:val="02AE90"/>
        </w:rPr>
      </w:pPr>
    </w:p>
    <w:p>
      <w:pPr>
        <w:ind w:left="900" w:hanging="384"/>
        <w:spacing w:after="0"/>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Any material amendment to the 2023 Plan is subject to approval of our stockholders.</w:t>
      </w:r>
    </w:p>
    <w:p>
      <w:pPr>
        <w:spacing w:after="0" w:line="111" w:lineRule="exact"/>
        <w:rPr>
          <w:rFonts w:ascii="Times New Roman" w:cs="Times New Roman" w:eastAsia="Times New Roman" w:hAnsi="Times New Roman"/>
          <w:sz w:val="18"/>
          <w:szCs w:val="18"/>
          <w:color w:val="02AE90"/>
        </w:rPr>
      </w:pPr>
    </w:p>
    <w:p>
      <w:pPr>
        <w:ind w:left="900" w:hanging="384"/>
        <w:spacing w:after="0"/>
        <w:tabs>
          <w:tab w:leader="none" w:pos="900" w:val="left"/>
        </w:tabs>
        <w:numPr>
          <w:ilvl w:val="0"/>
          <w:numId w:val="2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Unless sooner terminated, the 2023 Plan carries a 10-year term and will expire on June 6, 2033.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Summary of the 2023 Plan</w:t>
      </w:r>
    </w:p>
    <w:p>
      <w:pPr>
        <w:spacing w:after="0" w:line="16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following description of certain features of the 2023 Plan is intended to be a summary only. The summary is qualified in its entirety by the full text of the 2023 that is attached hereto as Annex E.</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2023 Plan is administered by the Compensation Committees. The Compensation Committees have full power to select,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individuals eligible for awards, the individuals to whom awards will be granted, to make any combination of awards to participants, and to determine the specific terms and conditions of each award, subject to the provisions of the 2023 Plan. The Compensation Committees may delegate to an officer of Tripadvisor the authority to grant awards to employees who are not subject to the reporting and other provisions of Section 16 of the Exchange Act, subject to certain limitations and guidelines.</w:t>
      </w:r>
    </w:p>
    <w:p>
      <w:pPr>
        <w:spacing w:after="0" w:line="1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2023 Plan are the directors, officers, employees, and consultants of Tripadvisor and its subsidiaries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as selected from time to time by the Compensation Committees in their discretion. As of March 13, 2023, approximately [3,164] individuals are currently eligible to participate in the 2023 Plan, which includes three executive officers, [3,161] employees who are not officers, and nine non-employee directors.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i w:val="1"/>
          <w:iCs w:val="1"/>
          <w:color w:val="auto"/>
        </w:rPr>
        <w:t>Plan and Individual Limits</w:t>
      </w:r>
      <w:r>
        <w:rPr>
          <w:rFonts w:ascii="Times New Roman" w:cs="Times New Roman" w:eastAsia="Times New Roman" w:hAnsi="Times New Roman"/>
          <w:sz w:val="17"/>
          <w:szCs w:val="17"/>
          <w:color w:val="auto"/>
        </w:rPr>
        <w:t>. No more than [___________] shares in the aggregate may be issued in the form of incentive stock options. The 2023 Plan</w:t>
      </w:r>
    </w:p>
    <w:p>
      <w:pPr>
        <w:spacing w:after="0" w:line="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provides that the value of awards under the 2023 Plan and all other compensation paid by the Company to any non-employee director in any calendar year shall not exceed $1,000,000.</w:t>
      </w:r>
    </w:p>
    <w:p>
      <w:pPr>
        <w:spacing w:after="0" w:line="168"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2023 Plan allows for the grant of different types of awards including, but not limited to, restricted stock,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stock appreciation rights, other stock-based awards and bonus awards.</w:t>
      </w:r>
    </w:p>
    <w:p>
      <w:pPr>
        <w:spacing w:after="0" w:line="53" w:lineRule="exact"/>
        <w:rPr>
          <w:sz w:val="20"/>
          <w:szCs w:val="20"/>
          <w:color w:val="auto"/>
        </w:rPr>
      </w:pPr>
    </w:p>
    <w:p>
      <w:pPr>
        <w:jc w:val="both"/>
        <w:ind w:left="1140" w:hanging="370"/>
        <w:spacing w:after="0" w:line="261" w:lineRule="auto"/>
        <w:tabs>
          <w:tab w:leader="none" w:pos="1140" w:val="left"/>
        </w:tabs>
        <w:numPr>
          <w:ilvl w:val="0"/>
          <w:numId w:val="2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Compensation Committees may award shares of common stock to participants subject to such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Compensation Committees may determine. These conditions and restrictions may include continued employment with Tripadvisor through a specified vesting period and/or the achievement of certain goals (primarily performance goals).</w:t>
      </w:r>
    </w:p>
    <w:p>
      <w:pPr>
        <w:spacing w:after="0" w:line="68" w:lineRule="exact"/>
        <w:rPr>
          <w:rFonts w:ascii="Times New Roman" w:cs="Times New Roman" w:eastAsia="Times New Roman" w:hAnsi="Times New Roman"/>
          <w:sz w:val="18"/>
          <w:szCs w:val="18"/>
          <w:color w:val="02AE90"/>
        </w:rPr>
      </w:pPr>
    </w:p>
    <w:p>
      <w:pPr>
        <w:jc w:val="both"/>
        <w:ind w:left="1140" w:hanging="370"/>
        <w:spacing w:after="0" w:line="256" w:lineRule="auto"/>
        <w:tabs>
          <w:tab w:leader="none" w:pos="1140" w:val="left"/>
        </w:tabs>
        <w:numPr>
          <w:ilvl w:val="0"/>
          <w:numId w:val="2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Compensation Committees may award restricted stock units to any participant. These units are ultimately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form of shares of common stock, cash, or a combination of both and may be subject to such conditions and restrictions as the Compensation Committees may determine. As with restricted stock, these conditions and restrictions may include continued employment with Tripadvisor through a specified vesting period and/or the achievement of certain goals (primarily performance goals).</w:t>
      </w:r>
    </w:p>
    <w:p>
      <w:pPr>
        <w:spacing w:after="0" w:line="73" w:lineRule="exact"/>
        <w:rPr>
          <w:rFonts w:ascii="Times New Roman" w:cs="Times New Roman" w:eastAsia="Times New Roman" w:hAnsi="Times New Roman"/>
          <w:sz w:val="18"/>
          <w:szCs w:val="18"/>
          <w:color w:val="02AE90"/>
        </w:rPr>
      </w:pPr>
    </w:p>
    <w:p>
      <w:pPr>
        <w:jc w:val="both"/>
        <w:ind w:left="1140" w:hanging="370"/>
        <w:spacing w:after="0" w:line="249" w:lineRule="auto"/>
        <w:tabs>
          <w:tab w:leader="none" w:pos="1140" w:val="left"/>
        </w:tabs>
        <w:numPr>
          <w:ilvl w:val="0"/>
          <w:numId w:val="2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2023 Plan permits the granting of (i)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(ii) options that do not so qualify, which are referred to herein as non-qualified options. To qualify as incentive stock options, options must meet additional federal tax requirements, including a $100,000 limit on the value of shares subject to incentive options that first become exercisable by a participant in any one calendar year. Options granted under the 2023 Plan will be non-qualified options if they fail to qualify as incentive stock options under Section 422 of the Code or exceed the annual limit on incentive stock options. The exercise price of each option will be determined by the Compensation Committees but may not be less than 100% (or, in the case of an incentive stock option granted to a ten percent stockholder, 110%) of the fair market value of the common stock on the grant date. The term of each option will be fixed by the Compensation Committees and may not exceed ten years from the date of grant (or, in the case of an incentive stock option granted to a ten percent stockholder, five years from the grant date). Non-qualified options may be granted to any persons eligible to receive incentive stock options and to non-employee directors and consultants. Fair market value for this purpose will be the last reported sale price of the shares of common stock on Nasdaq on the date immediately preceding the grant date. The exercise price of an option may not be reduced after the date of the option grant, other than to appropriately reflect changes in our capital structure.</w:t>
      </w:r>
    </w:p>
    <w:p>
      <w:pPr>
        <w:spacing w:after="0" w:line="81" w:lineRule="exact"/>
        <w:rPr>
          <w:rFonts w:ascii="Times New Roman" w:cs="Times New Roman" w:eastAsia="Times New Roman" w:hAnsi="Times New Roman"/>
          <w:sz w:val="18"/>
          <w:szCs w:val="18"/>
          <w:color w:val="02AE90"/>
        </w:rPr>
      </w:pPr>
    </w:p>
    <w:p>
      <w:pPr>
        <w:jc w:val="both"/>
        <w:ind w:left="1140"/>
        <w:spacing w:after="0" w:line="252" w:lineRule="auto"/>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Options may be exercisable in installments and the exercisability of options may be accelerated by the Compensation Committees. Upon exercise of options, the option exercise price must be paid in full by certified or bank check or other instrument acceptable to the Compensation Committees or, if authorized at the time the option is granted, by delivery (or attestation to the ownership) of shares of common stock that are beneficially owned by the optionee. In addition, the Compensation Committees may permit options to be exercised using a net exercise feature which reduces the number of shares issued to the optionee by the number of shares with a fair market value equal to the exercise price.</w:t>
      </w:r>
    </w:p>
    <w:p>
      <w:pPr>
        <w:spacing w:after="0" w:line="75" w:lineRule="exact"/>
        <w:rPr>
          <w:rFonts w:ascii="Times New Roman" w:cs="Times New Roman" w:eastAsia="Times New Roman" w:hAnsi="Times New Roman"/>
          <w:sz w:val="18"/>
          <w:szCs w:val="18"/>
          <w:color w:val="02AE90"/>
        </w:rPr>
      </w:pPr>
    </w:p>
    <w:p>
      <w:pPr>
        <w:jc w:val="both"/>
        <w:ind w:left="1140" w:hanging="370"/>
        <w:spacing w:after="0" w:line="252" w:lineRule="auto"/>
        <w:tabs>
          <w:tab w:leader="none" w:pos="1140" w:val="left"/>
        </w:tabs>
        <w:numPr>
          <w:ilvl w:val="0"/>
          <w:numId w:val="2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Compensation Committees may award tandem or free-standing stock appreciation rights,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as the Compensation Committees may determine. Stock appreciation rights entitle the recipient to shares of common stock, or cash, equal to the value of the appreciation in the stock price over the exercise price. The exercise price may not be less than the fair market value of the common stock on the date of grant and the term shall not exceed ten years from the grant date. The terms of the stock appreciation right (including whether the payment is made in common stock or cash) shall be determined by the Compensation Committees.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47" w:name="page48"/>
    <w:bookmarkEnd w:id="47"/>
    <w:p>
      <w:pPr>
        <w:jc w:val="both"/>
        <w:ind w:left="1140" w:hanging="370"/>
        <w:spacing w:after="0" w:line="252" w:lineRule="auto"/>
        <w:tabs>
          <w:tab w:leader="none" w:pos="1140" w:val="left"/>
        </w:tabs>
        <w:numPr>
          <w:ilvl w:val="0"/>
          <w:numId w:val="2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Compensation Committees may grant awards of common stock or other awards that are valued in whole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by reference to or are otherwise based upon or settled in common stock, including without limitation unrestricted stock, performance units, dividend equivalents and convertible debentures. Dividend equivalents entitle the recipient to receive credits for dividends that would be paid if the recipient had held specified shares of common stock. Dividend equivalents granted as a component of another award subject to performance vesting or other restrictions on vesting conditions may be paid only if the related award becomes vested or unrestricted and will be forfeited if the related award becomes forfeited.</w:t>
      </w:r>
    </w:p>
    <w:p>
      <w:pPr>
        <w:spacing w:after="0" w:line="77" w:lineRule="exact"/>
        <w:rPr>
          <w:rFonts w:ascii="Times New Roman" w:cs="Times New Roman" w:eastAsia="Times New Roman" w:hAnsi="Times New Roman"/>
          <w:sz w:val="18"/>
          <w:szCs w:val="18"/>
          <w:color w:val="02AE90"/>
        </w:rPr>
      </w:pPr>
    </w:p>
    <w:p>
      <w:pPr>
        <w:ind w:left="1140" w:hanging="370"/>
        <w:spacing w:after="0" w:line="277" w:lineRule="auto"/>
        <w:tabs>
          <w:tab w:leader="none" w:pos="1140" w:val="left"/>
        </w:tabs>
        <w:numPr>
          <w:ilvl w:val="0"/>
          <w:numId w:val="2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i w:val="1"/>
          <w:iCs w:val="1"/>
          <w:color w:val="auto"/>
        </w:rPr>
        <w:t>Bonus Awards</w:t>
      </w:r>
      <w:r>
        <w:rPr>
          <w:rFonts w:ascii="Times New Roman" w:cs="Times New Roman" w:eastAsia="Times New Roman" w:hAnsi="Times New Roman"/>
          <w:sz w:val="18"/>
          <w:szCs w:val="18"/>
          <w:color w:val="auto"/>
        </w:rPr>
        <w:t>. The Compensation Committees may grant bonuses under the 2023 Plan to participants. The bonuses may be payable in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may be subject to the achievement of certain performance goals.</w:t>
      </w:r>
    </w:p>
    <w:p>
      <w:pPr>
        <w:spacing w:after="0" w:line="10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i w:val="1"/>
          <w:iCs w:val="1"/>
          <w:color w:val="auto"/>
        </w:rPr>
        <w:t>Change in Control Provisions</w:t>
      </w:r>
      <w:r>
        <w:rPr>
          <w:rFonts w:ascii="Times New Roman" w:cs="Times New Roman" w:eastAsia="Times New Roman" w:hAnsi="Times New Roman"/>
          <w:sz w:val="18"/>
          <w:szCs w:val="18"/>
          <w:color w:val="auto"/>
        </w:rPr>
        <w:t>. The 2023 Plan provides that, unless otherwise specified in the applicable award agreement, upon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employment within three months prior or 12 months following a change in control of the Company, by the Company other than for “cause” or “disability,” or by the participant for “good reason” (as all such terms are defined in the 2023 Plan), for participants serving in the position of Vice President or above, any and all restricted stock and restricted stock units held by such participant will automatically vest (with any performance-based awards being deemed met at target) and the restrictions and conditions on all other awards will automatically be deemed waived and any and all stock options and stock appreciation rights held by such participant will automatically become fully exercisable and will remain exercisable until the later of (i) the last day on which such option or stock appreciation right is exercisable as specified in the applicable award agreement or (ii) the earlier of the first anniversary of the change in control and the expiration of the term of the option or stock appreciation right. For the remaining participants, under such circumstances, only 50% of such participant’s equity awards shall accelerate and vest (with any performance-based awards being deemed met at target).</w:t>
      </w:r>
    </w:p>
    <w:p>
      <w:pPr>
        <w:spacing w:after="0" w:line="13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or Service. </w:t>
      </w:r>
      <w:r>
        <w:rPr>
          <w:rFonts w:ascii="Times New Roman" w:cs="Times New Roman" w:eastAsia="Times New Roman" w:hAnsi="Times New Roman"/>
          <w:sz w:val="17"/>
          <w:szCs w:val="17"/>
          <w:color w:val="auto"/>
        </w:rPr>
        <w:t>The 2023 Plan provides that upon a participant’s death any and all restricted stock and restricted stock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held by such participant will automatically vest and any and all stock options and stock appreciation held by such participant will automatically become fully exercisable and will remain exercisable until the earlier of (i) the first anniversary of the date of such death and (ii) the expiration of the term of such award.</w:t>
      </w:r>
    </w:p>
    <w:p>
      <w:pPr>
        <w:spacing w:after="0" w:line="1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for Stock Dividends, Stock Splits, Etc. </w:t>
      </w:r>
      <w:r>
        <w:rPr>
          <w:rFonts w:ascii="Times New Roman" w:cs="Times New Roman" w:eastAsia="Times New Roman" w:hAnsi="Times New Roman"/>
          <w:sz w:val="18"/>
          <w:szCs w:val="18"/>
          <w:color w:val="auto"/>
        </w:rPr>
        <w:t>The 2023 Plan requires the Compensation Committees to make appropriate adjustments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that are subject to the 2023 Plan, to certain limits in the 2023 Plan, and to any outstanding awards to reflect stock dividends, stock splits, extraordinary cash dividends and similar events.</w:t>
      </w:r>
    </w:p>
    <w:p>
      <w:pPr>
        <w:spacing w:after="0" w:line="12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Participants in the 2023 Plan are responsible for the payment of any federal, state or local taxes that Tripadvisor is required by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upon the exercise of options or stock appreciation rights or vesting of other awards. Subject to approval by the Compensation Committees, participants may elect to have the minimum tax withholding obligations satisfied by authorizing Tripadvisor to withhold shares of common stock to be issued pursuant to the exercise or vesting or by an arrangement whereby a certain number of shares of stock issued pursuant to an award are immediately sold and proceeds from such sale are remitted to Tripadvisor in an amount that would satisfy the withholding amount due. The Compensation Committees may also require awards to be subject to mandatory share withholding up to the required withholding amount.</w:t>
      </w:r>
    </w:p>
    <w:p>
      <w:pPr>
        <w:spacing w:after="0" w:line="13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Amendments and Termination</w:t>
      </w:r>
      <w:r>
        <w:rPr>
          <w:rFonts w:ascii="Times New Roman" w:cs="Times New Roman" w:eastAsia="Times New Roman" w:hAnsi="Times New Roman"/>
          <w:sz w:val="18"/>
          <w:szCs w:val="18"/>
          <w:color w:val="auto"/>
        </w:rPr>
        <w:t>. The Board may at any time amend, alter or discontinue the 2023 Plan and the Compensation Committees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unilaterally amend the terms of any award, prospectively or retroactively. However, no such action may materially impair rights of a participant with respect to a previously granted award without the participant’s consent, except for such an amendment made to comply with applicable law (including without limitation Section 409A of the Code), stock exchange rules or accounting rules. In addition, no such amendment shall be made without stockholder approval to the extent such approval is required by applicable law or the listing standards of Nasdaq.</w:t>
      </w:r>
    </w:p>
    <w:p>
      <w:pPr>
        <w:spacing w:after="0" w:line="1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All awards, amounts, or benefits received or outstanding under the 2023 Plan will be subject to clawback, cancellation, recoupment,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rescission, payback, reduction, or other similar action in accordance with any Company clawback or similar policy or any applicable law related to such actions.</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1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No awards have been made under the 2023 Plan which is subject to stockholder approval of this proposal. Because the grant of awards under the 2023 Plan is within the discretion of the Compensation Committees, the Company cannot determine the dollar value or number of shares of common stock that will in the future be received by or allocated to any participant pursuant to the 2023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Aspects Under the Code</w:t>
      </w:r>
    </w:p>
    <w:p>
      <w:pPr>
        <w:spacing w:after="0" w:line="16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principal federal income tax consequences of certain transactions under the 2023 Plan. It does not describe all federal tax consequences under the 2023 Plan, nor does it describe state or local tax consequences.</w:t>
      </w:r>
    </w:p>
    <w:p>
      <w:pPr>
        <w:spacing w:after="0" w:line="10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 an incentive stock option,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potential alternative minimum tax.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w:t>
      </w:r>
    </w:p>
    <w:p>
      <w:pPr>
        <w:spacing w:after="0" w:line="13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13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2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No income is realized by the optionee at the time the non-qualified stock option is granted. Generally (i) at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is realized by the optionee in an amount equal to the difference between the non-qualified stock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3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Company generally will be entitled to a tax deduction in connection with an award under the 2023 Plan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 Participants will not have taxable income at the time of grant of a restricted stock unit, but rather, will generally recognize ordinary compensation income at the time the participant receives cash or a share of common stock in settlement of the restricted stock unit, as applicable, in an amount equal to the cash or the fair market value of the common stock received. The current federal income tax consequences of other awards authorized under the 2023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and dividend equivalents and other stock or cash based awards are generally subject to tax at the time of payment.</w:t>
      </w:r>
    </w:p>
    <w:p>
      <w:pPr>
        <w:spacing w:after="0" w:line="13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option or other award that is accelerated due to the occurrence of a change in control may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26"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i w:val="1"/>
          <w:iCs w:val="1"/>
          <w:color w:val="auto"/>
        </w:rPr>
        <w:t>Limitation on Deductions</w:t>
      </w:r>
      <w:r>
        <w:rPr>
          <w:rFonts w:ascii="Times New Roman" w:cs="Times New Roman" w:eastAsia="Times New Roman" w:hAnsi="Times New Roman"/>
          <w:sz w:val="18"/>
          <w:szCs w:val="18"/>
          <w:color w:val="auto"/>
        </w:rPr>
        <w:t>. Under Section 162(m) of the Code, the Company’s deduction for awards under the 2023 Plan may be limited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“covered employee” (as defined in Section 162(m) of the Code) receives compensation in excess of $1 million a year.</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ask our stockholders to approve the Tripadvisor, Inc. 2023 Stock and Annual Incentive Plan. This proposal requires the affirmative vote of a majority of the voting power of the shares of Tripadvisor capital stock, present in person or represented by proxy, and entitled to vote thereon, voting together as a single class.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With respect to approval of the 2023 Plan, you may vote “FOR”, “AGAINST” or “ABSTAIN”. Abstentions will only be counted toward the tabulations of voting power present and entitled to vote on the 2023 Plan proposal and will have the same effect as votes against the proposal. Brokers do not have discretion to vote on the proposal to approve the 2023 Plan and broker non-votes will have no effect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311785</wp:posOffset>
            </wp:positionV>
            <wp:extent cx="7037705" cy="3752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3752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140"/>
        <w:spacing w:after="0" w:line="277" w:lineRule="auto"/>
        <w:rPr>
          <w:sz w:val="20"/>
          <w:szCs w:val="20"/>
          <w:color w:val="auto"/>
        </w:rPr>
      </w:pPr>
      <w:r>
        <w:rPr>
          <w:rFonts w:ascii="Times New Roman" w:cs="Times New Roman" w:eastAsia="Times New Roman" w:hAnsi="Times New Roman"/>
          <w:sz w:val="18"/>
          <w:szCs w:val="18"/>
          <w:b w:val="1"/>
          <w:bCs w:val="1"/>
          <w:color w:val="auto"/>
        </w:rPr>
        <w:t>THE BOARD RECOMMENDS THAT STOCKHOLDERS VOTE “FOR” APPROVAL OF THE TRIPADVISOR, INC. 2023 STOCK AND ANNUAL INCENTIVE PLAN.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02AE90"/>
        </w:rPr>
        <w:t>EXECUTIVE OFFICERS</w:t>
      </w:r>
    </w:p>
    <w:p>
      <w:pPr>
        <w:spacing w:after="0" w:line="22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Set forth below is certain background information, as of April 24, 2023, regarding Tripadvisor’s executive officers. There are no family relationships among directors or executive officers of Tripadvisor.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119380</wp:posOffset>
            </wp:positionV>
            <wp:extent cx="6417945" cy="6115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7945" cy="611505"/>
                    </a:xfrm>
                    <a:prstGeom prst="rect">
                      <a:avLst/>
                    </a:prstGeom>
                    <a:noFill/>
                  </pic:spPr>
                </pic:pic>
              </a:graphicData>
            </a:graphic>
          </wp:anchor>
        </w:drawing>
      </w:r>
    </w:p>
    <w:p>
      <w:pPr>
        <w:spacing w:after="0" w:line="188" w:lineRule="exact"/>
        <w:rPr>
          <w:sz w:val="20"/>
          <w:szCs w:val="20"/>
          <w:color w:val="auto"/>
        </w:rPr>
      </w:pPr>
    </w:p>
    <w:tbl>
      <w:tblPr>
        <w:tblLayout w:type="fixed"/>
        <w:tblInd w:w="590" w:type="dxa"/>
        <w:tblCellMar>
          <w:top w:w="0" w:type="dxa"/>
          <w:left w:w="0" w:type="dxa"/>
          <w:bottom w:w="0" w:type="dxa"/>
          <w:right w:w="0" w:type="dxa"/>
        </w:tblCellMar>
      </w:tblPr>
      <w:tr>
        <w:trPr>
          <w:trHeight w:val="186"/>
        </w:trPr>
        <w:tc>
          <w:tcPr>
            <w:tcW w:w="3800" w:type="dxa"/>
            <w:vAlign w:val="bottom"/>
            <w:tcBorders>
              <w:left w:val="single" w:sz="8" w:color="02AE90"/>
              <w:right w:val="single" w:sz="8" w:color="02AE90"/>
            </w:tcBorders>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78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Age</w:t>
            </w:r>
          </w:p>
        </w:tc>
        <w:tc>
          <w:tcPr>
            <w:tcW w:w="5540" w:type="dxa"/>
            <w:vAlign w:val="bottom"/>
            <w:tcBorders>
              <w:right w:val="single" w:sz="8" w:color="02AE90"/>
            </w:tcBorders>
            <w:shd w:val="clear" w:color="auto" w:fill="02AE90"/>
          </w:tcPr>
          <w:p>
            <w:pPr>
              <w:ind w:left="200"/>
              <w:spacing w:after="0"/>
              <w:rPr>
                <w:sz w:val="20"/>
                <w:szCs w:val="20"/>
                <w:color w:val="auto"/>
              </w:rPr>
            </w:pPr>
            <w:r>
              <w:rPr>
                <w:rFonts w:ascii="Times New Roman" w:cs="Times New Roman" w:eastAsia="Times New Roman" w:hAnsi="Times New Roman"/>
                <w:sz w:val="14"/>
                <w:szCs w:val="14"/>
                <w:b w:val="1"/>
                <w:bCs w:val="1"/>
                <w:color w:val="FFFFFF"/>
              </w:rPr>
              <w:t>Position</w:t>
            </w:r>
          </w:p>
        </w:tc>
      </w:tr>
      <w:tr>
        <w:trPr>
          <w:trHeight w:val="235"/>
        </w:trPr>
        <w:tc>
          <w:tcPr>
            <w:tcW w:w="380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Matt Goldberg</w:t>
            </w:r>
          </w:p>
        </w:tc>
        <w:tc>
          <w:tcPr>
            <w:tcW w:w="7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5540" w:type="dxa"/>
            <w:vAlign w:val="bottom"/>
            <w:tcBorders>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2"/>
        </w:trPr>
        <w:tc>
          <w:tcPr>
            <w:tcW w:w="380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Mike Noonan</w:t>
            </w:r>
          </w:p>
        </w:tc>
        <w:tc>
          <w:tcPr>
            <w:tcW w:w="7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5540" w:type="dxa"/>
            <w:vAlign w:val="bottom"/>
            <w:tcBorders>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380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Seth J. Kalvert</w:t>
            </w:r>
          </w:p>
        </w:tc>
        <w:tc>
          <w:tcPr>
            <w:tcW w:w="78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540" w:type="dxa"/>
            <w:vAlign w:val="bottom"/>
            <w:tcBorders>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“Proposal 1: Election of Directors” above for information about our President and Chief Executive Officer Matt Goldberg.</w:t>
      </w:r>
    </w:p>
    <w:p>
      <w:pPr>
        <w:spacing w:after="0" w:line="21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 Noonan </w:t>
      </w:r>
      <w:r>
        <w:rPr>
          <w:rFonts w:ascii="Times New Roman" w:cs="Times New Roman" w:eastAsia="Times New Roman" w:hAnsi="Times New Roman"/>
          <w:sz w:val="18"/>
          <w:szCs w:val="18"/>
          <w:color w:val="auto"/>
        </w:rPr>
        <w:t>has served as Chief Financial Officer of Tripadvisor since October 31, 2022. Mr. Noonan leads global finance, including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planning &amp; analysis, investor relations, tax, and corporate development. Mr. Noonan brings to Tripadvisor over 30 years of experience in capital markets, marketplace and digital subscription models and consumer-focused brands. Prior to Tripadvisor, Mr. Noonan was the Chief Financial Officer of Noom, Inc., a consumer-focused digital health company. Prior to Noom, Mr. Noonan served as Senior Vice President of Finance for Booking Holdings, Inc., where he led numerous corporate finance activities such as financial planning and capital budgeting, as well as investor relations. Mr. Noonan’s experience also includes several capital markets roles at RBC Capital Markets, NYSE Euronex, J.P. Morgan, and Bear Stearns &amp; Co. Mr. Noonan holds an MBA from Duke University and a B.A. from Davidson College.</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J. Kalvert </w:t>
      </w:r>
      <w:r>
        <w:rPr>
          <w:rFonts w:ascii="Times New Roman" w:cs="Times New Roman" w:eastAsia="Times New Roman" w:hAnsi="Times New Roman"/>
          <w:sz w:val="18"/>
          <w:szCs w:val="18"/>
          <w:color w:val="auto"/>
        </w:rPr>
        <w:t>has served as Chief Legal Officer and Secretary of Tripadvisor since August 2011. Prior to joining Tripadvisor, from March 2005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August 2011, Mr. Kalvert held positions at Expedia, most recently as Vice President and Associate General Counsel. Prior to that, Mr. Kalvert worked at IAC/InterActiveCorp. Mr. Kalvert began his career as an associate at Debevoise &amp; Plimpton, LLP, a New York law firm. Mr. Kalvert serves on the board of directors of Citizen Schools, a </w:t>
      </w:r>
      <w:r>
        <w:rPr>
          <w:rFonts w:ascii="Times New Roman" w:cs="Times New Roman" w:eastAsia="Times New Roman" w:hAnsi="Times New Roman"/>
          <w:sz w:val="18"/>
          <w:szCs w:val="18"/>
          <w:color w:val="4D5156"/>
        </w:rPr>
        <w:t>national nonprofit that helps all students to thrive in school and beyond through hands-on learning and career mentors,</w:t>
      </w:r>
      <w:r>
        <w:rPr>
          <w:rFonts w:ascii="Times New Roman" w:cs="Times New Roman" w:eastAsia="Times New Roman" w:hAnsi="Times New Roman"/>
          <w:sz w:val="18"/>
          <w:szCs w:val="18"/>
          <w:color w:val="auto"/>
        </w:rPr>
        <w:t xml:space="preserve"> and also serves as Secretary and a director of The Tripadvisor Foundation, a private charitable foundation. Mr. Kalvert holds a J.D. from Columbia Law School and an A.B. from Brown University.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02AE90"/>
        </w:rPr>
        <w:t>COMPENSATION DISCUSSION AND ANALYSIS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Business Highlights</w:t>
      </w:r>
    </w:p>
    <w:p>
      <w:pPr>
        <w:spacing w:after="0" w:line="114" w:lineRule="exact"/>
        <w:rPr>
          <w:sz w:val="20"/>
          <w:szCs w:val="20"/>
          <w:color w:val="auto"/>
        </w:rPr>
      </w:pPr>
    </w:p>
    <w:p>
      <w:pPr>
        <w:ind w:right="20" w:firstLine="509"/>
        <w:spacing w:after="0" w:line="275" w:lineRule="auto"/>
        <w:rPr>
          <w:sz w:val="20"/>
          <w:szCs w:val="20"/>
          <w:color w:val="auto"/>
        </w:rPr>
      </w:pPr>
      <w:r>
        <w:rPr>
          <w:rFonts w:ascii="Times New Roman" w:cs="Times New Roman" w:eastAsia="Times New Roman" w:hAnsi="Times New Roman"/>
          <w:sz w:val="18"/>
          <w:szCs w:val="18"/>
          <w:color w:val="auto"/>
        </w:rPr>
        <w:t>The Board has a Compensation Committee and a Section 16 Committee that together have primary responsibility for establishing the compensation of our named executive officers. We have a pay for performance philosophy that guides all aspects of our compensation decisions. For example:</w:t>
      </w:r>
    </w:p>
    <w:p>
      <w:pPr>
        <w:spacing w:after="0" w:line="57" w:lineRule="exact"/>
        <w:rPr>
          <w:sz w:val="20"/>
          <w:szCs w:val="20"/>
          <w:color w:val="auto"/>
        </w:rPr>
      </w:pPr>
    </w:p>
    <w:p>
      <w:pPr>
        <w:ind w:left="1140" w:hanging="370"/>
        <w:spacing w:after="0"/>
        <w:tabs>
          <w:tab w:leader="none" w:pos="1140" w:val="left"/>
        </w:tabs>
        <w:numPr>
          <w:ilvl w:val="0"/>
          <w:numId w:val="2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annual incentive compensation is structured so that payouts are tied to the achievement of financial and strategic targets;</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interests of our NEOs are aligned with those of our stockholders through the granting of a substantial portion of compensation in equity awards with multi-year vesting requirements and key performance metrics; and</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2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by combining a three- to four-year vesting period for equity awards with policies prohibiting hedging or pledging of such securities, a substantial portion of our executive’s compensation package is tied to changes in our stock price, and therefore, is variable for a significant period of time.</w:t>
      </w:r>
    </w:p>
    <w:p>
      <w:pPr>
        <w:spacing w:after="0" w:line="177"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In 2022, we saw robust activity in the travel industry, especially in light of macro uncertainty throughout much of the year. Our teams executed well, exceeding expectations we set out at the start of the year. More specifically, the Company was able to achieve the following:</w:t>
      </w:r>
    </w:p>
    <w:p>
      <w:pPr>
        <w:spacing w:after="0" w:line="269" w:lineRule="exact"/>
        <w:rPr>
          <w:sz w:val="20"/>
          <w:szCs w:val="20"/>
          <w:color w:val="auto"/>
        </w:rPr>
      </w:pPr>
    </w:p>
    <w:p>
      <w:pPr>
        <w:jc w:val="both"/>
        <w:ind w:left="1140" w:hanging="370"/>
        <w:spacing w:after="0" w:line="260" w:lineRule="auto"/>
        <w:tabs>
          <w:tab w:leader="none" w:pos="1140" w:val="left"/>
        </w:tabs>
        <w:numPr>
          <w:ilvl w:val="0"/>
          <w:numId w:val="2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Company's total revenue reached 96% of the 2019 levels in 2022 led by strong recovery in the experiences marketplace, with 2022 Viator revenue at approximately 171% of 2019 levels, and TheFork, the European online marketplace connecting diners and restaurants, at approximately 99% of 2019 levels; while Tripadvisor Core improved significantly year-over-year to approximately 79% of 2019 levels;</w:t>
      </w:r>
    </w:p>
    <w:p>
      <w:pPr>
        <w:spacing w:after="0" w:line="7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Consolidated revenue in Fiscal 2022 reached nearly $1.5 billion, as compared to $902 million in Fiscal 2021;</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Net Income was $20 million, as compared to a net loss of $148 million in Fiscal 2021;</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Adjusted EBITDA* for Fiscal 2022 was $295 million, as compared to Adjusted EBITDA of $100 million in Fiscal 2021;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We exited the year with strong liquidity - approximately $1.0 billion in cash and cash equivalents as of December 31, 2022.</w:t>
      </w:r>
    </w:p>
    <w:p>
      <w:pPr>
        <w:spacing w:after="0" w:line="111" w:lineRule="exact"/>
        <w:rPr>
          <w:rFonts w:ascii="Times New Roman" w:cs="Times New Roman" w:eastAsia="Times New Roman" w:hAnsi="Times New Roman"/>
          <w:sz w:val="18"/>
          <w:szCs w:val="18"/>
          <w:color w:val="02AE90"/>
        </w:rPr>
      </w:pPr>
    </w:p>
    <w:p>
      <w:pPr>
        <w:jc w:val="both"/>
        <w:ind w:left="1160"/>
        <w:spacing w:after="0" w:line="260" w:lineRule="auto"/>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*Adjusted EBITDA is a non-GAAP financial measure. Refer to our 2022 Annual Report for a reconciliation of Adjusted EBITDA to Net Income, the most directly comparable financial measure calculated and presented in accordance with U.S. Generally Accepted Accounting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2022, the following transitions occurred with respect to our named executive officers:</w:t>
      </w:r>
    </w:p>
    <w:p>
      <w:pPr>
        <w:spacing w:after="0" w:line="112" w:lineRule="exact"/>
        <w:rPr>
          <w:sz w:val="20"/>
          <w:szCs w:val="20"/>
          <w:color w:val="auto"/>
        </w:rPr>
      </w:pPr>
    </w:p>
    <w:p>
      <w:pPr>
        <w:ind w:left="1140" w:hanging="370"/>
        <w:spacing w:after="0" w:line="275" w:lineRule="auto"/>
        <w:tabs>
          <w:tab w:leader="none" w:pos="1140" w:val="left"/>
        </w:tabs>
        <w:numPr>
          <w:ilvl w:val="0"/>
          <w:numId w:val="2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Goldberg was appointed CEO and President effective July 1, 2022. Effective the same date, Mr. Kaufer stepped down from his role as CEO and President but remained as a consultant to facilitate an orderly transition to Mr. Goldberg.</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Noonan was appointed as Senior Vice President and CFO effective October 31, 2022. Effective the same date, Mr. Teunissen stepped down as CFO but remained as Senior Vice President and Chief Executive of Viator, TheFork and Cruise Critic through January 1, 2023.</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Effective January 9, 2022, Lindsay Nelson resigned as Chief Brand and Marketing Officer and, on February 28, 2022, separated employment with us.</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On November 28, 2022, the Company announced that Kanika Soni would leave her position as Chief Commercial Officer effective January 15, 2023, although would continue to serve as an Advisor to the CEO through April 1, 2023.</w:t>
      </w:r>
    </w:p>
    <w:p>
      <w:pPr>
        <w:spacing w:after="0" w:line="2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named executive officers referred to herein encompasses: (i) each individual who served as our principal executive officer at any time during the fiscal year ended December 31, 2022 ("Fiscal 2022"); (ii) each individual who served as our principal financial officer at any time during Fiscal 2022; (iii) the next three most highly-compensated executive officers (other than any individual who served as our principal executive officer or principal financial officer) who were serving in such capacity as of the last day of Fiscal</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line="275" w:lineRule="auto"/>
        <w:rPr>
          <w:sz w:val="20"/>
          <w:szCs w:val="20"/>
          <w:color w:val="auto"/>
        </w:rPr>
      </w:pPr>
      <w:r>
        <w:rPr>
          <w:rFonts w:ascii="Times New Roman" w:cs="Times New Roman" w:eastAsia="Times New Roman" w:hAnsi="Times New Roman"/>
          <w:sz w:val="18"/>
          <w:szCs w:val="18"/>
          <w:color w:val="auto"/>
        </w:rPr>
        <w:t>2022; and (iv) as applicable, up to two additional individuals for whom disclosure would have been provided pursuant to the foregoing clause (iii) but for the fact that the individual was not serving as an executive officer at the end of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Objectives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compensation program is designed to achieve the following objectives:</w:t>
      </w:r>
    </w:p>
    <w:p>
      <w:pPr>
        <w:spacing w:after="0" w:line="112" w:lineRule="exact"/>
        <w:rPr>
          <w:sz w:val="20"/>
          <w:szCs w:val="20"/>
          <w:color w:val="auto"/>
        </w:rPr>
      </w:pPr>
    </w:p>
    <w:p>
      <w:pPr>
        <w:ind w:left="1140" w:hanging="370"/>
        <w:spacing w:after="0" w:line="275" w:lineRule="auto"/>
        <w:tabs>
          <w:tab w:leader="none" w:pos="1140" w:val="left"/>
        </w:tabs>
        <w:numPr>
          <w:ilvl w:val="0"/>
          <w:numId w:val="2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Attract, motivate and retain highly skilled employees with the business experience and acumen that management and the Compensation Committees believe are necessary for the achievement of our long-term business objectives;</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Reward specific short-term and long-term financial and strategic objectives;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Align our executives’ financial interests with the long-term financial interests of our stockholders;</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Ensure that the compensation opportunity provided to these employees remains competitive with the compensation paid to similarly situated employees at comparable companies; and</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Ensure our program design does not encourage our executive officers to take unreasonable risks relating to our business.</w:t>
      </w:r>
    </w:p>
    <w:p>
      <w:pPr>
        <w:spacing w:after="0" w:line="21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To that end, management and the Compensation Committees believe the executive compensation packages provided by Tripadvisor to our named executive officers should include both cash and equity-based compensation.</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table below sets forth information regarding the primary elements of our executive compensation program in 2022, although the Compensation Committees retain discretion to adjust, as appropriate, in light of exigent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132080</wp:posOffset>
            </wp:positionV>
            <wp:extent cx="8255" cy="2108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10820"/>
                    </a:xfrm>
                    <a:prstGeom prst="rect">
                      <a:avLst/>
                    </a:prstGeom>
                    <a:noFill/>
                  </pic:spPr>
                </pic:pic>
              </a:graphicData>
            </a:graphic>
          </wp:anchor>
        </w:drawing>
        <w:drawing>
          <wp:anchor simplePos="0" relativeHeight="251657728" behindDoc="1" locked="0" layoutInCell="0" allowOverlap="1">
            <wp:simplePos x="0" y="0"/>
            <wp:positionH relativeFrom="column">
              <wp:posOffset>3326765</wp:posOffset>
            </wp:positionH>
            <wp:positionV relativeFrom="paragraph">
              <wp:posOffset>132080</wp:posOffset>
            </wp:positionV>
            <wp:extent cx="8255" cy="2108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210820"/>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132080</wp:posOffset>
            </wp:positionV>
            <wp:extent cx="8255" cy="2108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21082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132080</wp:posOffset>
            </wp:positionV>
            <wp:extent cx="8255" cy="2108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210820"/>
                    </a:xfrm>
                    <a:prstGeom prst="rect">
                      <a:avLst/>
                    </a:prstGeom>
                    <a:noFill/>
                  </pic:spPr>
                </pic:pic>
              </a:graphicData>
            </a:graphic>
          </wp:anchor>
        </w:drawing>
      </w:r>
    </w:p>
    <w:p>
      <w:pPr>
        <w:spacing w:after="0" w:line="173" w:lineRule="exact"/>
        <w:rPr>
          <w:sz w:val="20"/>
          <w:szCs w:val="20"/>
          <w:color w:val="auto"/>
        </w:rPr>
      </w:pPr>
    </w:p>
    <w:tbl>
      <w:tblPr>
        <w:tblLayout w:type="fixed"/>
        <w:tblInd w:w="310" w:type="dxa"/>
        <w:tblCellMar>
          <w:top w:w="0" w:type="dxa"/>
          <w:left w:w="0" w:type="dxa"/>
          <w:bottom w:w="0" w:type="dxa"/>
          <w:right w:w="0" w:type="dxa"/>
        </w:tblCellMar>
      </w:tblPr>
      <w:tr>
        <w:trPr>
          <w:trHeight w:val="161"/>
        </w:trPr>
        <w:tc>
          <w:tcPr>
            <w:tcW w:w="1560" w:type="dxa"/>
            <w:vAlign w:val="bottom"/>
            <w:tcBorders>
              <w:left w:val="single" w:sz="8" w:color="02AE90"/>
            </w:tcBorders>
            <w:shd w:val="clear" w:color="auto" w:fill="02AE90"/>
          </w:tcPr>
          <w:p>
            <w:pPr>
              <w:ind w:left="120"/>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20" w:type="dxa"/>
            <w:vAlign w:val="bottom"/>
            <w:shd w:val="clear" w:color="auto" w:fill="02AE90"/>
          </w:tcPr>
          <w:p>
            <w:pPr>
              <w:spacing w:after="0"/>
              <w:rPr>
                <w:sz w:val="13"/>
                <w:szCs w:val="13"/>
                <w:color w:val="auto"/>
              </w:rPr>
            </w:pPr>
          </w:p>
        </w:tc>
        <w:tc>
          <w:tcPr>
            <w:tcW w:w="3380" w:type="dxa"/>
            <w:vAlign w:val="bottom"/>
            <w:gridSpan w:val="2"/>
            <w:shd w:val="clear" w:color="auto" w:fill="02AE90"/>
          </w:tcPr>
          <w:p>
            <w:pPr>
              <w:ind w:left="1240"/>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620" w:type="dxa"/>
            <w:vAlign w:val="bottom"/>
            <w:shd w:val="clear" w:color="auto" w:fill="02AE90"/>
          </w:tcPr>
          <w:p>
            <w:pPr>
              <w:ind w:left="400"/>
              <w:spacing w:after="0"/>
              <w:rPr>
                <w:sz w:val="20"/>
                <w:szCs w:val="20"/>
                <w:color w:val="auto"/>
              </w:rPr>
            </w:pPr>
            <w:r>
              <w:rPr>
                <w:rFonts w:ascii="Times New Roman" w:cs="Times New Roman" w:eastAsia="Times New Roman" w:hAnsi="Times New Roman"/>
                <w:sz w:val="14"/>
                <w:szCs w:val="14"/>
                <w:b w:val="1"/>
                <w:bCs w:val="1"/>
                <w:color w:val="FFFFFF"/>
              </w:rPr>
              <w:t>Performance</w:t>
            </w:r>
          </w:p>
        </w:tc>
        <w:tc>
          <w:tcPr>
            <w:tcW w:w="20" w:type="dxa"/>
            <w:vAlign w:val="bottom"/>
            <w:shd w:val="clear" w:color="auto" w:fill="02AE90"/>
          </w:tcPr>
          <w:p>
            <w:pPr>
              <w:spacing w:after="0"/>
              <w:rPr>
                <w:sz w:val="13"/>
                <w:szCs w:val="13"/>
                <w:color w:val="auto"/>
              </w:rPr>
            </w:pPr>
          </w:p>
        </w:tc>
        <w:tc>
          <w:tcPr>
            <w:tcW w:w="2660" w:type="dxa"/>
            <w:vAlign w:val="bottom"/>
            <w:vMerge w:val="restart"/>
            <w:shd w:val="clear" w:color="auto" w:fill="02AE90"/>
          </w:tcPr>
          <w:p>
            <w:pPr>
              <w:ind w:left="860"/>
              <w:spacing w:after="0"/>
              <w:rPr>
                <w:sz w:val="20"/>
                <w:szCs w:val="20"/>
                <w:color w:val="auto"/>
              </w:rPr>
            </w:pPr>
            <w:r>
              <w:rPr>
                <w:rFonts w:ascii="Times New Roman" w:cs="Times New Roman" w:eastAsia="Times New Roman" w:hAnsi="Times New Roman"/>
                <w:sz w:val="14"/>
                <w:szCs w:val="14"/>
                <w:b w:val="1"/>
                <w:bCs w:val="1"/>
                <w:color w:val="FFFFFF"/>
              </w:rPr>
              <w:t>Characteristics</w:t>
            </w:r>
          </w:p>
        </w:tc>
        <w:tc>
          <w:tcPr>
            <w:tcW w:w="20" w:type="dxa"/>
            <w:vAlign w:val="bottom"/>
            <w:shd w:val="clear" w:color="auto" w:fill="02AE90"/>
          </w:tcPr>
          <w:p>
            <w:pPr>
              <w:spacing w:after="0"/>
              <w:rPr>
                <w:sz w:val="13"/>
                <w:szCs w:val="13"/>
                <w:color w:val="auto"/>
              </w:rPr>
            </w:pPr>
          </w:p>
        </w:tc>
        <w:tc>
          <w:tcPr>
            <w:tcW w:w="1380" w:type="dxa"/>
            <w:vAlign w:val="bottom"/>
            <w:tcBorders>
              <w:right w:val="single" w:sz="8" w:color="02AE90"/>
            </w:tcBorders>
            <w:vMerge w:val="restart"/>
            <w:shd w:val="clear" w:color="auto" w:fill="02AE90"/>
          </w:tcPr>
          <w:p>
            <w:pPr>
              <w:ind w:left="240"/>
              <w:spacing w:after="0"/>
              <w:rPr>
                <w:sz w:val="20"/>
                <w:szCs w:val="20"/>
                <w:color w:val="auto"/>
              </w:rPr>
            </w:pPr>
            <w:r>
              <w:rPr>
                <w:rFonts w:ascii="Times New Roman" w:cs="Times New Roman" w:eastAsia="Times New Roman" w:hAnsi="Times New Roman"/>
                <w:sz w:val="14"/>
                <w:szCs w:val="14"/>
                <w:b w:val="1"/>
                <w:bCs w:val="1"/>
                <w:color w:val="FFFFFF"/>
              </w:rPr>
              <w:t>Time Horizon</w:t>
            </w:r>
          </w:p>
        </w:tc>
        <w:tc>
          <w:tcPr>
            <w:tcW w:w="0" w:type="dxa"/>
            <w:vAlign w:val="bottom"/>
          </w:tcPr>
          <w:p>
            <w:pPr>
              <w:spacing w:after="0"/>
              <w:rPr>
                <w:sz w:val="1"/>
                <w:szCs w:val="1"/>
                <w:color w:val="auto"/>
              </w:rPr>
            </w:pPr>
          </w:p>
        </w:tc>
      </w:tr>
      <w:tr>
        <w:trPr>
          <w:trHeight w:val="186"/>
        </w:trPr>
        <w:tc>
          <w:tcPr>
            <w:tcW w:w="1560" w:type="dxa"/>
            <w:vAlign w:val="bottom"/>
            <w:tcBorders>
              <w:left w:val="single" w:sz="8" w:color="02AE90"/>
            </w:tcBorders>
            <w:shd w:val="clear" w:color="auto" w:fill="02AE90"/>
          </w:tcPr>
          <w:p>
            <w:pPr>
              <w:ind w:left="120"/>
              <w:spacing w:after="0"/>
              <w:rPr>
                <w:sz w:val="20"/>
                <w:szCs w:val="20"/>
                <w:color w:val="auto"/>
              </w:rPr>
            </w:pPr>
            <w:r>
              <w:rPr>
                <w:rFonts w:ascii="Times New Roman" w:cs="Times New Roman" w:eastAsia="Times New Roman" w:hAnsi="Times New Roman"/>
                <w:sz w:val="14"/>
                <w:szCs w:val="14"/>
                <w:b w:val="1"/>
                <w:bCs w:val="1"/>
                <w:color w:val="FFFFFF"/>
              </w:rPr>
              <w:t>Element</w:t>
            </w:r>
          </w:p>
        </w:tc>
        <w:tc>
          <w:tcPr>
            <w:tcW w:w="20" w:type="dxa"/>
            <w:vAlign w:val="bottom"/>
            <w:shd w:val="clear" w:color="auto" w:fill="02AE90"/>
          </w:tcPr>
          <w:p>
            <w:pPr>
              <w:spacing w:after="0"/>
              <w:rPr>
                <w:sz w:val="16"/>
                <w:szCs w:val="16"/>
                <w:color w:val="auto"/>
              </w:rPr>
            </w:pPr>
          </w:p>
        </w:tc>
        <w:tc>
          <w:tcPr>
            <w:tcW w:w="3380" w:type="dxa"/>
            <w:vAlign w:val="bottom"/>
            <w:gridSpan w:val="2"/>
            <w:shd w:val="clear" w:color="auto" w:fill="02AE90"/>
          </w:tcPr>
          <w:p>
            <w:pPr>
              <w:ind w:left="1380"/>
              <w:spacing w:after="0"/>
              <w:rPr>
                <w:sz w:val="20"/>
                <w:szCs w:val="20"/>
                <w:color w:val="auto"/>
              </w:rPr>
            </w:pPr>
            <w:r>
              <w:rPr>
                <w:rFonts w:ascii="Times New Roman" w:cs="Times New Roman" w:eastAsia="Times New Roman" w:hAnsi="Times New Roman"/>
                <w:sz w:val="14"/>
                <w:szCs w:val="14"/>
                <w:b w:val="1"/>
                <w:bCs w:val="1"/>
                <w:color w:val="FFFFFF"/>
              </w:rPr>
              <w:t>Objective</w:t>
            </w:r>
          </w:p>
        </w:tc>
        <w:tc>
          <w:tcPr>
            <w:tcW w:w="1620" w:type="dxa"/>
            <w:vAlign w:val="bottom"/>
            <w:shd w:val="clear" w:color="auto" w:fill="02AE90"/>
          </w:tcPr>
          <w:p>
            <w:pPr>
              <w:ind w:left="560"/>
              <w:spacing w:after="0"/>
              <w:rPr>
                <w:sz w:val="20"/>
                <w:szCs w:val="20"/>
                <w:color w:val="auto"/>
              </w:rPr>
            </w:pPr>
            <w:r>
              <w:rPr>
                <w:rFonts w:ascii="Times New Roman" w:cs="Times New Roman" w:eastAsia="Times New Roman" w:hAnsi="Times New Roman"/>
                <w:sz w:val="14"/>
                <w:szCs w:val="14"/>
                <w:b w:val="1"/>
                <w:bCs w:val="1"/>
                <w:color w:val="FFFFFF"/>
              </w:rPr>
              <w:t>Metrics</w:t>
            </w:r>
          </w:p>
        </w:tc>
        <w:tc>
          <w:tcPr>
            <w:tcW w:w="20" w:type="dxa"/>
            <w:vAlign w:val="bottom"/>
            <w:shd w:val="clear" w:color="auto" w:fill="02AE90"/>
          </w:tcPr>
          <w:p>
            <w:pPr>
              <w:spacing w:after="0"/>
              <w:rPr>
                <w:sz w:val="16"/>
                <w:szCs w:val="16"/>
                <w:color w:val="auto"/>
              </w:rPr>
            </w:pPr>
          </w:p>
        </w:tc>
        <w:tc>
          <w:tcPr>
            <w:tcW w:w="2660" w:type="dxa"/>
            <w:vAlign w:val="bottom"/>
            <w:vMerge w:val="continue"/>
            <w:shd w:val="clear" w:color="auto" w:fill="02AE90"/>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1380" w:type="dxa"/>
            <w:vAlign w:val="bottom"/>
            <w:tcBorders>
              <w:right w:val="single" w:sz="8" w:color="02AE90"/>
            </w:tcBorders>
            <w:vMerge w:val="continue"/>
            <w:shd w:val="clear" w:color="auto" w:fill="02AE90"/>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560" w:type="dxa"/>
            <w:vAlign w:val="bottom"/>
            <w:tcBorders>
              <w:left w:val="single" w:sz="8" w:color="02AE90"/>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0" w:type="dxa"/>
            <w:vAlign w:val="bottom"/>
          </w:tcPr>
          <w:p>
            <w:pPr>
              <w:spacing w:after="0"/>
              <w:rPr>
                <w:sz w:val="3"/>
                <w:szCs w:val="3"/>
                <w:color w:val="auto"/>
              </w:rPr>
            </w:pPr>
          </w:p>
        </w:tc>
        <w:tc>
          <w:tcPr>
            <w:tcW w:w="3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Attract and retain qualified executives</w:t>
            </w:r>
          </w:p>
        </w:tc>
        <w:tc>
          <w:tcPr>
            <w:tcW w:w="20" w:type="dxa"/>
            <w:vAlign w:val="bottom"/>
          </w:tcPr>
          <w:p>
            <w:pPr>
              <w:spacing w:after="0"/>
              <w:rPr>
                <w:sz w:val="3"/>
                <w:szCs w:val="3"/>
                <w:color w:val="auto"/>
              </w:rPr>
            </w:pPr>
          </w:p>
        </w:tc>
        <w:tc>
          <w:tcPr>
            <w:tcW w:w="1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None</w:t>
            </w:r>
          </w:p>
        </w:tc>
        <w:tc>
          <w:tcPr>
            <w:tcW w:w="20" w:type="dxa"/>
            <w:vAlign w:val="bottom"/>
          </w:tcPr>
          <w:p>
            <w:pPr>
              <w:spacing w:after="0"/>
              <w:rPr>
                <w:sz w:val="3"/>
                <w:szCs w:val="3"/>
                <w:color w:val="auto"/>
              </w:rPr>
            </w:pPr>
          </w:p>
        </w:tc>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Market-competitive, fixed level of</w:t>
            </w:r>
          </w:p>
        </w:tc>
        <w:tc>
          <w:tcPr>
            <w:tcW w:w="20" w:type="dxa"/>
            <w:vAlign w:val="bottom"/>
          </w:tcPr>
          <w:p>
            <w:pPr>
              <w:spacing w:after="0"/>
              <w:rPr>
                <w:sz w:val="3"/>
                <w:szCs w:val="3"/>
                <w:color w:val="auto"/>
              </w:rPr>
            </w:pPr>
          </w:p>
        </w:tc>
        <w:tc>
          <w:tcPr>
            <w:tcW w:w="1380" w:type="dxa"/>
            <w:vAlign w:val="bottom"/>
            <w:tcBorders>
              <w:right w:val="single" w:sz="8" w:color="02AE90"/>
            </w:tcBorders>
            <w:vMerge w:val="restart"/>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Annual</w:t>
            </w:r>
          </w:p>
        </w:tc>
        <w:tc>
          <w:tcPr>
            <w:tcW w:w="0" w:type="dxa"/>
            <w:vAlign w:val="bottom"/>
          </w:tcPr>
          <w:p>
            <w:pPr>
              <w:spacing w:after="0" w:line="20" w:lineRule="exact"/>
              <w:rPr>
                <w:sz w:val="1"/>
                <w:szCs w:val="1"/>
                <w:color w:val="auto"/>
              </w:rPr>
            </w:pPr>
          </w:p>
        </w:tc>
      </w:tr>
      <w:tr>
        <w:trPr>
          <w:trHeight w:val="137"/>
        </w:trPr>
        <w:tc>
          <w:tcPr>
            <w:tcW w:w="1560" w:type="dxa"/>
            <w:vAlign w:val="bottom"/>
            <w:tcBorders>
              <w:left w:val="single" w:sz="8" w:color="02AE90"/>
            </w:tcBorders>
            <w:vMerge w:val="continue"/>
          </w:tcPr>
          <w:p>
            <w:pPr>
              <w:spacing w:after="0"/>
              <w:rPr>
                <w:sz w:val="11"/>
                <w:szCs w:val="11"/>
                <w:color w:val="auto"/>
              </w:rPr>
            </w:pPr>
          </w:p>
        </w:tc>
        <w:tc>
          <w:tcPr>
            <w:tcW w:w="20" w:type="dxa"/>
            <w:vAlign w:val="bottom"/>
            <w:shd w:val="clear" w:color="auto" w:fill="02AE90"/>
          </w:tcPr>
          <w:p>
            <w:pPr>
              <w:spacing w:after="0"/>
              <w:rPr>
                <w:sz w:val="11"/>
                <w:szCs w:val="11"/>
                <w:color w:val="auto"/>
              </w:rPr>
            </w:pPr>
          </w:p>
        </w:tc>
        <w:tc>
          <w:tcPr>
            <w:tcW w:w="3360" w:type="dxa"/>
            <w:vAlign w:val="bottom"/>
            <w:vMerge w:val="continue"/>
          </w:tcPr>
          <w:p>
            <w:pPr>
              <w:spacing w:after="0"/>
              <w:rPr>
                <w:sz w:val="11"/>
                <w:szCs w:val="11"/>
                <w:color w:val="auto"/>
              </w:rPr>
            </w:pPr>
          </w:p>
        </w:tc>
        <w:tc>
          <w:tcPr>
            <w:tcW w:w="20" w:type="dxa"/>
            <w:vAlign w:val="bottom"/>
            <w:shd w:val="clear" w:color="auto" w:fill="02AE90"/>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shd w:val="clear" w:color="auto" w:fill="02AE90"/>
          </w:tcPr>
          <w:p>
            <w:pPr>
              <w:spacing w:after="0"/>
              <w:rPr>
                <w:sz w:val="11"/>
                <w:szCs w:val="11"/>
                <w:color w:val="auto"/>
              </w:rPr>
            </w:pPr>
          </w:p>
        </w:tc>
        <w:tc>
          <w:tcPr>
            <w:tcW w:w="2660" w:type="dxa"/>
            <w:vAlign w:val="bottom"/>
            <w:vMerge w:val="continue"/>
          </w:tcPr>
          <w:p>
            <w:pPr>
              <w:spacing w:after="0"/>
              <w:rPr>
                <w:sz w:val="11"/>
                <w:szCs w:val="11"/>
                <w:color w:val="auto"/>
              </w:rPr>
            </w:pPr>
          </w:p>
        </w:tc>
        <w:tc>
          <w:tcPr>
            <w:tcW w:w="20" w:type="dxa"/>
            <w:vAlign w:val="bottom"/>
            <w:shd w:val="clear" w:color="auto" w:fill="02AE90"/>
          </w:tcPr>
          <w:p>
            <w:pPr>
              <w:spacing w:after="0"/>
              <w:rPr>
                <w:sz w:val="11"/>
                <w:szCs w:val="11"/>
                <w:color w:val="auto"/>
              </w:rPr>
            </w:pPr>
          </w:p>
        </w:tc>
        <w:tc>
          <w:tcPr>
            <w:tcW w:w="1380" w:type="dxa"/>
            <w:vAlign w:val="bottom"/>
            <w:tcBorders>
              <w:right w:val="single" w:sz="8" w:color="02AE9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560" w:type="dxa"/>
            <w:vAlign w:val="bottom"/>
            <w:tcBorders>
              <w:left w:val="single" w:sz="8" w:color="02AE90"/>
              <w:bottom w:val="single" w:sz="8" w:color="02AE90"/>
            </w:tcBorders>
          </w:tcPr>
          <w:p>
            <w:pPr>
              <w:spacing w:after="0"/>
              <w:rPr>
                <w:sz w:val="18"/>
                <w:szCs w:val="18"/>
                <w:color w:val="auto"/>
              </w:rPr>
            </w:pPr>
          </w:p>
        </w:tc>
        <w:tc>
          <w:tcPr>
            <w:tcW w:w="20" w:type="dxa"/>
            <w:vAlign w:val="bottom"/>
            <w:tcBorders>
              <w:bottom w:val="single" w:sz="8" w:color="02AE90"/>
            </w:tcBorders>
            <w:shd w:val="clear" w:color="auto" w:fill="02AE90"/>
          </w:tcPr>
          <w:p>
            <w:pPr>
              <w:spacing w:after="0"/>
              <w:rPr>
                <w:sz w:val="18"/>
                <w:szCs w:val="18"/>
                <w:color w:val="auto"/>
              </w:rPr>
            </w:pPr>
          </w:p>
        </w:tc>
        <w:tc>
          <w:tcPr>
            <w:tcW w:w="3360" w:type="dxa"/>
            <w:vAlign w:val="bottom"/>
            <w:tcBorders>
              <w:bottom w:val="single" w:sz="8" w:color="02AE90"/>
            </w:tcBorders>
          </w:tcPr>
          <w:p>
            <w:pPr>
              <w:spacing w:after="0"/>
              <w:rPr>
                <w:sz w:val="18"/>
                <w:szCs w:val="18"/>
                <w:color w:val="auto"/>
              </w:rPr>
            </w:pPr>
          </w:p>
        </w:tc>
        <w:tc>
          <w:tcPr>
            <w:tcW w:w="20" w:type="dxa"/>
            <w:vAlign w:val="bottom"/>
            <w:tcBorders>
              <w:bottom w:val="single" w:sz="8" w:color="02AE90"/>
            </w:tcBorders>
            <w:shd w:val="clear" w:color="auto" w:fill="02AE90"/>
          </w:tcPr>
          <w:p>
            <w:pPr>
              <w:spacing w:after="0"/>
              <w:rPr>
                <w:sz w:val="18"/>
                <w:szCs w:val="18"/>
                <w:color w:val="auto"/>
              </w:rPr>
            </w:pPr>
          </w:p>
        </w:tc>
        <w:tc>
          <w:tcPr>
            <w:tcW w:w="1620" w:type="dxa"/>
            <w:vAlign w:val="bottom"/>
            <w:tcBorders>
              <w:bottom w:val="single" w:sz="8" w:color="02AE90"/>
            </w:tcBorders>
          </w:tcPr>
          <w:p>
            <w:pPr>
              <w:spacing w:after="0"/>
              <w:rPr>
                <w:sz w:val="18"/>
                <w:szCs w:val="18"/>
                <w:color w:val="auto"/>
              </w:rPr>
            </w:pPr>
          </w:p>
        </w:tc>
        <w:tc>
          <w:tcPr>
            <w:tcW w:w="20" w:type="dxa"/>
            <w:vAlign w:val="bottom"/>
            <w:tcBorders>
              <w:bottom w:val="single" w:sz="8" w:color="02AE90"/>
            </w:tcBorders>
            <w:shd w:val="clear" w:color="auto" w:fill="02AE90"/>
          </w:tcPr>
          <w:p>
            <w:pPr>
              <w:spacing w:after="0"/>
              <w:rPr>
                <w:sz w:val="18"/>
                <w:szCs w:val="18"/>
                <w:color w:val="auto"/>
              </w:rPr>
            </w:pPr>
          </w:p>
        </w:tc>
        <w:tc>
          <w:tcPr>
            <w:tcW w:w="2660" w:type="dxa"/>
            <w:vAlign w:val="bottom"/>
            <w:tcBorders>
              <w:bottom w:val="single" w:sz="8" w:color="02AE90"/>
            </w:tcBorders>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tcBorders>
              <w:bottom w:val="single" w:sz="8" w:color="02AE90"/>
            </w:tcBorders>
            <w:shd w:val="clear" w:color="auto" w:fill="02AE90"/>
          </w:tcPr>
          <w:p>
            <w:pPr>
              <w:spacing w:after="0"/>
              <w:rPr>
                <w:sz w:val="18"/>
                <w:szCs w:val="18"/>
                <w:color w:val="auto"/>
              </w:rPr>
            </w:pPr>
          </w:p>
        </w:tc>
        <w:tc>
          <w:tcPr>
            <w:tcW w:w="1380" w:type="dxa"/>
            <w:vAlign w:val="bottom"/>
            <w:tcBorders>
              <w:bottom w:val="single" w:sz="8" w:color="02AE90"/>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Annual Bonus</w:t>
            </w:r>
          </w:p>
        </w:tc>
        <w:tc>
          <w:tcPr>
            <w:tcW w:w="20" w:type="dxa"/>
            <w:vAlign w:val="bottom"/>
            <w:shd w:val="clear" w:color="auto" w:fill="02AE90"/>
          </w:tcPr>
          <w:p>
            <w:pPr>
              <w:spacing w:after="0"/>
              <w:rPr>
                <w:sz w:val="15"/>
                <w:szCs w:val="15"/>
                <w:color w:val="auto"/>
              </w:rPr>
            </w:pPr>
          </w:p>
        </w:tc>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Attract and retain qualified executives</w:t>
            </w:r>
          </w:p>
        </w:tc>
        <w:tc>
          <w:tcPr>
            <w:tcW w:w="20" w:type="dxa"/>
            <w:vAlign w:val="bottom"/>
            <w:shd w:val="clear" w:color="auto" w:fill="02AE90"/>
          </w:tcPr>
          <w:p>
            <w:pPr>
              <w:spacing w:after="0"/>
              <w:rPr>
                <w:sz w:val="15"/>
                <w:szCs w:val="15"/>
                <w:color w:val="auto"/>
              </w:rPr>
            </w:pPr>
          </w:p>
        </w:tc>
        <w:tc>
          <w:tcPr>
            <w:tcW w:w="1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Relative Revenue (as</w:t>
            </w:r>
          </w:p>
        </w:tc>
        <w:tc>
          <w:tcPr>
            <w:tcW w:w="20" w:type="dxa"/>
            <w:vAlign w:val="bottom"/>
          </w:tcPr>
          <w:p>
            <w:pPr>
              <w:spacing w:after="0"/>
              <w:rPr>
                <w:sz w:val="15"/>
                <w:szCs w:val="15"/>
                <w:color w:val="auto"/>
              </w:rPr>
            </w:pPr>
          </w:p>
        </w:tc>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At target, annual incentive provides</w:t>
            </w:r>
          </w:p>
        </w:tc>
        <w:tc>
          <w:tcPr>
            <w:tcW w:w="20" w:type="dxa"/>
            <w:vAlign w:val="bottom"/>
          </w:tcPr>
          <w:p>
            <w:pPr>
              <w:spacing w:after="0"/>
              <w:rPr>
                <w:sz w:val="15"/>
                <w:szCs w:val="15"/>
                <w:color w:val="auto"/>
              </w:rPr>
            </w:pPr>
          </w:p>
        </w:tc>
        <w:tc>
          <w:tcPr>
            <w:tcW w:w="1380" w:type="dxa"/>
            <w:vAlign w:val="bottom"/>
            <w:tcBorders>
              <w:right w:val="single" w:sz="8" w:color="02AE90"/>
            </w:tcBorders>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Annual</w:t>
            </w:r>
          </w:p>
        </w:tc>
        <w:tc>
          <w:tcPr>
            <w:tcW w:w="0" w:type="dxa"/>
            <w:vAlign w:val="bottom"/>
          </w:tcPr>
          <w:p>
            <w:pPr>
              <w:spacing w:after="0"/>
              <w:rPr>
                <w:sz w:val="1"/>
                <w:szCs w:val="1"/>
                <w:color w:val="auto"/>
              </w:rPr>
            </w:pPr>
          </w:p>
        </w:tc>
      </w:tr>
      <w:tr>
        <w:trPr>
          <w:trHeight w:val="104"/>
        </w:trPr>
        <w:tc>
          <w:tcPr>
            <w:tcW w:w="1560" w:type="dxa"/>
            <w:vAlign w:val="bottom"/>
            <w:tcBorders>
              <w:left w:val="single" w:sz="8" w:color="02AE90"/>
            </w:tcBorders>
          </w:tcPr>
          <w:p>
            <w:pPr>
              <w:spacing w:after="0"/>
              <w:rPr>
                <w:sz w:val="9"/>
                <w:szCs w:val="9"/>
                <w:color w:val="auto"/>
              </w:rPr>
            </w:pPr>
          </w:p>
        </w:tc>
        <w:tc>
          <w:tcPr>
            <w:tcW w:w="20" w:type="dxa"/>
            <w:vAlign w:val="bottom"/>
            <w:shd w:val="clear" w:color="auto" w:fill="02AE90"/>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shd w:val="clear" w:color="auto" w:fill="02AE90"/>
          </w:tcPr>
          <w:p>
            <w:pPr>
              <w:spacing w:after="0"/>
              <w:rPr>
                <w:sz w:val="9"/>
                <w:szCs w:val="9"/>
                <w:color w:val="auto"/>
              </w:rPr>
            </w:pPr>
          </w:p>
        </w:tc>
        <w:tc>
          <w:tcPr>
            <w:tcW w:w="1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right w:val="single" w:sz="8" w:color="02AE90"/>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560" w:type="dxa"/>
            <w:vAlign w:val="bottom"/>
            <w:tcBorders>
              <w:left w:val="single" w:sz="8" w:color="02AE90"/>
            </w:tcBorders>
          </w:tcPr>
          <w:p>
            <w:pPr>
              <w:spacing w:after="0"/>
              <w:rPr>
                <w:sz w:val="13"/>
                <w:szCs w:val="13"/>
                <w:color w:val="auto"/>
              </w:rPr>
            </w:pPr>
          </w:p>
        </w:tc>
        <w:tc>
          <w:tcPr>
            <w:tcW w:w="20" w:type="dxa"/>
            <w:vAlign w:val="bottom"/>
            <w:shd w:val="clear" w:color="auto" w:fill="02AE90"/>
          </w:tcPr>
          <w:p>
            <w:pPr>
              <w:spacing w:after="0"/>
              <w:rPr>
                <w:sz w:val="13"/>
                <w:szCs w:val="13"/>
                <w:color w:val="auto"/>
              </w:rPr>
            </w:pPr>
          </w:p>
        </w:tc>
        <w:tc>
          <w:tcPr>
            <w:tcW w:w="3360" w:type="dxa"/>
            <w:vAlign w:val="bottom"/>
          </w:tcPr>
          <w:p>
            <w:pPr>
              <w:spacing w:after="0"/>
              <w:rPr>
                <w:sz w:val="13"/>
                <w:szCs w:val="13"/>
                <w:color w:val="auto"/>
              </w:rPr>
            </w:pPr>
          </w:p>
        </w:tc>
        <w:tc>
          <w:tcPr>
            <w:tcW w:w="20" w:type="dxa"/>
            <w:vAlign w:val="bottom"/>
            <w:shd w:val="clear" w:color="auto" w:fill="02AE90"/>
          </w:tcPr>
          <w:p>
            <w:pPr>
              <w:spacing w:after="0"/>
              <w:rPr>
                <w:sz w:val="13"/>
                <w:szCs w:val="13"/>
                <w:color w:val="auto"/>
              </w:rPr>
            </w:pPr>
          </w:p>
        </w:tc>
        <w:tc>
          <w:tcPr>
            <w:tcW w:w="1620" w:type="dxa"/>
            <w:vAlign w:val="bottom"/>
          </w:tcPr>
          <w:p>
            <w:pPr>
              <w:ind w:left="160"/>
              <w:spacing w:after="0" w:line="150" w:lineRule="exact"/>
              <w:rPr>
                <w:sz w:val="20"/>
                <w:szCs w:val="20"/>
                <w:color w:val="auto"/>
              </w:rPr>
            </w:pPr>
            <w:r>
              <w:rPr>
                <w:rFonts w:ascii="Times New Roman" w:cs="Times New Roman" w:eastAsia="Times New Roman" w:hAnsi="Times New Roman"/>
                <w:sz w:val="14"/>
                <w:szCs w:val="14"/>
                <w:color w:val="auto"/>
              </w:rPr>
              <w:t>defined below)</w:t>
            </w:r>
          </w:p>
        </w:tc>
        <w:tc>
          <w:tcPr>
            <w:tcW w:w="20" w:type="dxa"/>
            <w:vAlign w:val="bottom"/>
          </w:tcPr>
          <w:p>
            <w:pPr>
              <w:spacing w:after="0"/>
              <w:rPr>
                <w:sz w:val="13"/>
                <w:szCs w:val="13"/>
                <w:color w:val="auto"/>
              </w:rPr>
            </w:pPr>
          </w:p>
        </w:tc>
        <w:tc>
          <w:tcPr>
            <w:tcW w:w="2660" w:type="dxa"/>
            <w:vAlign w:val="bottom"/>
          </w:tcPr>
          <w:p>
            <w:pPr>
              <w:ind w:left="200"/>
              <w:spacing w:after="0" w:line="150" w:lineRule="exact"/>
              <w:rPr>
                <w:sz w:val="20"/>
                <w:szCs w:val="20"/>
                <w:color w:val="auto"/>
              </w:rPr>
            </w:pPr>
            <w:r>
              <w:rPr>
                <w:rFonts w:ascii="Times New Roman" w:cs="Times New Roman" w:eastAsia="Times New Roman" w:hAnsi="Times New Roman"/>
                <w:sz w:val="14"/>
                <w:szCs w:val="14"/>
                <w:color w:val="auto"/>
              </w:rPr>
              <w:t>market-competitive total cash opportunity</w:t>
            </w:r>
          </w:p>
        </w:tc>
        <w:tc>
          <w:tcPr>
            <w:tcW w:w="20" w:type="dxa"/>
            <w:vAlign w:val="bottom"/>
          </w:tcPr>
          <w:p>
            <w:pPr>
              <w:spacing w:after="0"/>
              <w:rPr>
                <w:sz w:val="13"/>
                <w:szCs w:val="13"/>
                <w:color w:val="auto"/>
              </w:rPr>
            </w:pPr>
          </w:p>
        </w:tc>
        <w:tc>
          <w:tcPr>
            <w:tcW w:w="1380" w:type="dxa"/>
            <w:vAlign w:val="bottom"/>
            <w:tcBorders>
              <w:right w:val="single" w:sz="8" w:color="02AE90"/>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560" w:type="dxa"/>
            <w:vAlign w:val="bottom"/>
            <w:tcBorders>
              <w:left w:val="single" w:sz="8" w:color="02AE90"/>
            </w:tcBorders>
          </w:tcPr>
          <w:p>
            <w:pPr>
              <w:spacing w:after="0" w:line="20" w:lineRule="exact"/>
              <w:rPr>
                <w:sz w:val="1"/>
                <w:szCs w:val="1"/>
                <w:color w:val="auto"/>
              </w:rPr>
            </w:pPr>
          </w:p>
        </w:tc>
        <w:tc>
          <w:tcPr>
            <w:tcW w:w="20" w:type="dxa"/>
            <w:vAlign w:val="bottom"/>
            <w:tcBorders>
              <w:bottom w:val="single" w:sz="8" w:color="02AE90"/>
            </w:tcBorders>
            <w:shd w:val="clear" w:color="auto" w:fill="02AE90"/>
          </w:tcPr>
          <w:p>
            <w:pPr>
              <w:spacing w:after="0" w:line="20" w:lineRule="exact"/>
              <w:rPr>
                <w:sz w:val="1"/>
                <w:szCs w:val="1"/>
                <w:color w:val="auto"/>
              </w:rPr>
            </w:pPr>
          </w:p>
        </w:tc>
        <w:tc>
          <w:tcPr>
            <w:tcW w:w="3360" w:type="dxa"/>
            <w:vAlign w:val="bottom"/>
            <w:tcBorders>
              <w:bottom w:val="single" w:sz="8" w:color="02AE90"/>
            </w:tcBorders>
          </w:tcPr>
          <w:p>
            <w:pPr>
              <w:spacing w:after="0" w:line="20" w:lineRule="exact"/>
              <w:rPr>
                <w:sz w:val="1"/>
                <w:szCs w:val="1"/>
                <w:color w:val="auto"/>
              </w:rPr>
            </w:pPr>
          </w:p>
        </w:tc>
        <w:tc>
          <w:tcPr>
            <w:tcW w:w="20" w:type="dxa"/>
            <w:vAlign w:val="bottom"/>
            <w:tcBorders>
              <w:bottom w:val="single" w:sz="8" w:color="02AE90"/>
            </w:tcBorders>
            <w:shd w:val="clear" w:color="auto" w:fill="02AE90"/>
          </w:tcPr>
          <w:p>
            <w:pPr>
              <w:spacing w:after="0" w:line="20" w:lineRule="exact"/>
              <w:rPr>
                <w:sz w:val="1"/>
                <w:szCs w:val="1"/>
                <w:color w:val="auto"/>
              </w:rPr>
            </w:pPr>
          </w:p>
        </w:tc>
        <w:tc>
          <w:tcPr>
            <w:tcW w:w="1620" w:type="dxa"/>
            <w:vAlign w:val="bottom"/>
            <w:vMerge w:val="restart"/>
          </w:tcPr>
          <w:p>
            <w:pPr>
              <w:ind w:left="120"/>
              <w:spacing w:after="0" w:line="146"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Revenue</w:t>
            </w: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2AE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560" w:type="dxa"/>
            <w:vAlign w:val="bottom"/>
            <w:tcBorders>
              <w:left w:val="single" w:sz="8" w:color="02AE90"/>
            </w:tcBorders>
          </w:tcPr>
          <w:p>
            <w:pPr>
              <w:spacing w:after="0"/>
              <w:rPr>
                <w:sz w:val="8"/>
                <w:szCs w:val="8"/>
                <w:color w:val="auto"/>
              </w:rPr>
            </w:pPr>
          </w:p>
        </w:tc>
        <w:tc>
          <w:tcPr>
            <w:tcW w:w="20" w:type="dxa"/>
            <w:vAlign w:val="bottom"/>
            <w:shd w:val="clear" w:color="auto" w:fill="02AE90"/>
          </w:tcPr>
          <w:p>
            <w:pPr>
              <w:spacing w:after="0"/>
              <w:rPr>
                <w:sz w:val="8"/>
                <w:szCs w:val="8"/>
                <w:color w:val="auto"/>
              </w:rPr>
            </w:pPr>
          </w:p>
        </w:tc>
        <w:tc>
          <w:tcPr>
            <w:tcW w:w="3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Motivate performance to achieve specific short-term</w:t>
            </w:r>
          </w:p>
        </w:tc>
        <w:tc>
          <w:tcPr>
            <w:tcW w:w="20" w:type="dxa"/>
            <w:vAlign w:val="bottom"/>
            <w:shd w:val="clear" w:color="auto" w:fill="02AE90"/>
          </w:tcPr>
          <w:p>
            <w:pPr>
              <w:spacing w:after="0"/>
              <w:rPr>
                <w:sz w:val="8"/>
                <w:szCs w:val="8"/>
                <w:color w:val="auto"/>
              </w:rPr>
            </w:pPr>
          </w:p>
        </w:tc>
        <w:tc>
          <w:tcPr>
            <w:tcW w:w="1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At-risk compensation</w:t>
            </w:r>
          </w:p>
        </w:tc>
        <w:tc>
          <w:tcPr>
            <w:tcW w:w="20" w:type="dxa"/>
            <w:vAlign w:val="bottom"/>
          </w:tcPr>
          <w:p>
            <w:pPr>
              <w:spacing w:after="0"/>
              <w:rPr>
                <w:sz w:val="8"/>
                <w:szCs w:val="8"/>
                <w:color w:val="auto"/>
              </w:rPr>
            </w:pPr>
          </w:p>
        </w:tc>
        <w:tc>
          <w:tcPr>
            <w:tcW w:w="1380" w:type="dxa"/>
            <w:vAlign w:val="bottom"/>
            <w:tcBorders>
              <w:right w:val="single" w:sz="8" w:color="02AE90"/>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560" w:type="dxa"/>
            <w:vAlign w:val="bottom"/>
            <w:tcBorders>
              <w:left w:val="single" w:sz="8" w:color="02AE90"/>
            </w:tcBorders>
          </w:tcPr>
          <w:p>
            <w:pPr>
              <w:spacing w:after="0"/>
              <w:rPr>
                <w:sz w:val="12"/>
                <w:szCs w:val="12"/>
                <w:color w:val="auto"/>
              </w:rPr>
            </w:pPr>
          </w:p>
        </w:tc>
        <w:tc>
          <w:tcPr>
            <w:tcW w:w="20" w:type="dxa"/>
            <w:vAlign w:val="bottom"/>
            <w:shd w:val="clear" w:color="auto" w:fill="02AE90"/>
          </w:tcPr>
          <w:p>
            <w:pPr>
              <w:spacing w:after="0"/>
              <w:rPr>
                <w:sz w:val="12"/>
                <w:szCs w:val="12"/>
                <w:color w:val="auto"/>
              </w:rPr>
            </w:pPr>
          </w:p>
        </w:tc>
        <w:tc>
          <w:tcPr>
            <w:tcW w:w="3360" w:type="dxa"/>
            <w:vAlign w:val="bottom"/>
            <w:vMerge w:val="continue"/>
          </w:tcPr>
          <w:p>
            <w:pPr>
              <w:spacing w:after="0"/>
              <w:rPr>
                <w:sz w:val="12"/>
                <w:szCs w:val="12"/>
                <w:color w:val="auto"/>
              </w:rPr>
            </w:pPr>
          </w:p>
        </w:tc>
        <w:tc>
          <w:tcPr>
            <w:tcW w:w="20" w:type="dxa"/>
            <w:vAlign w:val="bottom"/>
            <w:shd w:val="clear" w:color="auto" w:fill="02AE90"/>
          </w:tcPr>
          <w:p>
            <w:pPr>
              <w:spacing w:after="0"/>
              <w:rPr>
                <w:sz w:val="12"/>
                <w:szCs w:val="12"/>
                <w:color w:val="auto"/>
              </w:rPr>
            </w:pPr>
          </w:p>
        </w:tc>
        <w:tc>
          <w:tcPr>
            <w:tcW w:w="1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Adjusted EBITDA</w:t>
            </w:r>
          </w:p>
        </w:tc>
        <w:tc>
          <w:tcPr>
            <w:tcW w:w="2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right w:val="single" w:sz="8" w:color="02AE90"/>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02AE90"/>
            </w:tcBorders>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and strategic objectives</w:t>
            </w:r>
          </w:p>
        </w:tc>
        <w:tc>
          <w:tcPr>
            <w:tcW w:w="20" w:type="dxa"/>
            <w:vAlign w:val="bottom"/>
            <w:shd w:val="clear" w:color="auto" w:fill="02AE90"/>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Borders>
              <w:right w:val="single" w:sz="8" w:color="02AE90"/>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02AE90"/>
            </w:tcBorders>
          </w:tcPr>
          <w:p>
            <w:pPr>
              <w:spacing w:after="0"/>
              <w:rPr>
                <w:sz w:val="9"/>
                <w:szCs w:val="9"/>
                <w:color w:val="auto"/>
              </w:rPr>
            </w:pPr>
          </w:p>
        </w:tc>
        <w:tc>
          <w:tcPr>
            <w:tcW w:w="20" w:type="dxa"/>
            <w:vAlign w:val="bottom"/>
            <w:shd w:val="clear" w:color="auto" w:fill="02AE90"/>
          </w:tcPr>
          <w:p>
            <w:pPr>
              <w:spacing w:after="0"/>
              <w:rPr>
                <w:sz w:val="9"/>
                <w:szCs w:val="9"/>
                <w:color w:val="auto"/>
              </w:rPr>
            </w:pPr>
          </w:p>
        </w:tc>
        <w:tc>
          <w:tcPr>
            <w:tcW w:w="3360" w:type="dxa"/>
            <w:vAlign w:val="bottom"/>
          </w:tcPr>
          <w:p>
            <w:pPr>
              <w:spacing w:after="0"/>
              <w:rPr>
                <w:sz w:val="9"/>
                <w:szCs w:val="9"/>
                <w:color w:val="auto"/>
              </w:rPr>
            </w:pPr>
          </w:p>
        </w:tc>
        <w:tc>
          <w:tcPr>
            <w:tcW w:w="20" w:type="dxa"/>
            <w:vAlign w:val="bottom"/>
            <w:shd w:val="clear" w:color="auto" w:fill="02AE90"/>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right w:val="single" w:sz="8" w:color="02AE90"/>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gridSpan w:val="2"/>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560" w:type="dxa"/>
            <w:vAlign w:val="bottom"/>
            <w:tcBorders>
              <w:left w:val="single" w:sz="8" w:color="02AE90"/>
            </w:tcBorders>
          </w:tcPr>
          <w:p>
            <w:pPr>
              <w:ind w:left="120"/>
              <w:spacing w:after="0" w:line="128"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20" w:type="dxa"/>
            <w:vAlign w:val="bottom"/>
            <w:shd w:val="clear" w:color="auto" w:fill="02AE90"/>
          </w:tcPr>
          <w:p>
            <w:pPr>
              <w:spacing w:after="0"/>
              <w:rPr>
                <w:sz w:val="11"/>
                <w:szCs w:val="11"/>
                <w:color w:val="auto"/>
              </w:rPr>
            </w:pPr>
          </w:p>
        </w:tc>
        <w:tc>
          <w:tcPr>
            <w:tcW w:w="3360" w:type="dxa"/>
            <w:vAlign w:val="bottom"/>
          </w:tcPr>
          <w:p>
            <w:pPr>
              <w:ind w:left="140"/>
              <w:spacing w:after="0" w:line="128" w:lineRule="exact"/>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Align NEOs’ and stockholders’ interests</w:t>
            </w:r>
          </w:p>
        </w:tc>
        <w:tc>
          <w:tcPr>
            <w:tcW w:w="20" w:type="dxa"/>
            <w:vAlign w:val="bottom"/>
            <w:shd w:val="clear" w:color="auto" w:fill="02AE90"/>
          </w:tcPr>
          <w:p>
            <w:pPr>
              <w:spacing w:after="0"/>
              <w:rPr>
                <w:sz w:val="11"/>
                <w:szCs w:val="11"/>
                <w:color w:val="auto"/>
              </w:rPr>
            </w:pPr>
          </w:p>
        </w:tc>
        <w:tc>
          <w:tcPr>
            <w:tcW w:w="1620" w:type="dxa"/>
            <w:vAlign w:val="bottom"/>
          </w:tcPr>
          <w:p>
            <w:pPr>
              <w:ind w:left="12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N/A</w:t>
            </w:r>
          </w:p>
        </w:tc>
        <w:tc>
          <w:tcPr>
            <w:tcW w:w="20" w:type="dxa"/>
            <w:vAlign w:val="bottom"/>
            <w:shd w:val="clear" w:color="auto" w:fill="02AE90"/>
          </w:tcPr>
          <w:p>
            <w:pPr>
              <w:spacing w:after="0"/>
              <w:rPr>
                <w:sz w:val="11"/>
                <w:szCs w:val="11"/>
                <w:color w:val="auto"/>
              </w:rPr>
            </w:pPr>
          </w:p>
        </w:tc>
        <w:tc>
          <w:tcPr>
            <w:tcW w:w="2660" w:type="dxa"/>
            <w:vAlign w:val="bottom"/>
          </w:tcPr>
          <w:p>
            <w:pPr>
              <w:ind w:left="14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Generally vest over three to four years</w:t>
            </w:r>
          </w:p>
        </w:tc>
        <w:tc>
          <w:tcPr>
            <w:tcW w:w="20" w:type="dxa"/>
            <w:vAlign w:val="bottom"/>
            <w:shd w:val="clear" w:color="auto" w:fill="02AE90"/>
          </w:tcPr>
          <w:p>
            <w:pPr>
              <w:spacing w:after="0"/>
              <w:rPr>
                <w:sz w:val="11"/>
                <w:szCs w:val="11"/>
                <w:color w:val="auto"/>
              </w:rPr>
            </w:pPr>
          </w:p>
        </w:tc>
        <w:tc>
          <w:tcPr>
            <w:tcW w:w="1380" w:type="dxa"/>
            <w:vAlign w:val="bottom"/>
            <w:tcBorders>
              <w:right w:val="single" w:sz="8" w:color="02AE90"/>
            </w:tcBorders>
          </w:tcPr>
          <w:p>
            <w:pPr>
              <w:ind w:left="14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Three to Four years</w:t>
            </w:r>
          </w:p>
        </w:tc>
        <w:tc>
          <w:tcPr>
            <w:tcW w:w="0" w:type="dxa"/>
            <w:vAlign w:val="bottom"/>
          </w:tcPr>
          <w:p>
            <w:pPr>
              <w:spacing w:after="0"/>
              <w:rPr>
                <w:sz w:val="1"/>
                <w:szCs w:val="1"/>
                <w:color w:val="auto"/>
              </w:rPr>
            </w:pPr>
          </w:p>
        </w:tc>
      </w:tr>
      <w:tr>
        <w:trPr>
          <w:trHeight w:val="148"/>
        </w:trPr>
        <w:tc>
          <w:tcPr>
            <w:tcW w:w="1560" w:type="dxa"/>
            <w:vAlign w:val="bottom"/>
            <w:tcBorders>
              <w:left w:val="single" w:sz="8" w:color="02AE90"/>
            </w:tcBorders>
          </w:tcPr>
          <w:p>
            <w:pPr>
              <w:ind w:left="120"/>
              <w:spacing w:after="0" w:line="148" w:lineRule="exact"/>
              <w:rPr>
                <w:sz w:val="20"/>
                <w:szCs w:val="20"/>
                <w:color w:val="auto"/>
              </w:rPr>
            </w:pPr>
            <w:r>
              <w:rPr>
                <w:rFonts w:ascii="Times New Roman" w:cs="Times New Roman" w:eastAsia="Times New Roman" w:hAnsi="Times New Roman"/>
                <w:sz w:val="14"/>
                <w:szCs w:val="14"/>
                <w:b w:val="1"/>
                <w:bCs w:val="1"/>
                <w:color w:val="auto"/>
              </w:rPr>
              <w:t>Time-Based RSUs</w:t>
            </w:r>
          </w:p>
        </w:tc>
        <w:tc>
          <w:tcPr>
            <w:tcW w:w="20" w:type="dxa"/>
            <w:vAlign w:val="bottom"/>
            <w:shd w:val="clear" w:color="auto" w:fill="02AE90"/>
          </w:tcPr>
          <w:p>
            <w:pPr>
              <w:spacing w:after="0"/>
              <w:rPr>
                <w:sz w:val="12"/>
                <w:szCs w:val="12"/>
                <w:color w:val="auto"/>
              </w:rPr>
            </w:pPr>
          </w:p>
        </w:tc>
        <w:tc>
          <w:tcPr>
            <w:tcW w:w="336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Attract and retain qualified executives</w:t>
            </w:r>
          </w:p>
        </w:tc>
        <w:tc>
          <w:tcPr>
            <w:tcW w:w="20" w:type="dxa"/>
            <w:vAlign w:val="bottom"/>
            <w:shd w:val="clear" w:color="auto" w:fill="02AE90"/>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shd w:val="clear" w:color="auto" w:fill="02AE90"/>
          </w:tcPr>
          <w:p>
            <w:pPr>
              <w:spacing w:after="0"/>
              <w:rPr>
                <w:sz w:val="12"/>
                <w:szCs w:val="12"/>
                <w:color w:val="auto"/>
              </w:rPr>
            </w:pPr>
          </w:p>
        </w:tc>
        <w:tc>
          <w:tcPr>
            <w:tcW w:w="266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enhance retention</w:t>
            </w:r>
          </w:p>
        </w:tc>
        <w:tc>
          <w:tcPr>
            <w:tcW w:w="20" w:type="dxa"/>
            <w:vAlign w:val="bottom"/>
            <w:shd w:val="clear" w:color="auto" w:fill="02AE90"/>
          </w:tcPr>
          <w:p>
            <w:pPr>
              <w:spacing w:after="0"/>
              <w:rPr>
                <w:sz w:val="12"/>
                <w:szCs w:val="12"/>
                <w:color w:val="auto"/>
              </w:rPr>
            </w:pPr>
          </w:p>
        </w:tc>
        <w:tc>
          <w:tcPr>
            <w:tcW w:w="1380" w:type="dxa"/>
            <w:vAlign w:val="bottom"/>
            <w:tcBorders>
              <w:right w:val="single" w:sz="8" w:color="02AE90"/>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560" w:type="dxa"/>
            <w:vAlign w:val="bottom"/>
            <w:tcBorders>
              <w:left w:val="single" w:sz="8" w:color="02AE90"/>
            </w:tcBorders>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At-risk compensation</w:t>
            </w:r>
          </w:p>
        </w:tc>
        <w:tc>
          <w:tcPr>
            <w:tcW w:w="20" w:type="dxa"/>
            <w:vAlign w:val="bottom"/>
            <w:shd w:val="clear" w:color="auto" w:fill="02AE90"/>
          </w:tcPr>
          <w:p>
            <w:pPr>
              <w:spacing w:after="0"/>
              <w:rPr>
                <w:sz w:val="16"/>
                <w:szCs w:val="16"/>
                <w:color w:val="auto"/>
              </w:rPr>
            </w:pPr>
          </w:p>
        </w:tc>
        <w:tc>
          <w:tcPr>
            <w:tcW w:w="1380" w:type="dxa"/>
            <w:vAlign w:val="bottom"/>
            <w:tcBorders>
              <w:right w:val="single" w:sz="8" w:color="02AE90"/>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60" w:type="dxa"/>
            <w:vAlign w:val="bottom"/>
            <w:tcBorders>
              <w:left w:val="single" w:sz="8" w:color="02AE90"/>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336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162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266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1380" w:type="dxa"/>
            <w:vAlign w:val="bottom"/>
            <w:tcBorders>
              <w:bottom w:val="single" w:sz="8" w:color="02AE90"/>
              <w:right w:val="single" w:sz="8" w:color="02AE90"/>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60" w:type="dxa"/>
            <w:vAlign w:val="bottom"/>
            <w:tcBorders>
              <w:left w:val="single" w:sz="8" w:color="02AE90"/>
            </w:tcBorders>
          </w:tcPr>
          <w:p>
            <w:pPr>
              <w:ind w:left="120"/>
              <w:spacing w:after="0" w:line="128" w:lineRule="exact"/>
              <w:rPr>
                <w:sz w:val="20"/>
                <w:szCs w:val="20"/>
                <w:color w:val="auto"/>
              </w:rPr>
            </w:pPr>
            <w:r>
              <w:rPr>
                <w:rFonts w:ascii="Times New Roman" w:cs="Times New Roman" w:eastAsia="Times New Roman" w:hAnsi="Times New Roman"/>
                <w:sz w:val="14"/>
                <w:szCs w:val="14"/>
                <w:b w:val="1"/>
                <w:bCs w:val="1"/>
                <w:color w:val="auto"/>
              </w:rPr>
              <w:t>Equity Awards -</w:t>
            </w:r>
          </w:p>
        </w:tc>
        <w:tc>
          <w:tcPr>
            <w:tcW w:w="20" w:type="dxa"/>
            <w:vAlign w:val="bottom"/>
            <w:shd w:val="clear" w:color="auto" w:fill="02AE90"/>
          </w:tcPr>
          <w:p>
            <w:pPr>
              <w:spacing w:after="0"/>
              <w:rPr>
                <w:sz w:val="11"/>
                <w:szCs w:val="11"/>
                <w:color w:val="auto"/>
              </w:rPr>
            </w:pPr>
          </w:p>
        </w:tc>
        <w:tc>
          <w:tcPr>
            <w:tcW w:w="3360" w:type="dxa"/>
            <w:vAlign w:val="bottom"/>
          </w:tcPr>
          <w:p>
            <w:pPr>
              <w:ind w:left="140"/>
              <w:spacing w:after="0" w:line="128" w:lineRule="exact"/>
              <w:rPr>
                <w:sz w:val="20"/>
                <w:szCs w:val="20"/>
                <w:color w:val="auto"/>
              </w:rPr>
            </w:pPr>
            <w:r>
              <w:rPr>
                <w:rFonts w:ascii="Times New Roman" w:cs="Times New Roman" w:eastAsia="Times New Roman" w:hAnsi="Times New Roman"/>
                <w:sz w:val="14"/>
                <w:szCs w:val="14"/>
                <w:color w:val="02AE90"/>
              </w:rPr>
              <w:t xml:space="preserve">• </w:t>
            </w:r>
            <w:r>
              <w:rPr>
                <w:rFonts w:ascii="Times New Roman" w:cs="Times New Roman" w:eastAsia="Times New Roman" w:hAnsi="Times New Roman"/>
                <w:sz w:val="14"/>
                <w:szCs w:val="14"/>
                <w:color w:val="000000"/>
              </w:rPr>
              <w:t>Motivate performance to achieve specific and financial</w:t>
            </w:r>
          </w:p>
        </w:tc>
        <w:tc>
          <w:tcPr>
            <w:tcW w:w="20" w:type="dxa"/>
            <w:vAlign w:val="bottom"/>
            <w:shd w:val="clear" w:color="auto" w:fill="02AE90"/>
          </w:tcPr>
          <w:p>
            <w:pPr>
              <w:spacing w:after="0"/>
              <w:rPr>
                <w:sz w:val="11"/>
                <w:szCs w:val="11"/>
                <w:color w:val="auto"/>
              </w:rPr>
            </w:pPr>
          </w:p>
        </w:tc>
        <w:tc>
          <w:tcPr>
            <w:tcW w:w="1620" w:type="dxa"/>
            <w:vAlign w:val="bottom"/>
          </w:tcPr>
          <w:p>
            <w:pPr>
              <w:ind w:left="12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Share price</w:t>
            </w:r>
          </w:p>
        </w:tc>
        <w:tc>
          <w:tcPr>
            <w:tcW w:w="20" w:type="dxa"/>
            <w:vAlign w:val="bottom"/>
            <w:shd w:val="clear" w:color="auto" w:fill="02AE90"/>
          </w:tcPr>
          <w:p>
            <w:pPr>
              <w:spacing w:after="0"/>
              <w:rPr>
                <w:sz w:val="11"/>
                <w:szCs w:val="11"/>
                <w:color w:val="auto"/>
              </w:rPr>
            </w:pPr>
          </w:p>
        </w:tc>
        <w:tc>
          <w:tcPr>
            <w:tcW w:w="2660" w:type="dxa"/>
            <w:vAlign w:val="bottom"/>
          </w:tcPr>
          <w:p>
            <w:pPr>
              <w:ind w:left="14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At-risk compensation</w:t>
            </w:r>
          </w:p>
        </w:tc>
        <w:tc>
          <w:tcPr>
            <w:tcW w:w="20" w:type="dxa"/>
            <w:vAlign w:val="bottom"/>
            <w:shd w:val="clear" w:color="auto" w:fill="02AE90"/>
          </w:tcPr>
          <w:p>
            <w:pPr>
              <w:spacing w:after="0"/>
              <w:rPr>
                <w:sz w:val="11"/>
                <w:szCs w:val="11"/>
                <w:color w:val="auto"/>
              </w:rPr>
            </w:pPr>
          </w:p>
        </w:tc>
        <w:tc>
          <w:tcPr>
            <w:tcW w:w="1380" w:type="dxa"/>
            <w:vAlign w:val="bottom"/>
            <w:tcBorders>
              <w:right w:val="single" w:sz="8" w:color="02AE90"/>
            </w:tcBorders>
          </w:tcPr>
          <w:p>
            <w:pPr>
              <w:ind w:left="140"/>
              <w:spacing w:after="0" w:line="128" w:lineRule="exact"/>
              <w:rPr>
                <w:sz w:val="20"/>
                <w:szCs w:val="20"/>
                <w:color w:val="auto"/>
              </w:rPr>
            </w:pPr>
            <w:r>
              <w:rPr>
                <w:rFonts w:ascii="Times New Roman" w:cs="Times New Roman" w:eastAsia="Times New Roman" w:hAnsi="Times New Roman"/>
                <w:sz w:val="14"/>
                <w:szCs w:val="14"/>
                <w:color w:val="02AE90"/>
              </w:rPr>
              <w:t>•</w:t>
            </w:r>
            <w:r>
              <w:rPr>
                <w:rFonts w:ascii="Times New Roman" w:cs="Times New Roman" w:eastAsia="Times New Roman" w:hAnsi="Times New Roman"/>
                <w:sz w:val="14"/>
                <w:szCs w:val="14"/>
                <w:color w:val="000000"/>
              </w:rPr>
              <w:t>Three years</w:t>
            </w:r>
          </w:p>
        </w:tc>
        <w:tc>
          <w:tcPr>
            <w:tcW w:w="0" w:type="dxa"/>
            <w:vAlign w:val="bottom"/>
          </w:tcPr>
          <w:p>
            <w:pPr>
              <w:spacing w:after="0"/>
              <w:rPr>
                <w:sz w:val="1"/>
                <w:szCs w:val="1"/>
                <w:color w:val="auto"/>
              </w:rPr>
            </w:pPr>
          </w:p>
        </w:tc>
      </w:tr>
      <w:tr>
        <w:trPr>
          <w:trHeight w:val="146"/>
        </w:trPr>
        <w:tc>
          <w:tcPr>
            <w:tcW w:w="1560" w:type="dxa"/>
            <w:vAlign w:val="bottom"/>
            <w:tcBorders>
              <w:left w:val="single" w:sz="8" w:color="02AE90"/>
            </w:tcBorders>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Performance-Based</w:t>
            </w:r>
          </w:p>
        </w:tc>
        <w:tc>
          <w:tcPr>
            <w:tcW w:w="20" w:type="dxa"/>
            <w:vAlign w:val="bottom"/>
            <w:shd w:val="clear" w:color="auto" w:fill="02AE90"/>
          </w:tcPr>
          <w:p>
            <w:pPr>
              <w:spacing w:after="0"/>
              <w:rPr>
                <w:sz w:val="12"/>
                <w:szCs w:val="12"/>
                <w:color w:val="auto"/>
              </w:rPr>
            </w:pPr>
          </w:p>
        </w:tc>
        <w:tc>
          <w:tcPr>
            <w:tcW w:w="3360" w:type="dxa"/>
            <w:vAlign w:val="bottom"/>
          </w:tcPr>
          <w:p>
            <w:pPr>
              <w:ind w:left="200"/>
              <w:spacing w:after="0" w:line="146" w:lineRule="exact"/>
              <w:rPr>
                <w:sz w:val="20"/>
                <w:szCs w:val="20"/>
                <w:color w:val="auto"/>
              </w:rPr>
            </w:pPr>
            <w:r>
              <w:rPr>
                <w:rFonts w:ascii="Times New Roman" w:cs="Times New Roman" w:eastAsia="Times New Roman" w:hAnsi="Times New Roman"/>
                <w:sz w:val="14"/>
                <w:szCs w:val="14"/>
                <w:color w:val="auto"/>
              </w:rPr>
              <w:t>and strategic objectives</w:t>
            </w:r>
          </w:p>
        </w:tc>
        <w:tc>
          <w:tcPr>
            <w:tcW w:w="20" w:type="dxa"/>
            <w:vAlign w:val="bottom"/>
            <w:shd w:val="clear" w:color="auto" w:fill="02AE90"/>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shd w:val="clear" w:color="auto" w:fill="02AE90"/>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shd w:val="clear" w:color="auto" w:fill="02AE90"/>
          </w:tcPr>
          <w:p>
            <w:pPr>
              <w:spacing w:after="0"/>
              <w:rPr>
                <w:sz w:val="12"/>
                <w:szCs w:val="12"/>
                <w:color w:val="auto"/>
              </w:rPr>
            </w:pPr>
          </w:p>
        </w:tc>
        <w:tc>
          <w:tcPr>
            <w:tcW w:w="1380" w:type="dxa"/>
            <w:vAlign w:val="bottom"/>
            <w:tcBorders>
              <w:right w:val="single" w:sz="8" w:color="02AE90"/>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0" w:type="dxa"/>
            <w:vAlign w:val="bottom"/>
            <w:shd w:val="clear" w:color="auto" w:fill="02AE90"/>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shd w:val="clear" w:color="auto" w:fill="02AE90"/>
          </w:tcPr>
          <w:p>
            <w:pPr>
              <w:spacing w:after="0"/>
              <w:rPr>
                <w:sz w:val="16"/>
                <w:szCs w:val="16"/>
                <w:color w:val="auto"/>
              </w:rPr>
            </w:pPr>
          </w:p>
        </w:tc>
        <w:tc>
          <w:tcPr>
            <w:tcW w:w="1380" w:type="dxa"/>
            <w:vAlign w:val="bottom"/>
            <w:tcBorders>
              <w:right w:val="single" w:sz="8" w:color="02AE90"/>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560" w:type="dxa"/>
            <w:vAlign w:val="bottom"/>
            <w:tcBorders>
              <w:left w:val="single" w:sz="8" w:color="02AE90"/>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336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162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2660" w:type="dxa"/>
            <w:vAlign w:val="bottom"/>
            <w:tcBorders>
              <w:bottom w:val="single" w:sz="8" w:color="02AE90"/>
            </w:tcBorders>
          </w:tcPr>
          <w:p>
            <w:pPr>
              <w:spacing w:after="0"/>
              <w:rPr>
                <w:sz w:val="12"/>
                <w:szCs w:val="12"/>
                <w:color w:val="auto"/>
              </w:rPr>
            </w:pPr>
          </w:p>
        </w:tc>
        <w:tc>
          <w:tcPr>
            <w:tcW w:w="20" w:type="dxa"/>
            <w:vAlign w:val="bottom"/>
            <w:tcBorders>
              <w:bottom w:val="single" w:sz="8" w:color="02AE90"/>
            </w:tcBorders>
            <w:shd w:val="clear" w:color="auto" w:fill="02AE90"/>
          </w:tcPr>
          <w:p>
            <w:pPr>
              <w:spacing w:after="0"/>
              <w:rPr>
                <w:sz w:val="12"/>
                <w:szCs w:val="12"/>
                <w:color w:val="auto"/>
              </w:rPr>
            </w:pPr>
          </w:p>
        </w:tc>
        <w:tc>
          <w:tcPr>
            <w:tcW w:w="1380" w:type="dxa"/>
            <w:vAlign w:val="bottom"/>
            <w:tcBorders>
              <w:bottom w:val="single" w:sz="8" w:color="02AE90"/>
              <w:right w:val="single" w:sz="8" w:color="02AE9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-1744980</wp:posOffset>
            </wp:positionV>
            <wp:extent cx="825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-1744980</wp:posOffset>
            </wp:positionV>
            <wp:extent cx="825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-1744980</wp:posOffset>
            </wp:positionV>
            <wp:extent cx="825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-1744980</wp:posOffset>
            </wp:positionV>
            <wp:extent cx="825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-855345</wp:posOffset>
            </wp:positionV>
            <wp:extent cx="33655"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7620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-855345</wp:posOffset>
            </wp:positionV>
            <wp:extent cx="33655" cy="76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7620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-855345</wp:posOffset>
            </wp:positionV>
            <wp:extent cx="33655" cy="76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7620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-1496060</wp:posOffset>
            </wp:positionV>
            <wp:extent cx="1737360" cy="716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37360" cy="71691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-855345</wp:posOffset>
            </wp:positionV>
            <wp:extent cx="33655"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7620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Roles and Responsibilities</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and Section 16 Committees</w:t>
      </w:r>
    </w:p>
    <w:p>
      <w:pPr>
        <w:spacing w:after="0" w:line="11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Compensation Committee is appointed by the Board and consists entirely of directors who are “outside directors” for purposes of Section 162(m) of the Code. The Compensation Committee currently consists of Messrs. Maffei and Hoag and Ms. Morgan, with Ms. Morgan acting as Chairperson of the Compensation Committee. The Compensation Committee is responsible for (i) designing and overseeing our compensation with respect to our executive officers, including salary matters, bonus plans and stock compensation plans; and (ii) approving all grants of equity awards, but excluding matters governed by Rule 16b-3 under the Exchange Act (for which the Section 16 Committee has responsibility as described below). Notwithstanding the foregoing, the Compensation Committee has delegated to the Chief Executive Officer of the Company authority to grant certain types of equity awards, subject to certain limitations, to employees other than executive officers.</w:t>
      </w:r>
    </w:p>
    <w:p>
      <w:pPr>
        <w:spacing w:after="0" w:line="18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Section 16 Committee is also appointed by the Board and consists entirely of directors who are “non-employee directors” for purposes of Rule 16b-3 under the Exchange Act. The Section 16 Committee currently consists of Mr. Hoag and Ms. Morgan. The Section 16 Committee is responsible for administering and overseeing matters governed by Rule 16b-3 under the Exchange Act,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including approving grants of equity awards to our named executive officers. Ms. Morgan is also the Chairman of the Section 16 Committee.</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Management participates in reviewing and refining our executive compensation program. Our President and Chief Executive Officer, annually reviews the performance of Tripadvisor and each named executive officer other than himself with the Compensation Committees and makes recommendations with respect to the appropriate base salary, annual bonus and grants of equity awards for each named executive officer, other than in connection with compensation for himself. Based in part on these recommendations and the other factors discussed below, the Compensation Committees review and approve the annual compensation package of each named executive officer.</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1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the Compensation Committee and Section 16 Committee Charter, the Compensation Committees may retain compensation consultants for the purpose of assisting the Compensation Committees in their evaluation of the compensation for our named executive officers. In July 2021, the Compensation Committees retained FW Cook, a premier provider of independent executive and non-employee director compensation consulting services to compensation committees and senior management. FW Cook has provided objective, independent and expert advice to the Compensation Committees and senior management on matters related to executive pay and performance. More specifically, FW Cook provided the following services to the Compensation Committees:</w:t>
      </w:r>
    </w:p>
    <w:p>
      <w:pPr>
        <w:spacing w:after="0" w:line="77" w:lineRule="exact"/>
        <w:rPr>
          <w:sz w:val="20"/>
          <w:szCs w:val="20"/>
          <w:color w:val="auto"/>
        </w:rPr>
      </w:pPr>
    </w:p>
    <w:p>
      <w:pPr>
        <w:ind w:left="1140" w:hanging="370"/>
        <w:spacing w:after="0" w:line="275" w:lineRule="auto"/>
        <w:tabs>
          <w:tab w:leader="none" w:pos="1140" w:val="left"/>
        </w:tabs>
        <w:numPr>
          <w:ilvl w:val="0"/>
          <w:numId w:val="2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Assist in developing and annually evaluating a peer group of publicly-traded companies to help assess executive compensation, equity usage relative to peer companies and “new hire” compensation;</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Compile and analyze competitive compensation market data and review all elements of Tripadvisor’s executive compensation to assist the Company in developing a competitive compensation framework for our named executive officers;</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2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Review the value of equity compensation granted to our executives and advise on matters related to our long-term incentive compensation structure generally as well as any potential engagement or retention grants;</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Provide advice on matters related to director compensation;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2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Provide updates on executive compensation trends and regulatory developments.</w:t>
      </w:r>
    </w:p>
    <w:p>
      <w:pPr>
        <w:spacing w:after="0" w:line="21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While the Compensation Committees meet regularly with the compensation consultant, the Compensation Committees consider input from the compensation consultant as one factor in making decisions with respect to compensation matters, along with information and analysis they receive from management and their own judgment and experience.</w:t>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Based on consideration of the factors set forth in the rules of the SEC and Nasdaq, the Compensation Committees have determined that their relationships with FW Cook and the work performed by FW Cook on behalf of the Compensation Committees have not raised any conflict of interest. In addition, in compliance with the Compensation Committee and Section 16 Committee Charter, the Compensation Committees approved the fees paid to FW Cook for work performed in 2022. FW Cook did not provide additional services to the Company or its affiliates in an amount in excess of $120,000 during the last completed fiscal year.</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Role of Stockholders</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Tripadvisor provides its stockholders with the opportunity to cast an advisory vote to approve the compensation of our named executive officers every three years. In evaluating our 2022 executive compensation program, the Compensation Committees considered the result of the stockholder advisory vote on our executive compensation (the “say-on-pay vote”) held at our Annual Meeting of Stockholders on June 8, 2021, which was approved by approximately 97% of the votes cast.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Both in 2018 and 2021, our stockholders expressed strong support for our executive compensation program in the last say-on-pay vote, which included modifications by the Compensation Committee to our executive compensation program specifically to address concerns raised by our stockholders, the recommendations of major proxy advisory firms, the practices of companies in our peer group and the views of our compensation consultant. Specifically, adopted features and policies that we believe ensure promotion of stockholders’ interests and strong corporate governance, include, but are not limited to, the following:</w:t>
      </w:r>
    </w:p>
    <w:p>
      <w:pPr>
        <w:spacing w:after="0" w:line="78" w:lineRule="exact"/>
        <w:rPr>
          <w:sz w:val="20"/>
          <w:szCs w:val="20"/>
          <w:color w:val="auto"/>
        </w:rPr>
      </w:pPr>
    </w:p>
    <w:p>
      <w:pPr>
        <w:ind w:left="1140" w:hanging="370"/>
        <w:spacing w:after="0"/>
        <w:tabs>
          <w:tab w:leader="none" w:pos="1140" w:val="left"/>
        </w:tabs>
        <w:numPr>
          <w:ilvl w:val="0"/>
          <w:numId w:val="3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Greater portions of compensation that are incentive based, or “variable,” as described in more detail in this section;</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3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Increased focus on structuring annual bonus and equity awards so that payouts are tied to the achievement of financial targets and strategic objectives;</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Equity awards are subject to a “clawback” policy;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ind w:left="1140" w:hanging="370"/>
        <w:spacing w:after="0"/>
        <w:tabs>
          <w:tab w:leader="none" w:pos="1140" w:val="left"/>
        </w:tabs>
        <w:numPr>
          <w:ilvl w:val="0"/>
          <w:numId w:val="3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Robust executive stock ownership guidelines;</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3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Amendment of our stock plan to prohibit acceleration of equity awards upon a “single trigger” and to provide for “double trigger” arrangements in our change in control provisions and severance arrangements;</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 policy that prohibits hedging, or hedging against losses, of Tripadvisor securities;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Provisions in our equity plans that prohibit repricing of stock options without stockholder approval.</w:t>
      </w:r>
    </w:p>
    <w:p>
      <w:pPr>
        <w:spacing w:after="0" w:line="2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continue to evaluate ways to ensure that our executive compensation programs compensate our NEOs for performance that furthers our business strategy and initiatives, competitive performance, sound corporate governance principles and stockholder value and return. We will continue to seek to align our NEOs’ incentive compensation opportunities to the achievement of short-term and long-term performance objectives that are directly aligned with the interest of our stockholders.</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Compensation Committees will continue to consider the outcome of the say-on-pay vote when making future compensation decisions for our named executive officers.</w:t>
      </w:r>
    </w:p>
    <w:p>
      <w:pPr>
        <w:spacing w:after="0" w:line="16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historically held a say-on-pay vote every three years and our next say-on-pay vote will occur at our 2024 Annual Meeting. At our 2018 Annual Meeting, stockholders considered and voted upon the frequency of future say-on-pay votes and voted in favor of a say-on-pay vote every three years. Although such vote is advisory and non-binding on Tripadvisor and our Board, the Board will take into account the outcome of this vote in making a determination on the frequency of future say-on-pay votes.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Elements</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primary elements of our executive compensation program are base salary, annual cash bonus and long-term incentive compensation in the form of equity awards. The program is designed to closely align executive compensation with performance by allocating a majority of target compensation to performance-based equity awards that directly link the value of executive compensation to our stock price performance and tying annual bonuses to performance.</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Our pay-for-performance philosophy is reflected in the charts below showing the key design and structure aspects of our program. All elements of annual compensation are considered to be performance-based, variable or “at-risk”, with the exception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267335</wp:posOffset>
            </wp:positionV>
            <wp:extent cx="5009515" cy="1661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09515" cy="166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hanging="374"/>
        <w:spacing w:after="0" w:line="252"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CEO Total Compensation consists of the (i) base salary and annual bonus paid in Fiscal 2022 to the executives who served as CEO in Fiscal 2022, as reflected in the Summary Compensation Table; and (ii) the target grant value of CEO Matt Goldberg's annual grant which is described in his employment agreement and is $6,350,000.</w:t>
      </w:r>
    </w:p>
    <w:p>
      <w:pPr>
        <w:spacing w:after="0" w:line="7"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NEO Total Compensation reflects the average of the base salary, annual bonus and aggregate grant date fair value of the Fiscal 2022 annual equity grant to Messrs. Teunissen and Kalvert and Ms. Soni as reflected in the Summary Compensation Table.</w:t>
      </w:r>
    </w:p>
    <w:p>
      <w:pPr>
        <w:spacing w:after="0" w:line="17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One of the primary objectives of our compensation philosophy is to design pay opportunities that align with our performance and result in strong long-term value creation for our stockholders. The significant weighting of long-term incentive compensation ensures that our named executive officers’ primary focus is sustained long-term performance, while our short-term incentive compensation motivates consistent annual achievement.</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Following recommendations from management or based on other considerations, the Compensation Committees may also adjust compensation for specific individuals at other times during the year when there are significant changes in responsibilities or under other circumstances that the Compensation Committees consider appropriate.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Base salary represents the fixed portion of a named executive officer’s compensation and is intended to provide compensation for expected day-to-day performance. A named executive officer’s base salary is initially determined upon hire or promotion based on a number of factors including, but not limited to, his or her responsibilities, prior experience, and salary levels of other executives within Tripadvisor. Providing a competitive base salary to our executives is essential to achieving our objectives of attracting and retaining talent. Base salary is typically reviewed annually, at which time management makes recommendations to the Compensation Committees based on consideration of a variety of factors including, but not limited to, the following:</w:t>
      </w:r>
    </w:p>
    <w:p>
      <w:pPr>
        <w:spacing w:after="0" w:line="78" w:lineRule="exact"/>
        <w:rPr>
          <w:sz w:val="20"/>
          <w:szCs w:val="20"/>
          <w:color w:val="auto"/>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named executive officer’s total compensation relative to other executives in similarly situated positions;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his or her individual performance relative to previously established performance goals;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competitive compensation market data, when available;</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his or her responsibilities, prior experience and individual compensation history, including any non-standard compensation;</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general economic conditions;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recommendations of the President and Chief Executive Officer (other than in connection with their own compensation).</w:t>
      </w:r>
    </w:p>
    <w:p>
      <w:pPr>
        <w:spacing w:after="0" w:line="21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After careful consideration of the factors discussed above with respect to each of the named executive officers, the Compensation Committees approved base salary changes for our named executive officers. The table below describes, for each NEO, the 2021 base salary, the base salary increase and the 2022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128270</wp:posOffset>
            </wp:positionV>
            <wp:extent cx="6417945" cy="1425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7945" cy="1425575"/>
                    </a:xfrm>
                    <a:prstGeom prst="rect">
                      <a:avLst/>
                    </a:prstGeom>
                    <a:noFill/>
                  </pic:spPr>
                </pic:pic>
              </a:graphicData>
            </a:graphic>
          </wp:anchor>
        </w:drawing>
      </w:r>
    </w:p>
    <w:p>
      <w:pPr>
        <w:spacing w:after="0" w:line="176"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5880" w:type="dxa"/>
            <w:vAlign w:val="bottom"/>
            <w:tcBorders>
              <w:left w:val="single" w:sz="8" w:color="02AE90"/>
              <w:right w:val="single" w:sz="8" w:color="02AE90"/>
            </w:tcBorders>
            <w:gridSpan w:val="2"/>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280" w:type="dxa"/>
            <w:vAlign w:val="bottom"/>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0"/>
              </w:rPr>
              <w:t>2021</w:t>
            </w:r>
            <w:r>
              <w:rPr>
                <w:rFonts w:ascii="Times New Roman" w:cs="Times New Roman" w:eastAsia="Times New Roman" w:hAnsi="Times New Roman"/>
                <w:sz w:val="18"/>
                <w:szCs w:val="18"/>
                <w:b w:val="1"/>
                <w:bCs w:val="1"/>
                <w:color w:val="FFFFFF"/>
                <w:w w:val="90"/>
                <w:vertAlign w:val="superscript"/>
              </w:rPr>
              <w:t>(1)</w:t>
            </w:r>
          </w:p>
        </w:tc>
        <w:tc>
          <w:tcPr>
            <w:tcW w:w="140" w:type="dxa"/>
            <w:vAlign w:val="bottom"/>
            <w:tcBorders>
              <w:right w:val="single" w:sz="8" w:color="02AE90"/>
            </w:tcBorders>
            <w:shd w:val="clear" w:color="auto" w:fill="02AE90"/>
          </w:tcPr>
          <w:p>
            <w:pPr>
              <w:spacing w:after="0"/>
              <w:rPr>
                <w:sz w:val="13"/>
                <w:szCs w:val="13"/>
                <w:color w:val="auto"/>
              </w:rPr>
            </w:pPr>
          </w:p>
        </w:tc>
        <w:tc>
          <w:tcPr>
            <w:tcW w:w="1420" w:type="dxa"/>
            <w:vAlign w:val="bottom"/>
            <w:tcBorders>
              <w:right w:val="single" w:sz="8" w:color="02AE90"/>
            </w:tcBorders>
            <w:shd w:val="clear" w:color="auto" w:fill="02AE90"/>
          </w:tcPr>
          <w:p>
            <w:pPr>
              <w:jc w:val="center"/>
              <w:ind w:right="55"/>
              <w:spacing w:after="0"/>
              <w:rPr>
                <w:sz w:val="20"/>
                <w:szCs w:val="20"/>
                <w:color w:val="auto"/>
              </w:rPr>
            </w:pPr>
            <w:r>
              <w:rPr>
                <w:rFonts w:ascii="Times New Roman" w:cs="Times New Roman" w:eastAsia="Times New Roman" w:hAnsi="Times New Roman"/>
                <w:sz w:val="14"/>
                <w:szCs w:val="14"/>
                <w:b w:val="1"/>
                <w:bCs w:val="1"/>
                <w:color w:val="FFFFFF"/>
              </w:rPr>
              <w:t>Annual Salary</w:t>
            </w:r>
          </w:p>
        </w:tc>
        <w:tc>
          <w:tcPr>
            <w:tcW w:w="1260" w:type="dxa"/>
            <w:vAlign w:val="bottom"/>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2022</w:t>
            </w:r>
            <w:r>
              <w:rPr>
                <w:rFonts w:ascii="Times New Roman" w:cs="Times New Roman" w:eastAsia="Times New Roman" w:hAnsi="Times New Roman"/>
                <w:sz w:val="18"/>
                <w:szCs w:val="18"/>
                <w:b w:val="1"/>
                <w:bCs w:val="1"/>
                <w:color w:val="FFFFFF"/>
                <w:w w:val="95"/>
                <w:vertAlign w:val="superscript"/>
              </w:rPr>
              <w:t>(2)</w:t>
            </w:r>
          </w:p>
        </w:tc>
        <w:tc>
          <w:tcPr>
            <w:tcW w:w="140" w:type="dxa"/>
            <w:vAlign w:val="bottom"/>
            <w:tcBorders>
              <w:right w:val="single" w:sz="8" w:color="02AE90"/>
            </w:tcBorders>
            <w:shd w:val="clear" w:color="auto" w:fill="02AE90"/>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880" w:type="dxa"/>
            <w:vAlign w:val="bottom"/>
            <w:tcBorders>
              <w:left w:val="single" w:sz="8" w:color="02AE90"/>
              <w:right w:val="single" w:sz="8" w:color="02AE90"/>
            </w:tcBorders>
            <w:gridSpan w:val="2"/>
            <w:vMerge w:val="continue"/>
            <w:shd w:val="clear" w:color="auto" w:fill="02AE90"/>
          </w:tcPr>
          <w:p>
            <w:pPr>
              <w:spacing w:after="0"/>
              <w:rPr>
                <w:sz w:val="17"/>
                <w:szCs w:val="17"/>
                <w:color w:val="auto"/>
              </w:rPr>
            </w:pPr>
          </w:p>
        </w:tc>
        <w:tc>
          <w:tcPr>
            <w:tcW w:w="1280" w:type="dxa"/>
            <w:vAlign w:val="bottom"/>
            <w:vMerge w:val="continue"/>
            <w:shd w:val="clear" w:color="auto" w:fill="02AE90"/>
          </w:tcPr>
          <w:p>
            <w:pPr>
              <w:spacing w:after="0"/>
              <w:rPr>
                <w:sz w:val="17"/>
                <w:szCs w:val="17"/>
                <w:color w:val="auto"/>
              </w:rPr>
            </w:pPr>
          </w:p>
        </w:tc>
        <w:tc>
          <w:tcPr>
            <w:tcW w:w="140" w:type="dxa"/>
            <w:vAlign w:val="bottom"/>
            <w:tcBorders>
              <w:right w:val="single" w:sz="8" w:color="02AE90"/>
            </w:tcBorders>
            <w:shd w:val="clear" w:color="auto" w:fill="02AE90"/>
          </w:tcPr>
          <w:p>
            <w:pPr>
              <w:spacing w:after="0"/>
              <w:rPr>
                <w:sz w:val="17"/>
                <w:szCs w:val="17"/>
                <w:color w:val="auto"/>
              </w:rPr>
            </w:pPr>
          </w:p>
        </w:tc>
        <w:tc>
          <w:tcPr>
            <w:tcW w:w="1420" w:type="dxa"/>
            <w:vAlign w:val="bottom"/>
            <w:tcBorders>
              <w:right w:val="single" w:sz="8" w:color="02AE90"/>
            </w:tcBorders>
            <w:shd w:val="clear" w:color="auto" w:fill="02AE90"/>
          </w:tcPr>
          <w:p>
            <w:pPr>
              <w:jc w:val="center"/>
              <w:ind w:right="75"/>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1260" w:type="dxa"/>
            <w:vAlign w:val="bottom"/>
            <w:vMerge w:val="continue"/>
            <w:shd w:val="clear" w:color="auto" w:fill="02AE90"/>
          </w:tcPr>
          <w:p>
            <w:pPr>
              <w:spacing w:after="0"/>
              <w:rPr>
                <w:sz w:val="17"/>
                <w:szCs w:val="17"/>
                <w:color w:val="auto"/>
              </w:rPr>
            </w:pPr>
          </w:p>
        </w:tc>
        <w:tc>
          <w:tcPr>
            <w:tcW w:w="140" w:type="dxa"/>
            <w:vAlign w:val="bottom"/>
            <w:tcBorders>
              <w:right w:val="single" w:sz="8" w:color="02AE90"/>
            </w:tcBorders>
            <w:shd w:val="clear" w:color="auto" w:fill="02AE90"/>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880" w:type="dxa"/>
            <w:vAlign w:val="bottom"/>
            <w:tcBorders>
              <w:left w:val="single" w:sz="8" w:color="02AE90"/>
              <w:bottom w:val="single" w:sz="8" w:color="02AE90"/>
              <w:right w:val="single" w:sz="8" w:color="02AE90"/>
            </w:tcBorders>
            <w:gridSpan w:val="2"/>
          </w:tcPr>
          <w:p>
            <w:pPr>
              <w:ind w:left="100"/>
              <w:spacing w:after="0" w:line="252" w:lineRule="exact"/>
              <w:rPr>
                <w:sz w:val="20"/>
                <w:szCs w:val="20"/>
                <w:color w:val="auto"/>
              </w:rPr>
            </w:pPr>
            <w:r>
              <w:rPr>
                <w:rFonts w:ascii="Times New Roman" w:cs="Times New Roman" w:eastAsia="Times New Roman" w:hAnsi="Times New Roman"/>
                <w:sz w:val="18"/>
                <w:szCs w:val="18"/>
                <w:color w:val="auto"/>
              </w:rPr>
              <w:t xml:space="preserve">Matt Goldberg </w:t>
            </w:r>
            <w:r>
              <w:rPr>
                <w:rFonts w:ascii="Times New Roman" w:cs="Times New Roman" w:eastAsia="Times New Roman" w:hAnsi="Times New Roman"/>
                <w:sz w:val="23"/>
                <w:szCs w:val="23"/>
                <w:color w:val="auto"/>
                <w:vertAlign w:val="superscript"/>
              </w:rPr>
              <w:t>(3)</w:t>
            </w:r>
          </w:p>
        </w:tc>
        <w:tc>
          <w:tcPr>
            <w:tcW w:w="1420" w:type="dxa"/>
            <w:vAlign w:val="bottom"/>
            <w:tcBorders>
              <w:bottom w:val="single" w:sz="8" w:color="02AE90"/>
              <w:right w:val="single" w:sz="8" w:color="02AE90"/>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N/A</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$800,000</w:t>
            </w:r>
          </w:p>
        </w:tc>
        <w:tc>
          <w:tcPr>
            <w:tcW w:w="140" w:type="dxa"/>
            <w:vAlign w:val="bottom"/>
            <w:tcBorders>
              <w:bottom w:val="single" w:sz="8" w:color="02AE90"/>
              <w:right w:val="single" w:sz="8" w:color="02AE90"/>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880" w:type="dxa"/>
            <w:vAlign w:val="bottom"/>
            <w:tcBorders>
              <w:left w:val="single" w:sz="8" w:color="02AE90"/>
              <w:bottom w:val="single" w:sz="8" w:color="02AE90"/>
              <w:right w:val="single" w:sz="8" w:color="02AE90"/>
            </w:tcBorders>
            <w:gridSpan w:val="2"/>
          </w:tcPr>
          <w:p>
            <w:pPr>
              <w:ind w:left="100"/>
              <w:spacing w:after="0" w:line="245" w:lineRule="exact"/>
              <w:rPr>
                <w:sz w:val="20"/>
                <w:szCs w:val="20"/>
                <w:color w:val="auto"/>
              </w:rPr>
            </w:pPr>
            <w:r>
              <w:rPr>
                <w:rFonts w:ascii="Times New Roman" w:cs="Times New Roman" w:eastAsia="Times New Roman" w:hAnsi="Times New Roman"/>
                <w:sz w:val="18"/>
                <w:szCs w:val="18"/>
                <w:color w:val="auto"/>
              </w:rPr>
              <w:t xml:space="preserve">Mike Noonan </w:t>
            </w:r>
            <w:r>
              <w:rPr>
                <w:rFonts w:ascii="Times New Roman" w:cs="Times New Roman" w:eastAsia="Times New Roman" w:hAnsi="Times New Roman"/>
                <w:sz w:val="23"/>
                <w:szCs w:val="23"/>
                <w:color w:val="auto"/>
                <w:vertAlign w:val="superscript"/>
              </w:rPr>
              <w:t>(3)</w:t>
            </w:r>
          </w:p>
        </w:tc>
        <w:tc>
          <w:tcPr>
            <w:tcW w:w="1420" w:type="dxa"/>
            <w:vAlign w:val="bottom"/>
            <w:tcBorders>
              <w:bottom w:val="single" w:sz="8" w:color="02AE90"/>
              <w:right w:val="single" w:sz="8" w:color="02AE90"/>
            </w:tcBorders>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N/A</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$525,000</w:t>
            </w:r>
          </w:p>
        </w:tc>
        <w:tc>
          <w:tcPr>
            <w:tcW w:w="140" w:type="dxa"/>
            <w:vAlign w:val="bottom"/>
            <w:tcBorders>
              <w:bottom w:val="single" w:sz="8" w:color="02AE90"/>
              <w:right w:val="single" w:sz="8" w:color="02AE90"/>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8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Seth Kalvert</w:t>
            </w:r>
          </w:p>
        </w:tc>
        <w:tc>
          <w:tcPr>
            <w:tcW w:w="128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$495,000</w:t>
            </w:r>
          </w:p>
        </w:tc>
        <w:tc>
          <w:tcPr>
            <w:tcW w:w="140" w:type="dxa"/>
            <w:vAlign w:val="bottom"/>
            <w:tcBorders>
              <w:bottom w:val="single" w:sz="8" w:color="02AE90"/>
              <w:right w:val="single" w:sz="8" w:color="02AE90"/>
            </w:tcBorders>
          </w:tcPr>
          <w:p>
            <w:pPr>
              <w:spacing w:after="0"/>
              <w:rPr>
                <w:sz w:val="20"/>
                <w:szCs w:val="20"/>
                <w:color w:val="auto"/>
              </w:rPr>
            </w:pP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9"/>
              </w:rPr>
              <w:t>$20,000</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$515,000</w:t>
            </w:r>
          </w:p>
        </w:tc>
        <w:tc>
          <w:tcPr>
            <w:tcW w:w="14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8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Stephen Kaufer</w:t>
            </w:r>
          </w:p>
        </w:tc>
        <w:tc>
          <w:tcPr>
            <w:tcW w:w="128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$850,000</w:t>
            </w:r>
          </w:p>
        </w:tc>
        <w:tc>
          <w:tcPr>
            <w:tcW w:w="140" w:type="dxa"/>
            <w:vAlign w:val="bottom"/>
            <w:tcBorders>
              <w:bottom w:val="single" w:sz="8" w:color="02AE90"/>
              <w:right w:val="single" w:sz="8" w:color="02AE90"/>
            </w:tcBorders>
          </w:tcPr>
          <w:p>
            <w:pPr>
              <w:spacing w:after="0"/>
              <w:rPr>
                <w:sz w:val="21"/>
                <w:szCs w:val="21"/>
                <w:color w:val="auto"/>
              </w:rPr>
            </w:pP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N/A</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$850,000</w:t>
            </w:r>
          </w:p>
        </w:tc>
        <w:tc>
          <w:tcPr>
            <w:tcW w:w="140" w:type="dxa"/>
            <w:vAlign w:val="bottom"/>
            <w:tcBorders>
              <w:bottom w:val="single" w:sz="8" w:color="02AE90"/>
              <w:right w:val="single" w:sz="8" w:color="02AE90"/>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88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Ernst Teunissen</w:t>
            </w:r>
          </w:p>
        </w:tc>
        <w:tc>
          <w:tcPr>
            <w:tcW w:w="128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$526,000</w:t>
            </w:r>
          </w:p>
        </w:tc>
        <w:tc>
          <w:tcPr>
            <w:tcW w:w="140" w:type="dxa"/>
            <w:vAlign w:val="bottom"/>
            <w:tcBorders>
              <w:bottom w:val="single" w:sz="8" w:color="02AE90"/>
              <w:right w:val="single" w:sz="8" w:color="02AE90"/>
            </w:tcBorders>
          </w:tcPr>
          <w:p>
            <w:pPr>
              <w:spacing w:after="0"/>
              <w:rPr>
                <w:sz w:val="21"/>
                <w:szCs w:val="21"/>
                <w:color w:val="auto"/>
              </w:rPr>
            </w:pP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9"/>
              </w:rPr>
              <w:t>$26,000</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$552,000</w:t>
            </w:r>
          </w:p>
        </w:tc>
        <w:tc>
          <w:tcPr>
            <w:tcW w:w="140" w:type="dxa"/>
            <w:vAlign w:val="bottom"/>
            <w:tcBorders>
              <w:bottom w:val="single" w:sz="8" w:color="02AE90"/>
              <w:right w:val="single" w:sz="8" w:color="02AE90"/>
            </w:tcBorders>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88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Kanika Soni</w:t>
            </w:r>
          </w:p>
        </w:tc>
        <w:tc>
          <w:tcPr>
            <w:tcW w:w="128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$510,000</w:t>
            </w:r>
          </w:p>
        </w:tc>
        <w:tc>
          <w:tcPr>
            <w:tcW w:w="140" w:type="dxa"/>
            <w:vAlign w:val="bottom"/>
            <w:tcBorders>
              <w:bottom w:val="single" w:sz="8" w:color="02AE90"/>
              <w:right w:val="single" w:sz="8" w:color="02AE90"/>
            </w:tcBorders>
          </w:tcPr>
          <w:p>
            <w:pPr>
              <w:spacing w:after="0"/>
              <w:rPr>
                <w:sz w:val="21"/>
                <w:szCs w:val="21"/>
                <w:color w:val="auto"/>
              </w:rPr>
            </w:pP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9"/>
              </w:rPr>
              <w:t>$20,000</w:t>
            </w:r>
          </w:p>
        </w:tc>
        <w:tc>
          <w:tcPr>
            <w:tcW w:w="126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$530,000</w:t>
            </w:r>
          </w:p>
        </w:tc>
        <w:tc>
          <w:tcPr>
            <w:tcW w:w="140" w:type="dxa"/>
            <w:vAlign w:val="bottom"/>
            <w:tcBorders>
              <w:bottom w:val="single" w:sz="8" w:color="02AE90"/>
              <w:right w:val="single" w:sz="8" w:color="02AE90"/>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740" w:type="dxa"/>
            <w:vAlign w:val="bottom"/>
            <w:tcBorders>
              <w:left w:val="single" w:sz="8" w:color="02AE90"/>
              <w:bottom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Lindsay Nelson </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3"/>
                <w:szCs w:val="23"/>
                <w:color w:val="auto"/>
              </w:rPr>
            </w:pPr>
          </w:p>
        </w:tc>
        <w:tc>
          <w:tcPr>
            <w:tcW w:w="1280" w:type="dxa"/>
            <w:vAlign w:val="bottom"/>
            <w:tcBorders>
              <w:bottom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7"/>
              </w:rPr>
              <w:t>$510,000</w:t>
            </w:r>
          </w:p>
        </w:tc>
        <w:tc>
          <w:tcPr>
            <w:tcW w:w="140" w:type="dxa"/>
            <w:vAlign w:val="bottom"/>
            <w:tcBorders>
              <w:bottom w:val="single" w:sz="8" w:color="02AE90"/>
              <w:right w:val="single" w:sz="8" w:color="02AE90"/>
            </w:tcBorders>
          </w:tcPr>
          <w:p>
            <w:pPr>
              <w:spacing w:after="0"/>
              <w:rPr>
                <w:sz w:val="23"/>
                <w:szCs w:val="23"/>
                <w:color w:val="auto"/>
              </w:rPr>
            </w:pPr>
          </w:p>
        </w:tc>
        <w:tc>
          <w:tcPr>
            <w:tcW w:w="1420" w:type="dxa"/>
            <w:vAlign w:val="bottom"/>
            <w:tcBorders>
              <w:bottom w:val="single" w:sz="8" w:color="02AE90"/>
              <w:right w:val="single" w:sz="8" w:color="02AE90"/>
            </w:tcBorders>
          </w:tcPr>
          <w:p>
            <w:pPr>
              <w:jc w:val="center"/>
              <w:ind w:right="75"/>
              <w:spacing w:after="0"/>
              <w:rPr>
                <w:sz w:val="20"/>
                <w:szCs w:val="20"/>
                <w:color w:val="auto"/>
              </w:rPr>
            </w:pPr>
            <w:r>
              <w:rPr>
                <w:rFonts w:ascii="Times New Roman" w:cs="Times New Roman" w:eastAsia="Times New Roman" w:hAnsi="Times New Roman"/>
                <w:sz w:val="18"/>
                <w:szCs w:val="18"/>
                <w:color w:val="auto"/>
                <w:w w:val="96"/>
              </w:rPr>
              <w:t>N/A</w:t>
            </w:r>
          </w:p>
        </w:tc>
        <w:tc>
          <w:tcPr>
            <w:tcW w:w="1400" w:type="dxa"/>
            <w:vAlign w:val="bottom"/>
            <w:tcBorders>
              <w:bottom w:val="single" w:sz="8" w:color="02AE90"/>
              <w:right w:val="single" w:sz="8" w:color="02AE90"/>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820" w:hanging="364"/>
        <w:spacing w:after="0"/>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base salary of the NEOs as of December 31, 2021.</w:t>
      </w:r>
    </w:p>
    <w:p>
      <w:pPr>
        <w:spacing w:after="0" w:line="91" w:lineRule="exact"/>
        <w:rPr>
          <w:rFonts w:ascii="Times New Roman" w:cs="Times New Roman" w:eastAsia="Times New Roman" w:hAnsi="Times New Roman"/>
          <w:sz w:val="14"/>
          <w:szCs w:val="14"/>
          <w:color w:val="auto"/>
        </w:rPr>
      </w:pPr>
    </w:p>
    <w:p>
      <w:pPr>
        <w:ind w:left="820" w:hanging="364"/>
        <w:spacing w:after="0" w:line="252" w:lineRule="auto"/>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base salary of the NEOs as of December 31, 2022, except with respect to Mr. Kaufer. Mr. Kaufer's 2022 base salary is his base salary effective July 1, 2022, the effective date of his resignation.</w:t>
      </w:r>
    </w:p>
    <w:p>
      <w:pPr>
        <w:spacing w:after="0" w:line="60" w:lineRule="exact"/>
        <w:rPr>
          <w:rFonts w:ascii="Times New Roman" w:cs="Times New Roman" w:eastAsia="Times New Roman" w:hAnsi="Times New Roman"/>
          <w:sz w:val="14"/>
          <w:szCs w:val="14"/>
          <w:color w:val="auto"/>
        </w:rPr>
      </w:pPr>
    </w:p>
    <w:p>
      <w:pPr>
        <w:ind w:left="820" w:hanging="364"/>
        <w:spacing w:after="0"/>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joined the Company effective July 1, 2022, and Mr. Noonan joined the Company October 31, 2022.</w:t>
      </w:r>
    </w:p>
    <w:p>
      <w:pPr>
        <w:spacing w:after="0" w:line="91" w:lineRule="exact"/>
        <w:rPr>
          <w:rFonts w:ascii="Times New Roman" w:cs="Times New Roman" w:eastAsia="Times New Roman" w:hAnsi="Times New Roman"/>
          <w:sz w:val="14"/>
          <w:szCs w:val="14"/>
          <w:color w:val="auto"/>
        </w:rPr>
      </w:pPr>
    </w:p>
    <w:p>
      <w:pPr>
        <w:ind w:left="820" w:hanging="364"/>
        <w:spacing w:after="0"/>
        <w:tabs>
          <w:tab w:leader="none" w:pos="8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Nelson resigned from her position effective January 9, 2022.</w:t>
      </w:r>
    </w:p>
    <w:p>
      <w:pPr>
        <w:spacing w:after="0" w:line="34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Adjustments were made to the annual base salaries of the named executive officers, primarily in response to the scope of responsibilities and the analysis provided by our compensation consultants on competitive compensation market data for executive officers within our peer group in comparable positions.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16"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Annual bonuses are awarded to recognize and reward each named executive officer based on achievement of the Company’s annual operating plan as well as achievement of any strategic goals or business goals set for such named executive officer and such named executive officer’s contributions to the Company’s performance. The amount payable each year is based on (i) with respect to 50%, the extent to which certain pre-established financial performance goals are achieved during the year, and (ii) with respect to the remaining 50%, the extent to which individual performance goals established for each named executive officer are achieved during the year. The annual bonus is “variable compensation” because the Company must achieve certain performance goals for the executive officers to receive an annual incentive bonus, with the amount of bonus based on the extent to which the goals are achieved. The annual bonus is designed to motivate our executive officers to improve Company performance. The annual bonus program aligns a portion of executive compensation with key business and financial targets and, as a result, provides a valuable link between compensation and creation of stockholder value.</w:t>
      </w:r>
    </w:p>
    <w:p>
      <w:pPr>
        <w:spacing w:after="0" w:line="13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Unless otherwise provided by the provisions of his or her employment agreement, the target annual bonus opportunities for our named executive officers are generally established by the Compensation Committees, based on competitive market data and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56" w:name="page57"/>
    <w:bookmarkEnd w:id="56"/>
    <w:p>
      <w:pPr>
        <w:jc w:val="both"/>
        <w:spacing w:after="0" w:line="249" w:lineRule="auto"/>
        <w:rPr>
          <w:sz w:val="20"/>
          <w:szCs w:val="20"/>
          <w:color w:val="auto"/>
        </w:rPr>
      </w:pPr>
      <w:r>
        <w:rPr>
          <w:rFonts w:ascii="Times New Roman" w:cs="Times New Roman" w:eastAsia="Times New Roman" w:hAnsi="Times New Roman"/>
          <w:sz w:val="18"/>
          <w:szCs w:val="18"/>
          <w:color w:val="auto"/>
        </w:rPr>
        <w:t>recommendations by the President and Chief Executive Officer (other than in connection with his own compensation). In light of the continued impact of the COVID-19 pandemic on our business and after consideration of the practices of other companies in our peer group, the Compensation Committees determined that annual incentive bonuses awarded to our named executive officers based on the achievement of pre-established performance goals would be subject primarily to the achievement of a performance goal relating to the Company's revenue growth relative to that of our travel-related direct peers, or what we refer to as "relative revenue". The Compensation Committee set the weighting at 50% for individual performance and 50% for financial performance; the threshold for payment at 50% of the target and the maximum payout at 200% of target. The maximum payout of 200% of the target bonus requires achievement of 120% of the relative revenue growth target. The annual bonus was designed with such threshold, target and maximum payout goals in order to create more financial incentive for management to achieve a performance range of target or higher. The remaining 50% of each individual’s annual bonus target would be paid out based on the extent to which the executive achieved certain individual performance goals.</w:t>
      </w:r>
    </w:p>
    <w:p>
      <w:pPr>
        <w:spacing w:after="0" w:line="192"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In February 2023, management recommended payouts for bonuses with respect to the 2022 calendar year for each of our named executive officers after taking into account a variety of factors including, but not limited to, the following:</w:t>
      </w:r>
    </w:p>
    <w:p>
      <w:pPr>
        <w:spacing w:after="0" w:line="57" w:lineRule="exact"/>
        <w:rPr>
          <w:sz w:val="20"/>
          <w:szCs w:val="20"/>
          <w:color w:val="auto"/>
        </w:rPr>
      </w:pPr>
    </w:p>
    <w:p>
      <w:pPr>
        <w:ind w:left="1140" w:hanging="370"/>
        <w:spacing w:after="0"/>
        <w:tabs>
          <w:tab w:leader="none" w:pos="1140" w:val="left"/>
        </w:tabs>
        <w:numPr>
          <w:ilvl w:val="0"/>
          <w:numId w:val="3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Tripadvisor’s revenue growth for the year relative to the revenue growth of our direct travel-related peers;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Tripadvisor's revenue results and adjusted EBITDA for the year;</w:t>
      </w:r>
    </w:p>
    <w:p>
      <w:pPr>
        <w:spacing w:after="0" w:line="11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3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Tripadvisor’s performance against the strategic initiatives described above and the extent of the executive officers’ contributions and efforts with respect to such initiatives;</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named executive officer’s individual performance;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recommendations of the President and Chief Executive Officer (other than in connection with his own compensation).</w:t>
      </w:r>
    </w:p>
    <w:p>
      <w:pPr>
        <w:spacing w:after="0" w:line="218"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The table below describes, for each named executive officer, the target bonus for 2022, the actual bonus paid and percentage of bonus paid relative to annual bonus target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119380</wp:posOffset>
            </wp:positionV>
            <wp:extent cx="6417945" cy="1496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7945" cy="1496695"/>
                    </a:xfrm>
                    <a:prstGeom prst="rect">
                      <a:avLst/>
                    </a:prstGeom>
                    <a:noFill/>
                  </pic:spPr>
                </pic:pic>
              </a:graphicData>
            </a:graphic>
          </wp:anchor>
        </w:drawing>
      </w:r>
    </w:p>
    <w:p>
      <w:pPr>
        <w:spacing w:after="0" w:line="162"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5240" w:type="dxa"/>
            <w:vAlign w:val="bottom"/>
            <w:tcBorders>
              <w:left w:val="single" w:sz="8" w:color="02AE90"/>
              <w:right w:val="single" w:sz="8" w:color="02AE90"/>
            </w:tcBorders>
            <w:shd w:val="clear" w:color="auto" w:fill="02AE90"/>
          </w:tcPr>
          <w:p>
            <w:pPr>
              <w:spacing w:after="0"/>
              <w:rPr>
                <w:sz w:val="13"/>
                <w:szCs w:val="13"/>
                <w:color w:val="auto"/>
              </w:rPr>
            </w:pPr>
          </w:p>
        </w:tc>
        <w:tc>
          <w:tcPr>
            <w:tcW w:w="1240" w:type="dxa"/>
            <w:vAlign w:val="bottom"/>
            <w:tcBorders>
              <w:right w:val="single" w:sz="8" w:color="02AE90"/>
            </w:tcBorders>
            <w:shd w:val="clear" w:color="auto" w:fill="02AE90"/>
          </w:tcPr>
          <w:p>
            <w:pPr>
              <w:jc w:val="center"/>
              <w:ind w:right="97"/>
              <w:spacing w:after="0"/>
              <w:rPr>
                <w:sz w:val="20"/>
                <w:szCs w:val="20"/>
                <w:color w:val="auto"/>
              </w:rPr>
            </w:pPr>
            <w:r>
              <w:rPr>
                <w:rFonts w:ascii="Times New Roman" w:cs="Times New Roman" w:eastAsia="Times New Roman" w:hAnsi="Times New Roman"/>
                <w:sz w:val="14"/>
                <w:szCs w:val="14"/>
                <w:b w:val="1"/>
                <w:bCs w:val="1"/>
                <w:color w:val="FFFFFF"/>
              </w:rPr>
              <w:t>Target Bonus as</w:t>
            </w:r>
          </w:p>
        </w:tc>
        <w:tc>
          <w:tcPr>
            <w:tcW w:w="1260" w:type="dxa"/>
            <w:vAlign w:val="bottom"/>
            <w:tcBorders>
              <w:right w:val="single" w:sz="8" w:color="02AE90"/>
            </w:tcBorders>
            <w:shd w:val="clear" w:color="auto" w:fill="02AE90"/>
          </w:tcPr>
          <w:p>
            <w:pPr>
              <w:spacing w:after="0"/>
              <w:rPr>
                <w:sz w:val="13"/>
                <w:szCs w:val="13"/>
                <w:color w:val="auto"/>
              </w:rPr>
            </w:pPr>
          </w:p>
        </w:tc>
        <w:tc>
          <w:tcPr>
            <w:tcW w:w="1240" w:type="dxa"/>
            <w:vAlign w:val="bottom"/>
            <w:tcBorders>
              <w:right w:val="single" w:sz="8" w:color="02AE90"/>
            </w:tcBorders>
            <w:shd w:val="clear" w:color="auto" w:fill="02AE90"/>
          </w:tcPr>
          <w:p>
            <w:pPr>
              <w:spacing w:after="0"/>
              <w:rPr>
                <w:sz w:val="13"/>
                <w:szCs w:val="13"/>
                <w:color w:val="auto"/>
              </w:rPr>
            </w:pPr>
          </w:p>
        </w:tc>
        <w:tc>
          <w:tcPr>
            <w:tcW w:w="1140" w:type="dxa"/>
            <w:vAlign w:val="bottom"/>
            <w:tcBorders>
              <w:right w:val="single" w:sz="8" w:color="02AE90"/>
            </w:tcBorders>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Percentage of</w:t>
            </w:r>
          </w:p>
        </w:tc>
        <w:tc>
          <w:tcPr>
            <w:tcW w:w="0" w:type="dxa"/>
            <w:vAlign w:val="bottom"/>
          </w:tcPr>
          <w:p>
            <w:pPr>
              <w:spacing w:after="0"/>
              <w:rPr>
                <w:sz w:val="1"/>
                <w:szCs w:val="1"/>
                <w:color w:val="auto"/>
              </w:rPr>
            </w:pPr>
          </w:p>
        </w:tc>
      </w:tr>
      <w:tr>
        <w:trPr>
          <w:trHeight w:val="146"/>
        </w:trPr>
        <w:tc>
          <w:tcPr>
            <w:tcW w:w="524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240" w:type="dxa"/>
            <w:vAlign w:val="bottom"/>
            <w:tcBorders>
              <w:right w:val="single" w:sz="8" w:color="02AE90"/>
            </w:tcBorders>
            <w:shd w:val="clear" w:color="auto" w:fill="02AE90"/>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w:t>
            </w:r>
          </w:p>
        </w:tc>
        <w:tc>
          <w:tcPr>
            <w:tcW w:w="1260" w:type="dxa"/>
            <w:vAlign w:val="bottom"/>
            <w:tcBorders>
              <w:right w:val="single" w:sz="8" w:color="02AE90"/>
            </w:tcBorders>
            <w:vMerge w:val="restart"/>
            <w:shd w:val="clear" w:color="auto" w:fill="02AE90"/>
          </w:tcPr>
          <w:p>
            <w:pPr>
              <w:jc w:val="right"/>
              <w:ind w:right="214"/>
              <w:spacing w:after="0"/>
              <w:rPr>
                <w:sz w:val="20"/>
                <w:szCs w:val="20"/>
                <w:color w:val="auto"/>
              </w:rPr>
            </w:pPr>
            <w:r>
              <w:rPr>
                <w:rFonts w:ascii="Times New Roman" w:cs="Times New Roman" w:eastAsia="Times New Roman" w:hAnsi="Times New Roman"/>
                <w:sz w:val="14"/>
                <w:szCs w:val="14"/>
                <w:b w:val="1"/>
                <w:bCs w:val="1"/>
                <w:color w:val="FFFFFF"/>
              </w:rPr>
              <w:t>Target Bonus</w:t>
            </w:r>
          </w:p>
        </w:tc>
        <w:tc>
          <w:tcPr>
            <w:tcW w:w="1240" w:type="dxa"/>
            <w:vAlign w:val="bottom"/>
            <w:tcBorders>
              <w:right w:val="single" w:sz="8" w:color="02AE90"/>
            </w:tcBorders>
            <w:vMerge w:val="restart"/>
            <w:shd w:val="clear" w:color="auto" w:fill="02AE90"/>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Bonus Award</w:t>
            </w:r>
          </w:p>
        </w:tc>
        <w:tc>
          <w:tcPr>
            <w:tcW w:w="1140" w:type="dxa"/>
            <w:vAlign w:val="bottom"/>
            <w:tcBorders>
              <w:right w:val="single" w:sz="8" w:color="02AE90"/>
            </w:tcBorders>
            <w:vMerge w:val="continue"/>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240" w:type="dxa"/>
            <w:vAlign w:val="bottom"/>
            <w:tcBorders>
              <w:left w:val="single" w:sz="8" w:color="02AE90"/>
              <w:right w:val="single" w:sz="8" w:color="02AE90"/>
            </w:tcBorders>
            <w:vMerge w:val="continue"/>
            <w:shd w:val="clear" w:color="auto" w:fill="02AE90"/>
          </w:tcPr>
          <w:p>
            <w:pPr>
              <w:spacing w:after="0"/>
              <w:rPr>
                <w:sz w:val="17"/>
                <w:szCs w:val="17"/>
                <w:color w:val="auto"/>
              </w:rPr>
            </w:pPr>
          </w:p>
        </w:tc>
        <w:tc>
          <w:tcPr>
            <w:tcW w:w="1240" w:type="dxa"/>
            <w:vAlign w:val="bottom"/>
            <w:tcBorders>
              <w:right w:val="single" w:sz="8" w:color="02AE90"/>
            </w:tcBorders>
            <w:shd w:val="clear" w:color="auto" w:fill="02AE90"/>
          </w:tcPr>
          <w:p>
            <w:pPr>
              <w:jc w:val="center"/>
              <w:ind w:right="57"/>
              <w:spacing w:after="0"/>
              <w:rPr>
                <w:sz w:val="20"/>
                <w:szCs w:val="20"/>
                <w:color w:val="auto"/>
              </w:rPr>
            </w:pPr>
            <w:r>
              <w:rPr>
                <w:rFonts w:ascii="Times New Roman" w:cs="Times New Roman" w:eastAsia="Times New Roman" w:hAnsi="Times New Roman"/>
                <w:sz w:val="14"/>
                <w:szCs w:val="14"/>
                <w:b w:val="1"/>
                <w:bCs w:val="1"/>
                <w:color w:val="FFFFFF"/>
              </w:rPr>
              <w:t>of Base Salary</w:t>
            </w:r>
          </w:p>
        </w:tc>
        <w:tc>
          <w:tcPr>
            <w:tcW w:w="1260" w:type="dxa"/>
            <w:vAlign w:val="bottom"/>
            <w:tcBorders>
              <w:right w:val="single" w:sz="8" w:color="02AE90"/>
            </w:tcBorders>
            <w:vMerge w:val="continue"/>
            <w:shd w:val="clear" w:color="auto" w:fill="02AE90"/>
          </w:tcPr>
          <w:p>
            <w:pPr>
              <w:spacing w:after="0"/>
              <w:rPr>
                <w:sz w:val="17"/>
                <w:szCs w:val="17"/>
                <w:color w:val="auto"/>
              </w:rPr>
            </w:pPr>
          </w:p>
        </w:tc>
        <w:tc>
          <w:tcPr>
            <w:tcW w:w="1240" w:type="dxa"/>
            <w:vAlign w:val="bottom"/>
            <w:tcBorders>
              <w:right w:val="single" w:sz="8" w:color="02AE90"/>
            </w:tcBorders>
            <w:vMerge w:val="continue"/>
            <w:shd w:val="clear" w:color="auto" w:fill="02AE90"/>
          </w:tcPr>
          <w:p>
            <w:pPr>
              <w:spacing w:after="0"/>
              <w:rPr>
                <w:sz w:val="17"/>
                <w:szCs w:val="17"/>
                <w:color w:val="auto"/>
              </w:rPr>
            </w:pPr>
          </w:p>
        </w:tc>
        <w:tc>
          <w:tcPr>
            <w:tcW w:w="11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Award to Target</w:t>
            </w:r>
          </w:p>
        </w:tc>
        <w:tc>
          <w:tcPr>
            <w:tcW w:w="0" w:type="dxa"/>
            <w:vAlign w:val="bottom"/>
          </w:tcPr>
          <w:p>
            <w:pPr>
              <w:spacing w:after="0"/>
              <w:rPr>
                <w:sz w:val="1"/>
                <w:szCs w:val="1"/>
                <w:color w:val="auto"/>
              </w:rPr>
            </w:pPr>
          </w:p>
        </w:tc>
      </w:tr>
      <w:tr>
        <w:trPr>
          <w:trHeight w:val="252"/>
        </w:trPr>
        <w:tc>
          <w:tcPr>
            <w:tcW w:w="5240" w:type="dxa"/>
            <w:vAlign w:val="bottom"/>
            <w:tcBorders>
              <w:left w:val="single" w:sz="8" w:color="02AE90"/>
              <w:bottom w:val="single" w:sz="8" w:color="02AE90"/>
              <w:right w:val="single" w:sz="8" w:color="02AE90"/>
            </w:tcBorders>
          </w:tcPr>
          <w:p>
            <w:pPr>
              <w:ind w:left="100"/>
              <w:spacing w:after="0" w:line="252" w:lineRule="exact"/>
              <w:rPr>
                <w:sz w:val="20"/>
                <w:szCs w:val="20"/>
                <w:color w:val="auto"/>
              </w:rPr>
            </w:pPr>
            <w:r>
              <w:rPr>
                <w:rFonts w:ascii="Times New Roman" w:cs="Times New Roman" w:eastAsia="Times New Roman" w:hAnsi="Times New Roman"/>
                <w:sz w:val="18"/>
                <w:szCs w:val="18"/>
                <w:color w:val="auto"/>
              </w:rPr>
              <w:t xml:space="preserve">Matt Goldberg </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$401,096</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0" w:type="dxa"/>
            <w:vAlign w:val="bottom"/>
          </w:tcPr>
          <w:p>
            <w:pPr>
              <w:spacing w:after="0"/>
              <w:rPr>
                <w:sz w:val="1"/>
                <w:szCs w:val="1"/>
                <w:color w:val="auto"/>
              </w:rPr>
            </w:pPr>
          </w:p>
        </w:tc>
      </w:tr>
      <w:tr>
        <w:trPr>
          <w:trHeight w:val="246"/>
        </w:trPr>
        <w:tc>
          <w:tcPr>
            <w:tcW w:w="5240" w:type="dxa"/>
            <w:vAlign w:val="bottom"/>
            <w:tcBorders>
              <w:left w:val="single" w:sz="8" w:color="02AE90"/>
              <w:bottom w:val="single" w:sz="8" w:color="02AE90"/>
              <w:right w:val="single" w:sz="8" w:color="02AE90"/>
            </w:tcBorders>
          </w:tcPr>
          <w:p>
            <w:pPr>
              <w:ind w:left="100"/>
              <w:spacing w:after="0" w:line="245" w:lineRule="exact"/>
              <w:rPr>
                <w:sz w:val="20"/>
                <w:szCs w:val="20"/>
                <w:color w:val="auto"/>
              </w:rPr>
            </w:pPr>
            <w:r>
              <w:rPr>
                <w:rFonts w:ascii="Times New Roman" w:cs="Times New Roman" w:eastAsia="Times New Roman" w:hAnsi="Times New Roman"/>
                <w:sz w:val="18"/>
                <w:szCs w:val="18"/>
                <w:color w:val="auto"/>
              </w:rPr>
              <w:t xml:space="preserve">Mike Noonan </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$70,192</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142%</w:t>
            </w:r>
          </w:p>
        </w:tc>
        <w:tc>
          <w:tcPr>
            <w:tcW w:w="0" w:type="dxa"/>
            <w:vAlign w:val="bottom"/>
          </w:tcPr>
          <w:p>
            <w:pPr>
              <w:spacing w:after="0"/>
              <w:rPr>
                <w:sz w:val="1"/>
                <w:szCs w:val="1"/>
                <w:color w:val="auto"/>
              </w:rPr>
            </w:pPr>
          </w:p>
        </w:tc>
      </w:tr>
      <w:tr>
        <w:trPr>
          <w:trHeight w:val="239"/>
        </w:trPr>
        <w:tc>
          <w:tcPr>
            <w:tcW w:w="52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Seth Kalvert</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$412,000</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$475,000</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c>
          <w:tcPr>
            <w:tcW w:w="0" w:type="dxa"/>
            <w:vAlign w:val="bottom"/>
          </w:tcPr>
          <w:p>
            <w:pPr>
              <w:spacing w:after="0"/>
              <w:rPr>
                <w:sz w:val="1"/>
                <w:szCs w:val="1"/>
                <w:color w:val="auto"/>
              </w:rPr>
            </w:pPr>
          </w:p>
        </w:tc>
      </w:tr>
      <w:tr>
        <w:trPr>
          <w:trHeight w:val="252"/>
        </w:trPr>
        <w:tc>
          <w:tcPr>
            <w:tcW w:w="5240" w:type="dxa"/>
            <w:vAlign w:val="bottom"/>
            <w:tcBorders>
              <w:left w:val="single" w:sz="8" w:color="02AE90"/>
              <w:bottom w:val="single" w:sz="8" w:color="02AE90"/>
              <w:right w:val="single" w:sz="8" w:color="02AE90"/>
            </w:tcBorders>
          </w:tcPr>
          <w:p>
            <w:pPr>
              <w:ind w:left="100"/>
              <w:spacing w:after="0" w:line="252" w:lineRule="exact"/>
              <w:rPr>
                <w:sz w:val="20"/>
                <w:szCs w:val="20"/>
                <w:color w:val="auto"/>
              </w:rPr>
            </w:pPr>
            <w:r>
              <w:rPr>
                <w:rFonts w:ascii="Times New Roman" w:cs="Times New Roman" w:eastAsia="Times New Roman" w:hAnsi="Times New Roman"/>
                <w:sz w:val="18"/>
                <w:szCs w:val="18"/>
                <w:color w:val="auto"/>
              </w:rPr>
              <w:t xml:space="preserve">Stephen Kaufer </w:t>
            </w:r>
            <w:r>
              <w:rPr>
                <w:rFonts w:ascii="Times New Roman" w:cs="Times New Roman" w:eastAsia="Times New Roman" w:hAnsi="Times New Roman"/>
                <w:sz w:val="23"/>
                <w:szCs w:val="23"/>
                <w:color w:val="auto"/>
                <w:vertAlign w:val="superscript"/>
              </w:rPr>
              <w:t>(2)</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$850,000</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9"/>
        </w:trPr>
        <w:tc>
          <w:tcPr>
            <w:tcW w:w="52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Ernst Teunissen</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$441,600</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$520,000</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46"/>
        </w:trPr>
        <w:tc>
          <w:tcPr>
            <w:tcW w:w="52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Kanika Soni</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$477,000</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$430,000</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52"/>
        </w:trPr>
        <w:tc>
          <w:tcPr>
            <w:tcW w:w="5240" w:type="dxa"/>
            <w:vAlign w:val="bottom"/>
            <w:tcBorders>
              <w:left w:val="single" w:sz="8" w:color="02AE90"/>
              <w:bottom w:val="single" w:sz="8" w:color="02AE90"/>
              <w:right w:val="single" w:sz="8" w:color="02AE90"/>
            </w:tcBorders>
          </w:tcPr>
          <w:p>
            <w:pPr>
              <w:ind w:left="100"/>
              <w:spacing w:after="0" w:line="252" w:lineRule="exact"/>
              <w:rPr>
                <w:sz w:val="20"/>
                <w:szCs w:val="20"/>
                <w:color w:val="auto"/>
              </w:rPr>
            </w:pPr>
            <w:r>
              <w:rPr>
                <w:rFonts w:ascii="Times New Roman" w:cs="Times New Roman" w:eastAsia="Times New Roman" w:hAnsi="Times New Roman"/>
                <w:sz w:val="18"/>
                <w:szCs w:val="18"/>
                <w:color w:val="auto"/>
              </w:rPr>
              <w:t xml:space="preserve">Lindsay Nelson </w:t>
            </w:r>
            <w:r>
              <w:rPr>
                <w:rFonts w:ascii="Times New Roman" w:cs="Times New Roman" w:eastAsia="Times New Roman" w:hAnsi="Times New Roman"/>
                <w:sz w:val="23"/>
                <w:szCs w:val="23"/>
                <w:color w:val="auto"/>
                <w:vertAlign w:val="superscript"/>
              </w:rPr>
              <w:t>(2)</w:t>
            </w:r>
          </w:p>
        </w:tc>
        <w:tc>
          <w:tcPr>
            <w:tcW w:w="1240" w:type="dxa"/>
            <w:vAlign w:val="bottom"/>
            <w:tcBorders>
              <w:bottom w:val="single" w:sz="8" w:color="02AE90"/>
              <w:right w:val="single" w:sz="8" w:color="02AE90"/>
            </w:tcBorders>
          </w:tcPr>
          <w:p>
            <w:pPr>
              <w:jc w:val="center"/>
              <w:ind w:right="57"/>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$510,000</w:t>
            </w:r>
          </w:p>
        </w:tc>
        <w:tc>
          <w:tcPr>
            <w:tcW w:w="12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80" w:hanging="374"/>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Bonus amounts for Mr. Goldberg and Mr. Noonan have been prorated for the actual performance period.</w:t>
      </w:r>
    </w:p>
    <w:p>
      <w:pPr>
        <w:spacing w:after="0" w:line="1"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Kaufer and Ms. Nelson did not receive an annual bonus for 2022 due to each executive resigning during the year.</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1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Compensation Committees use equity awards to align executive compensation with our long-term performance. Equity awards link compensation to financial performance because their value depends on changes in Tripadvisor’s share price and/or stockholder return. Equity awards are also an important retention tool because they vest over a multi-year period, subject to continued service by the award recipient. Equity awards are typically granted to our named executive officers upon hire or promotion and annually thereafter. Management generally recommends annual equity awards in the first quarter of each year when the Compensation Committees meet to make determinations regarding annual bonuses for the last completed fiscal year and to set target compensation levels for the current fiscal year. The practice of the Compensation Committees is to generally grant equity awards to our named executive officers only in open trading windows.</w:t>
      </w:r>
    </w:p>
    <w:p>
      <w:pPr>
        <w:spacing w:after="0" w:line="185"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Under the Company’s stock plans, the Compensation Committees may grant a variety of long-term incentive vehicles. The following is a general description of the vehicles we used in 2022:</w:t>
      </w:r>
    </w:p>
    <w:p>
      <w:pPr>
        <w:spacing w:after="0" w:line="16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Service-Based Restricted Stock Units, or RSUs. </w:t>
      </w:r>
      <w:r>
        <w:rPr>
          <w:rFonts w:ascii="Times New Roman" w:cs="Times New Roman" w:eastAsia="Times New Roman" w:hAnsi="Times New Roman"/>
          <w:sz w:val="18"/>
          <w:szCs w:val="18"/>
          <w:color w:val="auto"/>
        </w:rPr>
        <w:t>RSUs are a promise to issue shares of our common stock in the future provided that the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remains employed with us through the award’s vesting period. RSUs provide the opportunity for capital accumulation and long-term incentive value and are intended to assist in satisfying our retention objectives. As a result, RSUs typically vest over a three to four-year requisite service period.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Market-Based Restricted Stock Units, or MSUs. </w:t>
      </w:r>
      <w:r>
        <w:rPr>
          <w:rFonts w:ascii="Times New Roman" w:cs="Times New Roman" w:eastAsia="Times New Roman" w:hAnsi="Times New Roman"/>
          <w:sz w:val="18"/>
          <w:szCs w:val="18"/>
          <w:color w:val="auto"/>
        </w:rPr>
        <w:t>MSUs are also a promise to issue shares of common stock in the future provided that the NEO remains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with us through the awards vesting period; however, the number of shares to be issued depends on the extent to which either (i) the share price of the Company's common stock increases above certain levels, or (ii) the Company's total shareholder return exceeds that of a peer group. Messrs. Goldberg and Noonan both received MSUs, such MSUs to vest over three years but only to the extent that the Reference Price (as defined below) exceed certain levels, beginning at $35.00 per share. Reference Price means a volume weighted average price of a share as reported on Bloomberg (or equivalent wire service) over a thirty (30) trading day period between the first anniversary of the Effective Date and the Vesting Date, such Reference Prices to be binary with no interpolation.</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Performance-Based Restricted Stock Units, or PSUs. P</w:t>
      </w:r>
      <w:r>
        <w:rPr>
          <w:rFonts w:ascii="Times New Roman" w:cs="Times New Roman" w:eastAsia="Times New Roman" w:hAnsi="Times New Roman"/>
          <w:sz w:val="18"/>
          <w:szCs w:val="18"/>
          <w:color w:val="auto"/>
        </w:rPr>
        <w:t>SUs are also a promise to issue shares of common stock in the future provided that the NEO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remains employed with us through the awards vesting period. The number of shares to be issued depends on the extent to which financial performance metrics established by the Compensation Committees are met, relative to the targets established by the Compensation Committees.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have an exercise price equal to the market price of Tripadvisor common stock on the date of grant, and, therefore,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to our named executive officers only if our stock price increases. We believe stock options incentivize our named executive officers to sustain increases in stockholder value over extended periods of time. Stock options are also intended to serve as a retention tool so also typically vest over a four-year requisite service period.</w:t>
      </w:r>
    </w:p>
    <w:p>
      <w:pPr>
        <w:spacing w:after="0" w:line="18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Compensation Committees review various factors considered by management when they establish Tripadvisor’s equity award grant pool including, but not limited to, the following:</w:t>
      </w:r>
    </w:p>
    <w:p>
      <w:pPr>
        <w:spacing w:after="0" w:line="57" w:lineRule="exact"/>
        <w:rPr>
          <w:sz w:val="20"/>
          <w:szCs w:val="20"/>
          <w:color w:val="auto"/>
        </w:rPr>
      </w:pPr>
    </w:p>
    <w:p>
      <w:pPr>
        <w:ind w:left="1140" w:hanging="370"/>
        <w:spacing w:after="0"/>
        <w:tabs>
          <w:tab w:leader="none" w:pos="1140" w:val="left"/>
        </w:tabs>
        <w:numPr>
          <w:ilvl w:val="0"/>
          <w:numId w:val="3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Tripadvisor’s business and financial performance, including year-over-year performance;</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dilution rates, taking into account projected headcount growth and employee turnover;</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equity compensation utilization by peer companies;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general economic conditions;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competitive compensation market data regarding award values.</w:t>
      </w:r>
    </w:p>
    <w:p>
      <w:pPr>
        <w:spacing w:after="0" w:line="218"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For specific awards to our NEOs, management makes recommendations to the Section 16 Committee based on a variety of factors including, but not limited to, the following:</w:t>
      </w:r>
    </w:p>
    <w:p>
      <w:pPr>
        <w:spacing w:after="0" w:line="57" w:lineRule="exact"/>
        <w:rPr>
          <w:sz w:val="20"/>
          <w:szCs w:val="20"/>
          <w:color w:val="auto"/>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Tripadvisor’s business and financial performance, including year-over-year performance;</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individual performance and future potential of the executive;</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overall size of the equity award pool;</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award value relative to other Tripadvisor employees;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value of previous awards and amount of outstanding unvested equity awards;</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competitive compensation market data, to the degree that the available data is comparable;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recommendations of the President and Chief Executive Officer (other than in connection with his own compensation).</w:t>
      </w:r>
    </w:p>
    <w:p>
      <w:pPr>
        <w:spacing w:after="0" w:line="2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After review and consideration of the recommendations of management and the President and Chief Executive Officer (other than with respect to awards for himself), the Section 16 Committee decides whether to grant equity awards to our NEOs. After consideration of the factors discussed above, in February 2022 the Section 16 Committee granted the equity awards described below to our NEOs other than Mr. Kaufer in connection with our annual equity awards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729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729615"/>
                    </a:xfrm>
                    <a:prstGeom prst="rect">
                      <a:avLst/>
                    </a:prstGeom>
                    <a:noFill/>
                  </pic:spPr>
                </pic:pic>
              </a:graphicData>
            </a:graphic>
          </wp:anchor>
        </w:drawing>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840" w:type="dxa"/>
            <w:vAlign w:val="bottom"/>
            <w:tcBorders>
              <w:right w:val="single" w:sz="8" w:color="02AE90"/>
            </w:tcBorders>
            <w:shd w:val="clear" w:color="auto" w:fill="02AE90"/>
          </w:tcPr>
          <w:p>
            <w:pPr>
              <w:jc w:val="right"/>
              <w:ind w:right="439"/>
              <w:spacing w:after="0"/>
              <w:rPr>
                <w:sz w:val="20"/>
                <w:szCs w:val="20"/>
                <w:color w:val="auto"/>
              </w:rPr>
            </w:pPr>
            <w:r>
              <w:rPr>
                <w:rFonts w:ascii="Times New Roman" w:cs="Times New Roman" w:eastAsia="Times New Roman" w:hAnsi="Times New Roman"/>
                <w:sz w:val="14"/>
                <w:szCs w:val="14"/>
                <w:b w:val="1"/>
                <w:bCs w:val="1"/>
                <w:color w:val="FFFFFF"/>
              </w:rPr>
              <w:t>Grant Date Fair</w:t>
            </w:r>
          </w:p>
        </w:tc>
        <w:tc>
          <w:tcPr>
            <w:tcW w:w="1800" w:type="dxa"/>
            <w:vAlign w:val="bottom"/>
            <w:tcBorders>
              <w:right w:val="single" w:sz="8" w:color="02AE90"/>
            </w:tcBorders>
            <w:shd w:val="clear" w:color="auto" w:fill="02AE90"/>
          </w:tcPr>
          <w:p>
            <w:pPr>
              <w:jc w:val="right"/>
              <w:ind w:right="579"/>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0" w:type="dxa"/>
            <w:vAlign w:val="bottom"/>
          </w:tcPr>
          <w:p>
            <w:pPr>
              <w:spacing w:after="0"/>
              <w:rPr>
                <w:sz w:val="1"/>
                <w:szCs w:val="1"/>
                <w:color w:val="auto"/>
              </w:rPr>
            </w:pPr>
          </w:p>
        </w:tc>
      </w:tr>
      <w:tr>
        <w:trPr>
          <w:trHeight w:val="197"/>
        </w:trPr>
        <w:tc>
          <w:tcPr>
            <w:tcW w:w="7600" w:type="dxa"/>
            <w:vAlign w:val="bottom"/>
            <w:tcBorders>
              <w:left w:val="single" w:sz="8" w:color="02AE90"/>
              <w:right w:val="single" w:sz="8" w:color="02AE90"/>
            </w:tcBorders>
            <w:vMerge w:val="continue"/>
            <w:shd w:val="clear" w:color="auto" w:fill="02AE90"/>
          </w:tcPr>
          <w:p>
            <w:pPr>
              <w:spacing w:after="0"/>
              <w:rPr>
                <w:sz w:val="17"/>
                <w:szCs w:val="17"/>
                <w:color w:val="auto"/>
              </w:rPr>
            </w:pPr>
          </w:p>
        </w:tc>
        <w:tc>
          <w:tcPr>
            <w:tcW w:w="1840" w:type="dxa"/>
            <w:vAlign w:val="bottom"/>
            <w:tcBorders>
              <w:right w:val="single" w:sz="8" w:color="02AE90"/>
            </w:tcBorders>
            <w:shd w:val="clear" w:color="auto" w:fill="02AE90"/>
          </w:tcPr>
          <w:p>
            <w:pPr>
              <w:jc w:val="right"/>
              <w:ind w:right="759"/>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1800" w:type="dxa"/>
            <w:vAlign w:val="bottom"/>
            <w:tcBorders>
              <w:right w:val="single" w:sz="8" w:color="02AE90"/>
            </w:tcBorders>
            <w:shd w:val="clear" w:color="auto" w:fill="02AE90"/>
          </w:tcPr>
          <w:p>
            <w:pPr>
              <w:jc w:val="right"/>
              <w:ind w:right="739"/>
              <w:spacing w:after="0"/>
              <w:rPr>
                <w:sz w:val="20"/>
                <w:szCs w:val="20"/>
                <w:color w:val="auto"/>
              </w:rPr>
            </w:pPr>
            <w:r>
              <w:rPr>
                <w:rFonts w:ascii="Times New Roman" w:cs="Times New Roman" w:eastAsia="Times New Roman" w:hAnsi="Times New Roman"/>
                <w:sz w:val="14"/>
                <w:szCs w:val="14"/>
                <w:b w:val="1"/>
                <w:bCs w:val="1"/>
                <w:color w:val="FFFFFF"/>
              </w:rPr>
              <w:t>RSUs</w:t>
            </w:r>
          </w:p>
        </w:tc>
        <w:tc>
          <w:tcPr>
            <w:tcW w:w="0" w:type="dxa"/>
            <w:vAlign w:val="bottom"/>
          </w:tcPr>
          <w:p>
            <w:pPr>
              <w:spacing w:after="0"/>
              <w:rPr>
                <w:sz w:val="1"/>
                <w:szCs w:val="1"/>
                <w:color w:val="auto"/>
              </w:rPr>
            </w:pPr>
          </w:p>
        </w:tc>
      </w:tr>
      <w:tr>
        <w:trPr>
          <w:trHeight w:val="246"/>
        </w:trPr>
        <w:tc>
          <w:tcPr>
            <w:tcW w:w="760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Seth Kalvert</w:t>
            </w:r>
          </w:p>
        </w:tc>
        <w:tc>
          <w:tcPr>
            <w:tcW w:w="1840" w:type="dxa"/>
            <w:vAlign w:val="bottom"/>
            <w:tcBorders>
              <w:bottom w:val="single" w:sz="8" w:color="02AE90"/>
              <w:right w:val="single" w:sz="8" w:color="02AE90"/>
            </w:tcBorders>
          </w:tcPr>
          <w:p>
            <w:pPr>
              <w:jc w:val="right"/>
              <w:ind w:right="119"/>
              <w:spacing w:after="0"/>
              <w:rPr>
                <w:sz w:val="20"/>
                <w:szCs w:val="20"/>
                <w:color w:val="auto"/>
              </w:rPr>
            </w:pPr>
            <w:r>
              <w:rPr>
                <w:rFonts w:ascii="Times New Roman" w:cs="Times New Roman" w:eastAsia="Times New Roman" w:hAnsi="Times New Roman"/>
                <w:sz w:val="18"/>
                <w:szCs w:val="18"/>
                <w:color w:val="auto"/>
              </w:rPr>
              <w:t>$2,499,976</w:t>
            </w:r>
          </w:p>
        </w:tc>
        <w:tc>
          <w:tcPr>
            <w:tcW w:w="1800" w:type="dxa"/>
            <w:vAlign w:val="bottom"/>
            <w:tcBorders>
              <w:bottom w:val="single" w:sz="8" w:color="02AE90"/>
              <w:right w:val="single" w:sz="8" w:color="02AE90"/>
            </w:tcBorders>
          </w:tcPr>
          <w:p>
            <w:pPr>
              <w:jc w:val="right"/>
              <w:ind w:right="99"/>
              <w:spacing w:after="0"/>
              <w:rPr>
                <w:sz w:val="20"/>
                <w:szCs w:val="20"/>
                <w:color w:val="auto"/>
              </w:rPr>
            </w:pPr>
            <w:r>
              <w:rPr>
                <w:rFonts w:ascii="Times New Roman" w:cs="Times New Roman" w:eastAsia="Times New Roman" w:hAnsi="Times New Roman"/>
                <w:sz w:val="18"/>
                <w:szCs w:val="18"/>
                <w:color w:val="auto"/>
              </w:rPr>
              <w:t>92,182</w:t>
            </w:r>
          </w:p>
        </w:tc>
        <w:tc>
          <w:tcPr>
            <w:tcW w:w="0" w:type="dxa"/>
            <w:vAlign w:val="bottom"/>
          </w:tcPr>
          <w:p>
            <w:pPr>
              <w:spacing w:after="0"/>
              <w:rPr>
                <w:sz w:val="1"/>
                <w:szCs w:val="1"/>
                <w:color w:val="auto"/>
              </w:rPr>
            </w:pPr>
          </w:p>
        </w:tc>
      </w:tr>
      <w:tr>
        <w:trPr>
          <w:trHeight w:val="246"/>
        </w:trPr>
        <w:tc>
          <w:tcPr>
            <w:tcW w:w="760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Ernst Teunissen</w:t>
            </w:r>
          </w:p>
        </w:tc>
        <w:tc>
          <w:tcPr>
            <w:tcW w:w="1840" w:type="dxa"/>
            <w:vAlign w:val="bottom"/>
            <w:tcBorders>
              <w:bottom w:val="single" w:sz="8" w:color="02AE90"/>
              <w:right w:val="single" w:sz="8" w:color="02AE90"/>
            </w:tcBorders>
          </w:tcPr>
          <w:p>
            <w:pPr>
              <w:jc w:val="right"/>
              <w:ind w:right="119"/>
              <w:spacing w:after="0"/>
              <w:rPr>
                <w:sz w:val="20"/>
                <w:szCs w:val="20"/>
                <w:color w:val="auto"/>
              </w:rPr>
            </w:pPr>
            <w:r>
              <w:rPr>
                <w:rFonts w:ascii="Times New Roman" w:cs="Times New Roman" w:eastAsia="Times New Roman" w:hAnsi="Times New Roman"/>
                <w:sz w:val="18"/>
                <w:szCs w:val="18"/>
                <w:color w:val="auto"/>
              </w:rPr>
              <w:t>$2,999,987</w:t>
            </w:r>
          </w:p>
        </w:tc>
        <w:tc>
          <w:tcPr>
            <w:tcW w:w="1800" w:type="dxa"/>
            <w:vAlign w:val="bottom"/>
            <w:tcBorders>
              <w:bottom w:val="single" w:sz="8" w:color="02AE90"/>
              <w:right w:val="single" w:sz="8" w:color="02AE90"/>
            </w:tcBorders>
          </w:tcPr>
          <w:p>
            <w:pPr>
              <w:jc w:val="right"/>
              <w:ind w:right="99"/>
              <w:spacing w:after="0"/>
              <w:rPr>
                <w:sz w:val="20"/>
                <w:szCs w:val="20"/>
                <w:color w:val="auto"/>
              </w:rPr>
            </w:pPr>
            <w:r>
              <w:rPr>
                <w:rFonts w:ascii="Times New Roman" w:cs="Times New Roman" w:eastAsia="Times New Roman" w:hAnsi="Times New Roman"/>
                <w:sz w:val="18"/>
                <w:szCs w:val="18"/>
                <w:color w:val="auto"/>
              </w:rPr>
              <w:t>110,619</w:t>
            </w:r>
          </w:p>
        </w:tc>
        <w:tc>
          <w:tcPr>
            <w:tcW w:w="0" w:type="dxa"/>
            <w:vAlign w:val="bottom"/>
          </w:tcPr>
          <w:p>
            <w:pPr>
              <w:spacing w:after="0"/>
              <w:rPr>
                <w:sz w:val="1"/>
                <w:szCs w:val="1"/>
                <w:color w:val="auto"/>
              </w:rPr>
            </w:pPr>
          </w:p>
        </w:tc>
      </w:tr>
      <w:tr>
        <w:trPr>
          <w:trHeight w:val="246"/>
        </w:trPr>
        <w:tc>
          <w:tcPr>
            <w:tcW w:w="760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Kanika Soni</w:t>
            </w:r>
          </w:p>
        </w:tc>
        <w:tc>
          <w:tcPr>
            <w:tcW w:w="1840" w:type="dxa"/>
            <w:vAlign w:val="bottom"/>
            <w:tcBorders>
              <w:bottom w:val="single" w:sz="8" w:color="02AE90"/>
              <w:right w:val="single" w:sz="8" w:color="02AE90"/>
            </w:tcBorders>
          </w:tcPr>
          <w:p>
            <w:pPr>
              <w:jc w:val="right"/>
              <w:ind w:right="119"/>
              <w:spacing w:after="0"/>
              <w:rPr>
                <w:sz w:val="20"/>
                <w:szCs w:val="20"/>
                <w:color w:val="auto"/>
              </w:rPr>
            </w:pPr>
            <w:r>
              <w:rPr>
                <w:rFonts w:ascii="Times New Roman" w:cs="Times New Roman" w:eastAsia="Times New Roman" w:hAnsi="Times New Roman"/>
                <w:sz w:val="18"/>
                <w:szCs w:val="18"/>
                <w:color w:val="auto"/>
              </w:rPr>
              <w:t>$1,999,992</w:t>
            </w:r>
          </w:p>
        </w:tc>
        <w:tc>
          <w:tcPr>
            <w:tcW w:w="1800" w:type="dxa"/>
            <w:vAlign w:val="bottom"/>
            <w:tcBorders>
              <w:bottom w:val="single" w:sz="8" w:color="02AE90"/>
              <w:right w:val="single" w:sz="8" w:color="02AE90"/>
            </w:tcBorders>
          </w:tcPr>
          <w:p>
            <w:pPr>
              <w:jc w:val="right"/>
              <w:ind w:right="99"/>
              <w:spacing w:after="0"/>
              <w:rPr>
                <w:sz w:val="20"/>
                <w:szCs w:val="20"/>
                <w:color w:val="auto"/>
              </w:rPr>
            </w:pPr>
            <w:r>
              <w:rPr>
                <w:rFonts w:ascii="Times New Roman" w:cs="Times New Roman" w:eastAsia="Times New Roman" w:hAnsi="Times New Roman"/>
                <w:sz w:val="18"/>
                <w:szCs w:val="18"/>
                <w:color w:val="auto"/>
              </w:rPr>
              <w:t>73,746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600" w:firstLine="509"/>
        <w:spacing w:after="0" w:line="275" w:lineRule="auto"/>
        <w:rPr>
          <w:sz w:val="20"/>
          <w:szCs w:val="20"/>
          <w:color w:val="auto"/>
        </w:rPr>
      </w:pPr>
      <w:r>
        <w:rPr>
          <w:rFonts w:ascii="Times New Roman" w:cs="Times New Roman" w:eastAsia="Times New Roman" w:hAnsi="Times New Roman"/>
          <w:sz w:val="18"/>
          <w:szCs w:val="18"/>
          <w:color w:val="auto"/>
        </w:rPr>
        <w:t>The RSUs vest over three years, with 33.33% of such awards vesting on February 15, 2023 and 8.33% of the remaining award vesting in equal quarterly installments commencing thereafter and for the remaining two years.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8" w:name="page59"/>
    <w:bookmarkEnd w:id="58"/>
    <w:p>
      <w:pPr>
        <w:jc w:val="both"/>
        <w:ind w:right="20" w:firstLine="509"/>
        <w:spacing w:after="0" w:line="275" w:lineRule="auto"/>
        <w:rPr>
          <w:sz w:val="20"/>
          <w:szCs w:val="20"/>
          <w:color w:val="auto"/>
        </w:rPr>
      </w:pPr>
      <w:r>
        <w:rPr>
          <w:rFonts w:ascii="Times New Roman" w:cs="Times New Roman" w:eastAsia="Times New Roman" w:hAnsi="Times New Roman"/>
          <w:sz w:val="18"/>
          <w:szCs w:val="18"/>
          <w:color w:val="auto"/>
        </w:rPr>
        <w:t>Also, in 2022, in connection with the appointments of Messrs. Goldberg and Noonan as CEO and CFO, respectively, the Compensation Committees granted the equity awards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4860" cy="560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560705"/>
                    </a:xfrm>
                    <a:prstGeom prst="rect">
                      <a:avLst/>
                    </a:prstGeom>
                    <a:noFill/>
                  </pic:spPr>
                </pic:pic>
              </a:graphicData>
            </a:graphic>
          </wp:anchor>
        </w:drawing>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74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360" w:type="dxa"/>
            <w:vAlign w:val="bottom"/>
            <w:tcBorders>
              <w:right w:val="single" w:sz="8" w:color="02AE90"/>
            </w:tcBorders>
            <w:shd w:val="clear" w:color="auto" w:fill="02AE90"/>
          </w:tcPr>
          <w:p>
            <w:pPr>
              <w:jc w:val="right"/>
              <w:ind w:right="180"/>
              <w:spacing w:after="0"/>
              <w:rPr>
                <w:sz w:val="20"/>
                <w:szCs w:val="20"/>
                <w:color w:val="auto"/>
              </w:rPr>
            </w:pPr>
            <w:r>
              <w:rPr>
                <w:rFonts w:ascii="Times New Roman" w:cs="Times New Roman" w:eastAsia="Times New Roman" w:hAnsi="Times New Roman"/>
                <w:sz w:val="14"/>
                <w:szCs w:val="14"/>
                <w:b w:val="1"/>
                <w:bCs w:val="1"/>
                <w:color w:val="FFFFFF"/>
              </w:rPr>
              <w:t>Grant Date Fair</w:t>
            </w:r>
          </w:p>
        </w:tc>
        <w:tc>
          <w:tcPr>
            <w:tcW w:w="1380" w:type="dxa"/>
            <w:vAlign w:val="bottom"/>
            <w:tcBorders>
              <w:right w:val="single" w:sz="8" w:color="02AE90"/>
            </w:tcBorders>
            <w:shd w:val="clear" w:color="auto" w:fill="02AE90"/>
          </w:tcPr>
          <w:p>
            <w:pPr>
              <w:jc w:val="right"/>
              <w:ind w:right="360"/>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1360" w:type="dxa"/>
            <w:vAlign w:val="bottom"/>
            <w:tcBorders>
              <w:right w:val="single" w:sz="8" w:color="02AE90"/>
            </w:tcBorders>
            <w:shd w:val="clear" w:color="auto" w:fill="02AE90"/>
          </w:tcPr>
          <w:p>
            <w:pPr>
              <w:jc w:val="right"/>
              <w:ind w:right="340"/>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1400" w:type="dxa"/>
            <w:vAlign w:val="bottom"/>
            <w:tcBorders>
              <w:right w:val="single" w:sz="8" w:color="02AE90"/>
            </w:tcBorders>
            <w:shd w:val="clear" w:color="auto" w:fill="02AE90"/>
          </w:tcPr>
          <w:p>
            <w:pPr>
              <w:jc w:val="center"/>
              <w:ind w:right="60"/>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0" w:type="dxa"/>
            <w:vAlign w:val="bottom"/>
          </w:tcPr>
          <w:p>
            <w:pPr>
              <w:spacing w:after="0"/>
              <w:rPr>
                <w:sz w:val="1"/>
                <w:szCs w:val="1"/>
                <w:color w:val="auto"/>
              </w:rPr>
            </w:pPr>
          </w:p>
        </w:tc>
      </w:tr>
      <w:tr>
        <w:trPr>
          <w:trHeight w:val="197"/>
        </w:trPr>
        <w:tc>
          <w:tcPr>
            <w:tcW w:w="5740" w:type="dxa"/>
            <w:vAlign w:val="bottom"/>
            <w:tcBorders>
              <w:left w:val="single" w:sz="8" w:color="02AE90"/>
              <w:right w:val="single" w:sz="8" w:color="02AE90"/>
            </w:tcBorders>
            <w:vMerge w:val="continue"/>
            <w:shd w:val="clear" w:color="auto" w:fill="02AE90"/>
          </w:tcPr>
          <w:p>
            <w:pPr>
              <w:spacing w:after="0"/>
              <w:rPr>
                <w:sz w:val="17"/>
                <w:szCs w:val="17"/>
                <w:color w:val="auto"/>
              </w:rPr>
            </w:pPr>
          </w:p>
        </w:tc>
        <w:tc>
          <w:tcPr>
            <w:tcW w:w="1360" w:type="dxa"/>
            <w:vAlign w:val="bottom"/>
            <w:tcBorders>
              <w:right w:val="single" w:sz="8" w:color="02AE90"/>
            </w:tcBorders>
            <w:shd w:val="clear" w:color="auto" w:fill="02AE90"/>
          </w:tcPr>
          <w:p>
            <w:pPr>
              <w:jc w:val="right"/>
              <w:ind w:right="500"/>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1380" w:type="dxa"/>
            <w:vAlign w:val="bottom"/>
            <w:tcBorders>
              <w:right w:val="single" w:sz="8" w:color="02AE90"/>
            </w:tcBorders>
            <w:shd w:val="clear" w:color="auto" w:fill="02AE90"/>
          </w:tcPr>
          <w:p>
            <w:pPr>
              <w:jc w:val="right"/>
              <w:ind w:right="260"/>
              <w:spacing w:after="0"/>
              <w:rPr>
                <w:sz w:val="20"/>
                <w:szCs w:val="20"/>
                <w:color w:val="auto"/>
              </w:rPr>
            </w:pPr>
            <w:r>
              <w:rPr>
                <w:rFonts w:ascii="Times New Roman" w:cs="Times New Roman" w:eastAsia="Times New Roman" w:hAnsi="Times New Roman"/>
                <w:sz w:val="14"/>
                <w:szCs w:val="14"/>
                <w:b w:val="1"/>
                <w:bCs w:val="1"/>
                <w:color w:val="FFFFFF"/>
              </w:rPr>
              <w:t>Stock Options</w:t>
            </w:r>
          </w:p>
        </w:tc>
        <w:tc>
          <w:tcPr>
            <w:tcW w:w="1360" w:type="dxa"/>
            <w:vAlign w:val="bottom"/>
            <w:tcBorders>
              <w:right w:val="single" w:sz="8" w:color="02AE90"/>
            </w:tcBorders>
            <w:shd w:val="clear" w:color="auto" w:fill="02AE90"/>
          </w:tcPr>
          <w:p>
            <w:pPr>
              <w:jc w:val="right"/>
              <w:ind w:right="500"/>
              <w:spacing w:after="0"/>
              <w:rPr>
                <w:sz w:val="20"/>
                <w:szCs w:val="20"/>
                <w:color w:val="auto"/>
              </w:rPr>
            </w:pPr>
            <w:r>
              <w:rPr>
                <w:rFonts w:ascii="Times New Roman" w:cs="Times New Roman" w:eastAsia="Times New Roman" w:hAnsi="Times New Roman"/>
                <w:sz w:val="14"/>
                <w:szCs w:val="14"/>
                <w:b w:val="1"/>
                <w:bCs w:val="1"/>
                <w:color w:val="FFFFFF"/>
              </w:rPr>
              <w:t>RSUs</w:t>
            </w:r>
          </w:p>
        </w:tc>
        <w:tc>
          <w:tcPr>
            <w:tcW w:w="1400" w:type="dxa"/>
            <w:vAlign w:val="bottom"/>
            <w:tcBorders>
              <w:right w:val="single" w:sz="8" w:color="02AE90"/>
            </w:tcBorders>
            <w:shd w:val="clear" w:color="auto" w:fill="02AE90"/>
          </w:tcPr>
          <w:p>
            <w:pPr>
              <w:jc w:val="center"/>
              <w:ind w:right="60"/>
              <w:spacing w:after="0"/>
              <w:rPr>
                <w:sz w:val="20"/>
                <w:szCs w:val="20"/>
                <w:color w:val="auto"/>
              </w:rPr>
            </w:pPr>
            <w:r>
              <w:rPr>
                <w:rFonts w:ascii="Times New Roman" w:cs="Times New Roman" w:eastAsia="Times New Roman" w:hAnsi="Times New Roman"/>
                <w:sz w:val="14"/>
                <w:szCs w:val="14"/>
                <w:b w:val="1"/>
                <w:bCs w:val="1"/>
                <w:color w:val="FFFFFF"/>
              </w:rPr>
              <w:t>MSUs</w:t>
            </w:r>
          </w:p>
        </w:tc>
        <w:tc>
          <w:tcPr>
            <w:tcW w:w="0" w:type="dxa"/>
            <w:vAlign w:val="bottom"/>
          </w:tcPr>
          <w:p>
            <w:pPr>
              <w:spacing w:after="0"/>
              <w:rPr>
                <w:sz w:val="1"/>
                <w:szCs w:val="1"/>
                <w:color w:val="auto"/>
              </w:rPr>
            </w:pPr>
          </w:p>
        </w:tc>
      </w:tr>
      <w:tr>
        <w:trPr>
          <w:trHeight w:val="246"/>
        </w:trPr>
        <w:tc>
          <w:tcPr>
            <w:tcW w:w="574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Matt Goldberg</w:t>
            </w:r>
          </w:p>
        </w:tc>
        <w:tc>
          <w:tcPr>
            <w:tcW w:w="136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8"/>
                <w:szCs w:val="18"/>
                <w:color w:val="auto"/>
              </w:rPr>
              <w:t>$13,025,860</w:t>
            </w:r>
          </w:p>
        </w:tc>
        <w:tc>
          <w:tcPr>
            <w:tcW w:w="1380" w:type="dxa"/>
            <w:vAlign w:val="bottom"/>
            <w:tcBorders>
              <w:bottom w:val="single" w:sz="8" w:color="02AE90"/>
              <w:right w:val="single" w:sz="8" w:color="02AE90"/>
            </w:tcBorders>
          </w:tcPr>
          <w:p>
            <w:pPr>
              <w:jc w:val="right"/>
              <w:ind w:right="80"/>
              <w:spacing w:after="0"/>
              <w:rPr>
                <w:sz w:val="20"/>
                <w:szCs w:val="20"/>
                <w:color w:val="auto"/>
              </w:rPr>
            </w:pPr>
            <w:r>
              <w:rPr>
                <w:rFonts w:ascii="Times New Roman" w:cs="Times New Roman" w:eastAsia="Times New Roman" w:hAnsi="Times New Roman"/>
                <w:sz w:val="18"/>
                <w:szCs w:val="18"/>
                <w:color w:val="auto"/>
              </w:rPr>
              <w:t>515,808</w:t>
            </w:r>
          </w:p>
        </w:tc>
        <w:tc>
          <w:tcPr>
            <w:tcW w:w="1360" w:type="dxa"/>
            <w:vAlign w:val="bottom"/>
            <w:tcBorders>
              <w:bottom w:val="single" w:sz="8" w:color="02AE90"/>
              <w:right w:val="single" w:sz="8" w:color="02AE90"/>
            </w:tcBorders>
          </w:tcPr>
          <w:p>
            <w:pPr>
              <w:jc w:val="right"/>
              <w:ind w:right="80"/>
              <w:spacing w:after="0"/>
              <w:rPr>
                <w:sz w:val="20"/>
                <w:szCs w:val="20"/>
                <w:color w:val="auto"/>
              </w:rPr>
            </w:pPr>
            <w:r>
              <w:rPr>
                <w:rFonts w:ascii="Times New Roman" w:cs="Times New Roman" w:eastAsia="Times New Roman" w:hAnsi="Times New Roman"/>
                <w:sz w:val="18"/>
                <w:szCs w:val="18"/>
                <w:color w:val="auto"/>
              </w:rPr>
              <w:t>257,850</w:t>
            </w:r>
          </w:p>
        </w:tc>
        <w:tc>
          <w:tcPr>
            <w:tcW w:w="1400" w:type="dxa"/>
            <w:vAlign w:val="bottom"/>
            <w:tcBorders>
              <w:bottom w:val="single" w:sz="8" w:color="02AE90"/>
              <w:right w:val="single" w:sz="8" w:color="02AE90"/>
            </w:tcBorders>
          </w:tcPr>
          <w:p>
            <w:pPr>
              <w:jc w:val="right"/>
              <w:ind w:right="400"/>
              <w:spacing w:after="0"/>
              <w:rPr>
                <w:sz w:val="20"/>
                <w:szCs w:val="20"/>
                <w:color w:val="auto"/>
              </w:rPr>
            </w:pPr>
            <w:r>
              <w:rPr>
                <w:rFonts w:ascii="Times New Roman" w:cs="Times New Roman" w:eastAsia="Times New Roman" w:hAnsi="Times New Roman"/>
                <w:sz w:val="18"/>
                <w:szCs w:val="18"/>
                <w:color w:val="auto"/>
              </w:rPr>
              <w:t>378,064</w:t>
            </w:r>
          </w:p>
        </w:tc>
        <w:tc>
          <w:tcPr>
            <w:tcW w:w="0" w:type="dxa"/>
            <w:vAlign w:val="bottom"/>
          </w:tcPr>
          <w:p>
            <w:pPr>
              <w:spacing w:after="0"/>
              <w:rPr>
                <w:sz w:val="1"/>
                <w:szCs w:val="1"/>
                <w:color w:val="auto"/>
              </w:rPr>
            </w:pPr>
          </w:p>
        </w:tc>
      </w:tr>
      <w:tr>
        <w:trPr>
          <w:trHeight w:val="246"/>
        </w:trPr>
        <w:tc>
          <w:tcPr>
            <w:tcW w:w="574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Mike Noonan</w:t>
            </w:r>
          </w:p>
        </w:tc>
        <w:tc>
          <w:tcPr>
            <w:tcW w:w="136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8"/>
                <w:szCs w:val="18"/>
                <w:color w:val="auto"/>
              </w:rPr>
              <w:t>$2,749,947</w:t>
            </w:r>
          </w:p>
        </w:tc>
        <w:tc>
          <w:tcPr>
            <w:tcW w:w="1380" w:type="dxa"/>
            <w:vAlign w:val="bottom"/>
            <w:tcBorders>
              <w:bottom w:val="single" w:sz="8" w:color="02AE90"/>
              <w:right w:val="single" w:sz="8" w:color="02AE90"/>
            </w:tcBorders>
          </w:tcPr>
          <w:p>
            <w:pPr>
              <w:jc w:val="right"/>
              <w:ind w:right="80"/>
              <w:spacing w:after="0"/>
              <w:rPr>
                <w:sz w:val="20"/>
                <w:szCs w:val="20"/>
                <w:color w:val="auto"/>
              </w:rPr>
            </w:pPr>
            <w:r>
              <w:rPr>
                <w:rFonts w:ascii="Times New Roman" w:cs="Times New Roman" w:eastAsia="Times New Roman" w:hAnsi="Times New Roman"/>
                <w:sz w:val="18"/>
                <w:szCs w:val="18"/>
                <w:color w:val="auto"/>
              </w:rPr>
              <w:t>76,986</w:t>
            </w:r>
          </w:p>
        </w:tc>
        <w:tc>
          <w:tcPr>
            <w:tcW w:w="1360" w:type="dxa"/>
            <w:vAlign w:val="bottom"/>
            <w:tcBorders>
              <w:bottom w:val="single" w:sz="8" w:color="02AE90"/>
              <w:right w:val="single" w:sz="8" w:color="02AE90"/>
            </w:tcBorders>
          </w:tcPr>
          <w:p>
            <w:pPr>
              <w:jc w:val="right"/>
              <w:ind w:right="80"/>
              <w:spacing w:after="0"/>
              <w:rPr>
                <w:sz w:val="20"/>
                <w:szCs w:val="20"/>
                <w:color w:val="auto"/>
              </w:rPr>
            </w:pPr>
            <w:r>
              <w:rPr>
                <w:rFonts w:ascii="Times New Roman" w:cs="Times New Roman" w:eastAsia="Times New Roman" w:hAnsi="Times New Roman"/>
                <w:sz w:val="18"/>
                <w:szCs w:val="18"/>
                <w:color w:val="auto"/>
              </w:rPr>
              <w:t>38,808</w:t>
            </w:r>
          </w:p>
        </w:tc>
        <w:tc>
          <w:tcPr>
            <w:tcW w:w="1400" w:type="dxa"/>
            <w:vAlign w:val="bottom"/>
            <w:tcBorders>
              <w:bottom w:val="single" w:sz="8" w:color="02AE90"/>
              <w:right w:val="single" w:sz="8" w:color="02AE90"/>
            </w:tcBorders>
          </w:tcPr>
          <w:p>
            <w:pPr>
              <w:jc w:val="right"/>
              <w:ind w:right="440"/>
              <w:spacing w:after="0"/>
              <w:rPr>
                <w:sz w:val="20"/>
                <w:szCs w:val="20"/>
                <w:color w:val="auto"/>
              </w:rPr>
            </w:pPr>
            <w:r>
              <w:rPr>
                <w:rFonts w:ascii="Times New Roman" w:cs="Times New Roman" w:eastAsia="Times New Roman" w:hAnsi="Times New Roman"/>
                <w:sz w:val="18"/>
                <w:szCs w:val="18"/>
                <w:color w:val="auto"/>
              </w:rPr>
              <w:t>61,935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The stock options were granted with an exercise price equal to the closing market price of our common stock on the date of grant. Mr. Goldberg's stock options and RSUs vest over four years, with 25% of such awards vesting on July 1, 2023 and 6.25% of the remaining award vesting in equal quarterly installments thereafter. Mr. Goldberg's MSUs vest following completion of the performance period commencing July 1, 2022 through July 1, 2025, upon certification by the Compensation Committee and based on the achievement of the applicable performance goals. The MSUs will vest on the third anniversary of his start date (the “Vesting Date”), based on the achievement of the following stock price hurdles: 25% vesting if the Reference Price (as defined below) is equal to or greater than $35.00 but less than $45.00, 50% of the MSUs vesting if the Reference Price is equal to or greater than $45.00 but less than $55.00; and 100% of the MSUs vesting if the reference price is equal to or greater than $55.00, subject to Mr. Goldberg remaining employed with the Company through the Vesting Date (except for certain termination events, as summarized below. Reference Price means a volume weighted average price of a share as reported on Bloomberg (or equivalent wire service) over a thirty trading day period between the first anniversary of the state date the Vesting Date, with such Reference Prices to be binary with no interpolation. Mr. Noonan's MSUs vest on the same terms as those generally described above with respect to Mr. Goldberg's MSUs. Mr. Noonan's stock options and RSUs vest over four years, with 25% of such awards vesting on October 31, 2023 and 6.25% of the remaining award vesting in equal quarterly installments commencing thereafter.</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1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to the primary elements of compensation described above, our named executive officers also participate in employee benefits programs available to our employees generally, including the Tripadvisor Retirement Savings Plan, a tax-qualified 401(k) plan. Under this plan, Tripadvisor matches 50% of each dollar contributed by a participant, up to the first 6% of eligible compensation, subject to tax limits.</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provide other benefits to our named executive officers generally on the same basis as all of our domestic employees. These benefits include group health (medical, dental, and vision) insurance, group disability insurance, and group life insurance. Tripadvisor also sponsors a Global Lifestyle Benefit program generally available to all employees, including our named executive officers, which provides for taxable reimbursement of up to $1,750 per year, depending on years of service, for qualifying services and products.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situations where a named executive officer is required to relocate, Tripadvisor provides relocation benefits, including reimbursement of moving expenses, temporary housing and other relocation expenses as well as a tax gross-up payment on the relocation benefits. Mr. Goldberg received certain relocation support in 2022 in connection with his relocation from New Jersey to our corporate headquarters in Needham, Massachusetts. This company benefit is described further in the Summary Compensation Table.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Compensation-Related Policies</w:t>
      </w:r>
    </w:p>
    <w:p>
      <w:pPr>
        <w:spacing w:after="0" w:line="1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Recovery, or “Clawback,” Provisions</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Tripadvisor has an executive compensation recovery, or clawback, provision in our form of award agreements providing for recoupment of equity compensation. Each of Tripadvisor’s equity award documents provides that, awards may be made subject to any compensation recoupment policy adopted by the Board or the Compensation Committees at any time, and as such policy may be amended from time to time after its adoption. The compensation recoupment policy will be applied to any award that constitutes the deferral of compensation subject to Section 409A of the Code in a manner that complies with the requirements of Section 409A of the Code.</w:t>
      </w:r>
    </w:p>
    <w:p>
      <w:pPr>
        <w:spacing w:after="0" w:line="184"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We intend to adopt a general clawback policy covering our annual and long-term incentive award plans and arrangements or amend our existing documents to align with the SEC's final rules and Nasdaq listing standards.</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and Hedging Policy</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Tripadvisor has adopted an Insider Trading Policy covering our directors, officers, employees and consultants that is designed to ensure compliance with relevant SEC regulations, including insider trading rules. Tripadvisor’s Insider Trading Policy also prohibits directors, officers, employees and consultants from engaging in various types of transactions in which they may profit from short-term speculative swings in the value of Tripadvisor securities. These transactions include “short sales” (or selling borrowed securities which</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both"/>
        <w:spacing w:after="0" w:line="260" w:lineRule="auto"/>
        <w:rPr>
          <w:sz w:val="20"/>
          <w:szCs w:val="20"/>
          <w:color w:val="auto"/>
        </w:rPr>
      </w:pPr>
      <w:r>
        <w:rPr>
          <w:rFonts w:ascii="Times New Roman" w:cs="Times New Roman" w:eastAsia="Times New Roman" w:hAnsi="Times New Roman"/>
          <w:sz w:val="18"/>
          <w:szCs w:val="18"/>
          <w:color w:val="auto"/>
        </w:rPr>
        <w:t>the sellers hopes can be purchased at a lower price in the future), “put” and “call” options (or publicly available rights to sell or buy securities within a certain period of time at a specified price or the like) and hedging transactions, such as zero-cost collars and forward sale contracts. The policy also prohibits the pledge or use of Company securities as collateral in a margin account or collateral for a loan.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2015, the Board adopted guidelines which require that our named executive officers and members of our Board own shares of our common stock to further align their interests with those of our stockholders. These guidelines were reviewed in January 2019, after which revised guidelines were approved. These guidelines require that our named executive officers and directors must directly hold securities having market or intrinsic value which is equal to or greater than a specified multiple of his or her base salary or cash retainer, as set forth below:</w:t>
      </w:r>
    </w:p>
    <w:p>
      <w:pPr>
        <w:spacing w:after="0" w:line="77" w:lineRule="exact"/>
        <w:rPr>
          <w:sz w:val="20"/>
          <w:szCs w:val="20"/>
          <w:color w:val="auto"/>
        </w:rPr>
      </w:pPr>
    </w:p>
    <w:p>
      <w:pPr>
        <w:ind w:left="1140" w:hanging="370"/>
        <w:spacing w:after="0"/>
        <w:tabs>
          <w:tab w:leader="none" w:pos="1140" w:val="left"/>
        </w:tabs>
        <w:numPr>
          <w:ilvl w:val="0"/>
          <w:numId w:val="3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For our President and Chief Executive Officer, six times his annual base salary;</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For all other named executive officers, three times his or her annual base salary;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3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For each non-employee director, three times his or her annual cash retainer.</w:t>
      </w:r>
    </w:p>
    <w:p>
      <w:pPr>
        <w:spacing w:after="0" w:line="2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purpose of these calculations, historically 100% of shares of common stock and 50% of vested “in-the-money” stock options are counted; however, in April 2022, the Board amended the stock ownership guidelines to provide that only 100% of the value of shares of common stock held could be counted and that no value would be attributed to vested “in-the-money” stock options. Individuals subject to these guidelines are required to achieve the relevant ownership threshold on or before the later of January 30, 2024, or five years after commencing service as a named executive officer or director.</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These stock ownership guidelines were established after consideration of the Compensation Committees’ review of market practices of other companies in the Company’s peer group with respect to stock ownership guidelines and in an effort to enhance risk mitigation and to more closely align the interests of the Company’s executive officers and Board members with those of the Company’s stockholders.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1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February 2021, our Board adopted an amended and restated Code of Business Conduct and Ethics applicable to all of our directors, officers, employees, consultants and independent contractors. A copy of the Code of Business Conduct and Ethics is posted on our website at http://ir.Tripadvisor.com/corporate-governance.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Competitive Compensation Market Data</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Management considers multiple data sources when reviewing compensation information to ensure that the data reflects compensation practices of relevant companies in terms of size, industry and business complexity. Among other factors, management considers the following information in connection with its recommendations to the Compensation Committees regarding compensation for our named executive officers:</w:t>
      </w:r>
    </w:p>
    <w:p>
      <w:pPr>
        <w:spacing w:after="0" w:line="71" w:lineRule="exact"/>
        <w:rPr>
          <w:sz w:val="20"/>
          <w:szCs w:val="20"/>
          <w:color w:val="auto"/>
        </w:rPr>
      </w:pPr>
    </w:p>
    <w:p>
      <w:pPr>
        <w:ind w:left="1140" w:hanging="370"/>
        <w:spacing w:after="0"/>
        <w:tabs>
          <w:tab w:leader="none" w:pos="1140" w:val="left"/>
        </w:tabs>
        <w:numPr>
          <w:ilvl w:val="0"/>
          <w:numId w:val="4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Data from compensation surveys that include companies of a similar size and industry; and</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4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Data regarding compensation for certain executive officer positions from recent proxy statements and other SEC filings of peer companies.</w:t>
      </w:r>
    </w:p>
    <w:p>
      <w:pPr>
        <w:spacing w:after="0" w:line="21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Committees annually retain our compensation consultant to regularly review the compensation peer group and to recommend possible changes. Our business model is specialized in that we use our innovative technology systems and software to attract users and then facilitate transactions between our business partners and those users. Accordingly, our compensation consultant identified comparable companies focusing on publicly traded companies in the business to consumer and software industries as well as revenue and market capitalization.</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compensation consultant reviewed the peer group in the fall of 2021; at that time, Tripadvisor was still heavily impacted by the COVID-19 pandemic and revenue and profitability measures were understating the Company's ongoing size, complexity and other characteristics. On October 21, 2021, based on input from FW Cook, the Compensation Committees approved the peer group for purposes of reviewing our 2022 executive compensation program. At the time the peer group was approved, the Company was positioned near median in terms of market capitalization, while revenue and profitability were below median. That positioning was heavily impacted by the pandemic and median positioning was reinstituted in 2022 with the designation of a newly-approved peer group.</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FFFFFF"/>
        </w:rPr>
        <w:drawing>
          <wp:anchor simplePos="0" relativeHeight="251657728" behindDoc="1" locked="0" layoutInCell="0" allowOverlap="1">
            <wp:simplePos x="0" y="0"/>
            <wp:positionH relativeFrom="page">
              <wp:posOffset>207010</wp:posOffset>
            </wp:positionH>
            <wp:positionV relativeFrom="page">
              <wp:posOffset>240665</wp:posOffset>
            </wp:positionV>
            <wp:extent cx="7134860" cy="168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68910"/>
                    </a:xfrm>
                    <a:prstGeom prst="rect">
                      <a:avLst/>
                    </a:prstGeom>
                    <a:noFill/>
                  </pic:spPr>
                </pic:pic>
              </a:graphicData>
            </a:graphic>
          </wp:anchor>
        </w:drawing>
        <w:t>Company Name</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Akamai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28841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2884170"/>
                    </a:xfrm>
                    <a:prstGeom prst="rect">
                      <a:avLst/>
                    </a:prstGeom>
                    <a:noFill/>
                  </pic:spPr>
                </pic:pic>
              </a:graphicData>
            </a:graphic>
          </wp:anchor>
        </w:drawing>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Angi</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Booking Holdings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Box</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CarGurus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Cimpress plc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Etsy</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Expedia Group</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Groupon</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HubSpot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IAC Inc. (fka IAC/InterActiveCorp)</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Redfin</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Sabre</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Stitch Fix</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Yelp</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Zillow Group</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Zynga</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4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When available, management and the Compensation Committees consider competitive market compensation paid by peer group companies but do not attempt to maintain a certain target percentile within the compensation peer group or otherwise rely solely on such data when making recommendations to the Compensation Committees regarding compensation for our named executive officers. Management and the Compensation Committees strive to incorporate flexibility into our executive compensation program and the assessment process to respond to and adjust for the evolving business environment and the value delivered by our named executive officers.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1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employment arrangements with each of our named executive officers. Pursuant to these agreements, each of our named executive officers is eligible to receive certain severance payments and benefits in the event of a qualifying termination of employment. The material terms of these employment agreements are described below under the heading “Potential Payments Upon Termination or Change in Control” below. For further information regarding the severance payments and benefits received in connection with a named executive officer's resignation, please see “Potential Payments Upon Termination or Change in Control.”</w:t>
      </w:r>
    </w:p>
    <w:p>
      <w:pPr>
        <w:spacing w:after="0" w:line="18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We believe that a strong, experienced management team is essential and in the best interests of the Company and our stockholders. In addition, we recognize that the possibility of a change in control could arise and that such an event could result in the departure of our senior leaders to the detriment of the Company and our stockholders. As a result, in 2017 we adopted a severance plan applicable to certain senior leaders (the “Severance Plan”). The Severance Plan formalizes and standardizes our severance practices for certain of our senior leaders. Adoption of the Severance Plan was approved by the Compensation Committees. The Severance Plan applies to all named executive officers as well as certain other senior leaders. While the benefits are generally consistent with the severance benefits provided for in individual employment agreements, there are some differences. Under the terms of the Severance Plan, in the event of any conflict or inconsistency between the terms of any employment agreement and the Severance Plan, the terms more beneficial to the executive shall prevail. For a description and quantification of change in control payments and benefits for our named executive officers, please see the section below entitled “Potential Payments Upon Termination or Change in Control.”</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2023 Plan provides only for “double trigger” acceleration (i.e., acceleration upon termination by the Company other than for Cause or disability or resignation for Good Reason, in each case within three months prior to and 12 months following a change in control). The 2023 Plan also provides for acceleration of all equity awards upon the death of a participant. Please see “Estimated Potential Incremental Payments” below for further information regarding the treatment of equity awards held by our Named Executive Officers upon certain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Section 162(m) of the Code generally precludes a tax deduction by any publicly-held company for compensation paid to the top executive officers, where the compensation deduction for any affected officer exceeds $1 million. Prior to 2018, there were many exemptions from this deduction-disallowance provision, which were nearly all eliminated by The Tax Cuts and Jobs Act of 2017 (the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61" w:name="page62"/>
    <w:bookmarkEnd w:id="61"/>
    <w:p>
      <w:pPr>
        <w:jc w:val="both"/>
        <w:spacing w:after="0" w:line="249" w:lineRule="auto"/>
        <w:rPr>
          <w:sz w:val="20"/>
          <w:szCs w:val="20"/>
          <w:color w:val="auto"/>
        </w:rPr>
      </w:pPr>
      <w:r>
        <w:rPr>
          <w:rFonts w:ascii="Times New Roman" w:cs="Times New Roman" w:eastAsia="Times New Roman" w:hAnsi="Times New Roman"/>
          <w:sz w:val="18"/>
          <w:szCs w:val="18"/>
          <w:color w:val="auto"/>
        </w:rPr>
        <w:t>“2017 Tax Act”). After 2017, the class of covered officers was expanded to cover the CFO, and a rule was added to keep any top officer in the compensation-disallowance group, even after the officer retired. In addition, the 2017 Tax Act extended the disallowance rules to stock options, bonuses, and other “performance based compensation.” After 2026, the class of affected executives will be increased by 5 more highly compensated employees, even if they are not company officers. Thus more people, and more types of compensation, are potentially subject to disallowance after 2017. However, a special transition rule ensures that compensation paid under a binding contract in effect on or before November 2, 2017 that is not thereafter materially modified, continues to be eligible for the potential exemptions from these section 162(m) disallowance rules. We have identified the compensation for our executives that is grandfathered under the transition rule, so as to protect against material modifications where possible. However, we have not adopted a policy that all compensation must qualify as deductible under Section 162(m), because such a policy would substantially limit our ability to attract and retain executives. Going forward, we intend to continue to design our executive compensation arrangements to be consistent with our best interests and those of our stockholders, even though tax deductions may be lost as a result of Congress’s elimination of the expansion of the covered employee group and the elimination of the exception for performance-based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 consists of Messrs. Maffei and Hoag and Ms. Morgan and the Section 16 Committee consists of Mr. Hoag and Ms. Morgan. None of Messrs. Maffei and Hoag or Ms. Morgan was an officer or employee of Tripadvisor, formerly an officer of Tripadvisor, or an executive officer of an entity for which an executive officer of Tripadvisor served as a member of the compensation committee or as a director during the one-year period ended December 31, 2022.</w:t>
      </w:r>
    </w:p>
    <w:p>
      <w:pPr>
        <w:spacing w:after="0" w:line="183"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During the 2022 fiscal year, none of our executive officers served as: (i) a member of the compensation committee (or other committee of the board of directors performing equivalent functions or, in the absence of any such committee, the entire board of directors) of another entity, one of whose executive officers served on our Compensation Committee; (ii) a director of another entity, one of whose executive officers served on our Compensation Committee; or</w:t>
      </w:r>
    </w:p>
    <w:p>
      <w:pPr>
        <w:spacing w:after="0" w:line="2" w:lineRule="exact"/>
        <w:rPr>
          <w:sz w:val="20"/>
          <w:szCs w:val="20"/>
          <w:color w:val="auto"/>
        </w:rPr>
      </w:pPr>
    </w:p>
    <w:p>
      <w:pPr>
        <w:ind w:firstLine="6"/>
        <w:spacing w:after="0" w:line="252" w:lineRule="auto"/>
        <w:tabs>
          <w:tab w:leader="none" w:pos="3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compensation committee (or other committee of the board of directors performing equivalent functions or, in the absence of any such committee, the entire board of directors) of another entity, one of whose executive officers served on our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Committees Report</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report is provided by the Compensation Committee and the Section 16 Committee, or the Compensation Committees, of the Board. The Compensation Committees have reviewed the Compensation Discussion and Analysis and discussed that analysis with management. Based on this review and discussions with management, the Compensation Committees recommended to the Board that the Compensation Discussion and Analysis be included in Tripadvisor’s 2023 Proxy Statement.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No portion of this Compensation Committees Report shall be deemed to be incorporated by reference into any filing under the Securities Act or the Exchange Act, through any general statement incorporating by reference in its entirety the Proxy Statement in which this report appears, except to the extent that Tripadvisor specifically incorporates this report or a portion of it by reference. In addition, this report shall not be deemed to be “soliciting material” or “filed” under either the Securities Act or the Exchange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Members of the Compensation Committee:</w:t>
            </w: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Betsy L. Morgan (Chairperson)</w:t>
            </w:r>
          </w:p>
        </w:tc>
      </w:tr>
      <w:tr>
        <w:trPr>
          <w:trHeight w:val="234"/>
        </w:trPr>
        <w:tc>
          <w:tcPr>
            <w:tcW w:w="4340" w:type="dxa"/>
            <w:vAlign w:val="bottom"/>
          </w:tcPr>
          <w:p>
            <w:pPr>
              <w:spacing w:after="0"/>
              <w:rPr>
                <w:sz w:val="20"/>
                <w:szCs w:val="20"/>
                <w:color w:val="auto"/>
              </w:rPr>
            </w:pP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Jay C. Hoag</w:t>
            </w:r>
          </w:p>
        </w:tc>
      </w:tr>
      <w:tr>
        <w:trPr>
          <w:trHeight w:val="252"/>
        </w:trPr>
        <w:tc>
          <w:tcPr>
            <w:tcW w:w="4340" w:type="dxa"/>
            <w:vAlign w:val="bottom"/>
          </w:tcPr>
          <w:p>
            <w:pPr>
              <w:spacing w:after="0"/>
              <w:rPr>
                <w:sz w:val="21"/>
                <w:szCs w:val="21"/>
                <w:color w:val="auto"/>
              </w:rPr>
            </w:pP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Gregory B. Maffei</w:t>
            </w:r>
          </w:p>
        </w:tc>
      </w:tr>
      <w:tr>
        <w:trPr>
          <w:trHeight w:val="239"/>
        </w:trPr>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Members of the Section 16 Committee:</w:t>
            </w: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Betsy L. Morgan (Chairperson)</w:t>
            </w:r>
          </w:p>
        </w:tc>
      </w:tr>
      <w:tr>
        <w:trPr>
          <w:trHeight w:val="239"/>
        </w:trPr>
        <w:tc>
          <w:tcPr>
            <w:tcW w:w="4340" w:type="dxa"/>
            <w:vAlign w:val="bottom"/>
          </w:tcPr>
          <w:p>
            <w:pPr>
              <w:spacing w:after="0"/>
              <w:rPr>
                <w:sz w:val="20"/>
                <w:szCs w:val="20"/>
                <w:color w:val="auto"/>
              </w:rPr>
            </w:pP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i w:val="1"/>
                <w:iCs w:val="1"/>
                <w:color w:val="auto"/>
              </w:rPr>
              <w:t>Jay C. Hoag</w:t>
            </w:r>
          </w:p>
        </w:tc>
      </w:tr>
      <w:tr>
        <w:trPr>
          <w:trHeight w:val="558"/>
        </w:trPr>
        <w:tc>
          <w:tcPr>
            <w:tcW w:w="4340" w:type="dxa"/>
            <w:vAlign w:val="bottom"/>
          </w:tcPr>
          <w:p>
            <w:pPr>
              <w:spacing w:after="0"/>
              <w:rPr>
                <w:sz w:val="24"/>
                <w:szCs w:val="24"/>
                <w:color w:val="auto"/>
              </w:rPr>
            </w:pPr>
          </w:p>
        </w:tc>
        <w:tc>
          <w:tcPr>
            <w:tcW w:w="69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61</w:t>
            </w:r>
          </w:p>
        </w:tc>
      </w:tr>
      <w:tr>
        <w:trPr>
          <w:trHeight w:val="112"/>
        </w:trPr>
        <w:tc>
          <w:tcPr>
            <w:tcW w:w="4340" w:type="dxa"/>
            <w:vAlign w:val="bottom"/>
            <w:tcBorders>
              <w:bottom w:val="single" w:sz="8" w:color="9A9A9A"/>
            </w:tcBorders>
          </w:tcPr>
          <w:p>
            <w:pPr>
              <w:spacing w:after="0"/>
              <w:rPr>
                <w:sz w:val="9"/>
                <w:szCs w:val="9"/>
                <w:color w:val="auto"/>
              </w:rPr>
            </w:pPr>
          </w:p>
        </w:tc>
        <w:tc>
          <w:tcPr>
            <w:tcW w:w="6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CEO PAY RATIO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SEC adopted rules requiring annual disclosure of the ratio of the annual total compensation of a company’s principal executive officer to such company’s median employee’s total annual compensation, excluding the principal executive officer for purposes of this calculation. The purpose of this disclosure is to provide a measure of the equitability of pay within the organization.</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2022 annual total compensation of our median employee, excluding Mr. Goldberg, our President and CEO, was estimated to be $117,727. The 2022 annualized total compensation of our President and CEO was $15,389,053.</w:t>
      </w:r>
    </w:p>
    <w:p>
      <w:pPr>
        <w:spacing w:after="0" w:line="163" w:lineRule="exact"/>
        <w:rPr>
          <w:sz w:val="20"/>
          <w:szCs w:val="20"/>
          <w:color w:val="auto"/>
        </w:rPr>
      </w:pPr>
    </w:p>
    <w:p>
      <w:pPr>
        <w:jc w:val="both"/>
        <w:ind w:firstLine="509"/>
        <w:spacing w:after="0" w:line="299" w:lineRule="auto"/>
        <w:rPr>
          <w:sz w:val="20"/>
          <w:szCs w:val="20"/>
          <w:color w:val="auto"/>
        </w:rPr>
      </w:pPr>
      <w:r>
        <w:rPr>
          <w:rFonts w:ascii="Times New Roman" w:cs="Times New Roman" w:eastAsia="Times New Roman" w:hAnsi="Times New Roman"/>
          <w:sz w:val="17"/>
          <w:szCs w:val="17"/>
          <w:color w:val="auto"/>
        </w:rPr>
        <w:t>The ratio of the annual total compensation of our President and CEO to that of our median employee was approximately 131 to 1. We believe this pay ratio is a reasonable estimate calculated in a manner consistent with SEC rules. Please note the following information to provide important context related to our employee population and to describe the methodology and the material assumptions, adjustments, and estimates that we used to calculate this ratio.</w:t>
      </w:r>
    </w:p>
    <w:p>
      <w:pPr>
        <w:spacing w:after="0" w:line="40" w:lineRule="exact"/>
        <w:rPr>
          <w:sz w:val="20"/>
          <w:szCs w:val="20"/>
          <w:color w:val="auto"/>
        </w:rPr>
      </w:pPr>
    </w:p>
    <w:p>
      <w:pPr>
        <w:jc w:val="both"/>
        <w:ind w:left="1020" w:hanging="505"/>
        <w:spacing w:after="0" w:line="251" w:lineRule="auto"/>
        <w:tabs>
          <w:tab w:leader="none" w:pos="1020" w:val="left"/>
        </w:tabs>
        <w:numPr>
          <w:ilvl w:val="0"/>
          <w:numId w:val="42"/>
        </w:numPr>
        <w:rPr>
          <w:rFonts w:ascii="Times New Roman" w:cs="Times New Roman" w:eastAsia="Times New Roman" w:hAnsi="Times New Roman"/>
          <w:sz w:val="18"/>
          <w:szCs w:val="18"/>
          <w:color w:val="00B087"/>
        </w:rPr>
      </w:pPr>
      <w:r>
        <w:rPr>
          <w:rFonts w:ascii="Times New Roman" w:cs="Times New Roman" w:eastAsia="Times New Roman" w:hAnsi="Times New Roman"/>
          <w:sz w:val="18"/>
          <w:szCs w:val="18"/>
          <w:color w:val="auto"/>
        </w:rPr>
        <w:t>A substantial portion of our President and CEO's 2022 annual total compensation for 2022 was related to new hire equity grant awards, which had a grant date fair value of $13,025,000. This new hire grant was a one-time grant, which is not anticipated to occur in future periods. Instead, pursuant to the terms of Mr. Goldberg's employment agreement, it is not anticipated that Mr. Goldberg will receive another equity grant until 2024. If the 2022 annualized total compensation of our President and CEO only included the grant date fair market value of the 2022 new hire grant amortized over 18 months (the period between when the grant was issued and the date in 2024 when our CEO and President is expected to received his next equity grant) instead of the $13,025,000 value of a one-time new hire award, the rate of our CEO's 2022 annual total compensation relative to that of our median employee for 2022 would have been 77 to 1.</w:t>
      </w:r>
    </w:p>
    <w:p>
      <w:pPr>
        <w:spacing w:after="0" w:line="78" w:lineRule="exact"/>
        <w:rPr>
          <w:rFonts w:ascii="Times New Roman" w:cs="Times New Roman" w:eastAsia="Times New Roman" w:hAnsi="Times New Roman"/>
          <w:sz w:val="18"/>
          <w:szCs w:val="18"/>
          <w:color w:val="00B087"/>
        </w:rPr>
      </w:pPr>
    </w:p>
    <w:p>
      <w:pPr>
        <w:jc w:val="both"/>
        <w:ind w:left="1020" w:hanging="505"/>
        <w:spacing w:after="0" w:line="255" w:lineRule="auto"/>
        <w:tabs>
          <w:tab w:leader="none" w:pos="1020" w:val="left"/>
        </w:tabs>
        <w:numPr>
          <w:ilvl w:val="0"/>
          <w:numId w:val="42"/>
        </w:numPr>
        <w:rPr>
          <w:rFonts w:ascii="Times New Roman" w:cs="Times New Roman" w:eastAsia="Times New Roman" w:hAnsi="Times New Roman"/>
          <w:sz w:val="18"/>
          <w:szCs w:val="18"/>
          <w:color w:val="00B087"/>
        </w:rPr>
      </w:pPr>
      <w:r>
        <w:rPr>
          <w:rFonts w:ascii="Times New Roman" w:cs="Times New Roman" w:eastAsia="Times New Roman" w:hAnsi="Times New Roman"/>
          <w:sz w:val="18"/>
          <w:szCs w:val="18"/>
          <w:color w:val="auto"/>
        </w:rPr>
        <w:t>Tripadvisor is a global company, with complex operations worldwide and many of our employees are located outside of the United States. Approximately 55%, 35%, and 10% of the Company’s current employees are based in Europe, the U.S., and the rest of world, respectively. We selected December 31, 2022 as the date upon which we would identify the “median employee,” because it enabled us to make such identification in a reasonably efficient and economical manner.</w:t>
      </w:r>
    </w:p>
    <w:p>
      <w:pPr>
        <w:spacing w:after="0" w:line="76" w:lineRule="exact"/>
        <w:rPr>
          <w:rFonts w:ascii="Times New Roman" w:cs="Times New Roman" w:eastAsia="Times New Roman" w:hAnsi="Times New Roman"/>
          <w:sz w:val="18"/>
          <w:szCs w:val="18"/>
          <w:color w:val="00B087"/>
        </w:rPr>
      </w:pPr>
    </w:p>
    <w:p>
      <w:pPr>
        <w:jc w:val="both"/>
        <w:ind w:left="1020" w:hanging="505"/>
        <w:spacing w:after="0" w:line="255" w:lineRule="auto"/>
        <w:tabs>
          <w:tab w:leader="none" w:pos="1020" w:val="left"/>
        </w:tabs>
        <w:numPr>
          <w:ilvl w:val="0"/>
          <w:numId w:val="42"/>
        </w:numPr>
        <w:rPr>
          <w:rFonts w:ascii="Times New Roman" w:cs="Times New Roman" w:eastAsia="Times New Roman" w:hAnsi="Times New Roman"/>
          <w:sz w:val="18"/>
          <w:szCs w:val="18"/>
          <w:color w:val="00B087"/>
        </w:rPr>
      </w:pPr>
      <w:r>
        <w:rPr>
          <w:rFonts w:ascii="Times New Roman" w:cs="Times New Roman" w:eastAsia="Times New Roman" w:hAnsi="Times New Roman"/>
          <w:sz w:val="18"/>
          <w:szCs w:val="18"/>
          <w:color w:val="auto"/>
        </w:rPr>
        <w:t>We included all full-time, part-time, and temporary employees globally, excluding our President and CEO. We annualized compensation of 980 full-time and part-time employees who were hired in 2022 but did not work for us for the entire fiscal year. Earnings of our employees outside the U.S. were converted to U.S. dollars using the currency exchange rates used for organizational planning purposes, which consider historic and forecasted rates as well as other factors. We did not make any cost of living adjustments.</w:t>
      </w:r>
    </w:p>
    <w:p>
      <w:pPr>
        <w:spacing w:after="0" w:line="76" w:lineRule="exact"/>
        <w:rPr>
          <w:rFonts w:ascii="Times New Roman" w:cs="Times New Roman" w:eastAsia="Times New Roman" w:hAnsi="Times New Roman"/>
          <w:sz w:val="18"/>
          <w:szCs w:val="18"/>
          <w:color w:val="00B087"/>
        </w:rPr>
      </w:pPr>
    </w:p>
    <w:p>
      <w:pPr>
        <w:ind w:left="1020" w:right="20" w:hanging="505"/>
        <w:spacing w:after="0" w:line="275" w:lineRule="auto"/>
        <w:tabs>
          <w:tab w:leader="none" w:pos="1020" w:val="left"/>
        </w:tabs>
        <w:numPr>
          <w:ilvl w:val="0"/>
          <w:numId w:val="42"/>
        </w:numPr>
        <w:rPr>
          <w:rFonts w:ascii="Times New Roman" w:cs="Times New Roman" w:eastAsia="Times New Roman" w:hAnsi="Times New Roman"/>
          <w:sz w:val="18"/>
          <w:szCs w:val="18"/>
          <w:color w:val="00B087"/>
        </w:rPr>
      </w:pPr>
      <w:r>
        <w:rPr>
          <w:rFonts w:ascii="Times New Roman" w:cs="Times New Roman" w:eastAsia="Times New Roman" w:hAnsi="Times New Roman"/>
          <w:sz w:val="18"/>
          <w:szCs w:val="18"/>
          <w:color w:val="auto"/>
        </w:rPr>
        <w:t>Our compensation measure, which is consistently applied and used to identify our median employee, was annualized base salary, short-term bonus at target and annual long-term equity incentive at target.</w:t>
      </w:r>
    </w:p>
    <w:p>
      <w:pPr>
        <w:spacing w:after="0" w:line="56" w:lineRule="exact"/>
        <w:rPr>
          <w:rFonts w:ascii="Times New Roman" w:cs="Times New Roman" w:eastAsia="Times New Roman" w:hAnsi="Times New Roman"/>
          <w:sz w:val="18"/>
          <w:szCs w:val="18"/>
          <w:color w:val="00B087"/>
        </w:rPr>
      </w:pPr>
    </w:p>
    <w:p>
      <w:pPr>
        <w:ind w:left="1020" w:hanging="505"/>
        <w:spacing w:after="0" w:line="275" w:lineRule="auto"/>
        <w:tabs>
          <w:tab w:leader="none" w:pos="1020" w:val="left"/>
        </w:tabs>
        <w:numPr>
          <w:ilvl w:val="0"/>
          <w:numId w:val="42"/>
        </w:numPr>
        <w:rPr>
          <w:rFonts w:ascii="Times New Roman" w:cs="Times New Roman" w:eastAsia="Times New Roman" w:hAnsi="Times New Roman"/>
          <w:sz w:val="18"/>
          <w:szCs w:val="18"/>
          <w:color w:val="00B087"/>
        </w:rPr>
      </w:pPr>
      <w:r>
        <w:rPr>
          <w:rFonts w:ascii="Times New Roman" w:cs="Times New Roman" w:eastAsia="Times New Roman" w:hAnsi="Times New Roman"/>
          <w:sz w:val="18"/>
          <w:szCs w:val="18"/>
          <w:color w:val="auto"/>
        </w:rPr>
        <w:t>We identified employees within $220 of the median 2022 annual total compensation and excluded those employees who had anomalous compensation characteristics, based on judgment.</w:t>
      </w:r>
    </w:p>
    <w:p>
      <w:pPr>
        <w:spacing w:after="0" w:line="16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have offices in different countries, employee populations and compensation practices and may utilize different methodologies, exclusions, estimates and assumptions in calculating their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02AE90"/>
        </w:rPr>
        <w:t>PAY VERSUS PERFORMANCE</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(“Dodd-Frank”) and Item 402(v) of Regulation S-K, the table below sets forth information about the relationship between compensation actually paid (“CAP”) to the our principal executive officer ("PEO") and non-PEO NEOs and certain financial performance measures of the Company and how the Company aligns executive compensation with the Company's performance. For further information concerning the Company’s variable pay-for-performance philosophy and how the Company aligns executive compensation with Company performance, refer to the “Compensation Discussion and Analysis” section of this proxy statement</w:t>
      </w:r>
      <w:r>
        <w:rPr>
          <w:rFonts w:ascii="Times New Roman" w:cs="Times New Roman" w:eastAsia="Times New Roman" w:hAnsi="Times New Roman"/>
          <w:sz w:val="21"/>
          <w:szCs w:val="21"/>
          <w:color w:val="auto"/>
        </w:rPr>
        <w:t>.</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900" w:type="dxa"/>
            <w:vAlign w:val="bottom"/>
            <w:tcBorders>
              <w:left w:val="single" w:sz="8" w:color="02AE90"/>
            </w:tcBorders>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920" w:type="dxa"/>
            <w:vAlign w:val="bottom"/>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spacing w:after="0"/>
              <w:rPr>
                <w:sz w:val="12"/>
                <w:szCs w:val="12"/>
                <w:color w:val="auto"/>
              </w:rPr>
            </w:pPr>
          </w:p>
        </w:tc>
        <w:tc>
          <w:tcPr>
            <w:tcW w:w="102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spacing w:after="0"/>
              <w:rPr>
                <w:sz w:val="12"/>
                <w:szCs w:val="12"/>
                <w:color w:val="auto"/>
              </w:rPr>
            </w:pPr>
          </w:p>
        </w:tc>
        <w:tc>
          <w:tcPr>
            <w:tcW w:w="1020" w:type="dxa"/>
            <w:vAlign w:val="bottom"/>
            <w:tcBorders>
              <w:right w:val="single" w:sz="8" w:color="02AE90"/>
            </w:tcBorders>
            <w:shd w:val="clear" w:color="auto" w:fill="02AE90"/>
          </w:tcPr>
          <w:p>
            <w:pPr>
              <w:spacing w:after="0"/>
              <w:rPr>
                <w:sz w:val="12"/>
                <w:szCs w:val="12"/>
                <w:color w:val="auto"/>
              </w:rPr>
            </w:pPr>
          </w:p>
        </w:tc>
        <w:tc>
          <w:tcPr>
            <w:tcW w:w="2000" w:type="dxa"/>
            <w:vAlign w:val="bottom"/>
            <w:tcBorders>
              <w:right w:val="single" w:sz="8" w:color="02AE90"/>
            </w:tcBorders>
            <w:gridSpan w:val="2"/>
            <w:shd w:val="clear" w:color="auto" w:fill="02AE90"/>
          </w:tcPr>
          <w:p>
            <w:pPr>
              <w:jc w:val="right"/>
              <w:ind w:right="295"/>
              <w:spacing w:after="0"/>
              <w:rPr>
                <w:sz w:val="20"/>
                <w:szCs w:val="20"/>
                <w:color w:val="auto"/>
              </w:rPr>
            </w:pPr>
            <w:r>
              <w:rPr>
                <w:rFonts w:ascii="Times New Roman" w:cs="Times New Roman" w:eastAsia="Times New Roman" w:hAnsi="Times New Roman"/>
                <w:sz w:val="12"/>
                <w:szCs w:val="12"/>
                <w:b w:val="1"/>
                <w:bCs w:val="1"/>
                <w:color w:val="FFFFFF"/>
              </w:rPr>
              <w:t>Value of Initial Fixed $100</w:t>
            </w:r>
          </w:p>
        </w:tc>
        <w:tc>
          <w:tcPr>
            <w:tcW w:w="900" w:type="dxa"/>
            <w:vAlign w:val="bottom"/>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900" w:type="dxa"/>
            <w:vAlign w:val="bottom"/>
            <w:shd w:val="clear" w:color="auto" w:fill="02AE90"/>
          </w:tcPr>
          <w:p>
            <w:pPr>
              <w:spacing w:after="0"/>
              <w:rPr>
                <w:sz w:val="12"/>
                <w:szCs w:val="12"/>
                <w:color w:val="auto"/>
              </w:rPr>
            </w:pPr>
          </w:p>
        </w:tc>
        <w:tc>
          <w:tcPr>
            <w:tcW w:w="100" w:type="dxa"/>
            <w:vAlign w:val="bottom"/>
            <w:tcBorders>
              <w:right w:val="single" w:sz="8" w:color="02AE90"/>
            </w:tcBorders>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Borders>
              <w:left w:val="single" w:sz="8" w:color="02AE90"/>
            </w:tcBorders>
            <w:shd w:val="clear" w:color="auto" w:fill="02AE90"/>
          </w:tcPr>
          <w:p>
            <w:pPr>
              <w:spacing w:after="0"/>
              <w:rPr>
                <w:sz w:val="14"/>
                <w:szCs w:val="14"/>
                <w:color w:val="auto"/>
              </w:rPr>
            </w:pPr>
          </w:p>
        </w:tc>
        <w:tc>
          <w:tcPr>
            <w:tcW w:w="120" w:type="dxa"/>
            <w:vAlign w:val="bottom"/>
            <w:tcBorders>
              <w:right w:val="single" w:sz="8" w:color="02AE90"/>
            </w:tcBorders>
            <w:shd w:val="clear" w:color="auto" w:fill="02AE90"/>
          </w:tcPr>
          <w:p>
            <w:pPr>
              <w:spacing w:after="0"/>
              <w:rPr>
                <w:sz w:val="14"/>
                <w:szCs w:val="14"/>
                <w:color w:val="auto"/>
              </w:rPr>
            </w:pPr>
          </w:p>
        </w:tc>
        <w:tc>
          <w:tcPr>
            <w:tcW w:w="920" w:type="dxa"/>
            <w:vAlign w:val="bottom"/>
            <w:shd w:val="clear" w:color="auto" w:fill="02AE90"/>
          </w:tcPr>
          <w:p>
            <w:pPr>
              <w:spacing w:after="0"/>
              <w:rPr>
                <w:sz w:val="14"/>
                <w:szCs w:val="14"/>
                <w:color w:val="auto"/>
              </w:rPr>
            </w:pPr>
          </w:p>
        </w:tc>
        <w:tc>
          <w:tcPr>
            <w:tcW w:w="120" w:type="dxa"/>
            <w:vAlign w:val="bottom"/>
            <w:tcBorders>
              <w:right w:val="single" w:sz="8" w:color="02AE90"/>
            </w:tcBorders>
            <w:shd w:val="clear" w:color="auto" w:fill="02AE90"/>
          </w:tcPr>
          <w:p>
            <w:pPr>
              <w:spacing w:after="0"/>
              <w:rPr>
                <w:sz w:val="14"/>
                <w:szCs w:val="14"/>
                <w:color w:val="auto"/>
              </w:rPr>
            </w:pPr>
          </w:p>
        </w:tc>
        <w:tc>
          <w:tcPr>
            <w:tcW w:w="1040" w:type="dxa"/>
            <w:vAlign w:val="bottom"/>
            <w:tcBorders>
              <w:right w:val="single" w:sz="8" w:color="02AE90"/>
            </w:tcBorders>
            <w:shd w:val="clear" w:color="auto" w:fill="02AE90"/>
          </w:tcPr>
          <w:p>
            <w:pPr>
              <w:spacing w:after="0"/>
              <w:rPr>
                <w:sz w:val="14"/>
                <w:szCs w:val="14"/>
                <w:color w:val="auto"/>
              </w:rPr>
            </w:pPr>
          </w:p>
        </w:tc>
        <w:tc>
          <w:tcPr>
            <w:tcW w:w="1020" w:type="dxa"/>
            <w:vAlign w:val="bottom"/>
            <w:tcBorders>
              <w:right w:val="single" w:sz="8" w:color="02AE90"/>
            </w:tcBorders>
            <w:shd w:val="clear" w:color="auto" w:fill="02AE90"/>
          </w:tcPr>
          <w:p>
            <w:pPr>
              <w:spacing w:after="0"/>
              <w:rPr>
                <w:sz w:val="14"/>
                <w:szCs w:val="14"/>
                <w:color w:val="auto"/>
              </w:rPr>
            </w:pPr>
          </w:p>
        </w:tc>
        <w:tc>
          <w:tcPr>
            <w:tcW w:w="1040" w:type="dxa"/>
            <w:vAlign w:val="bottom"/>
            <w:tcBorders>
              <w:right w:val="single" w:sz="8" w:color="02AE90"/>
            </w:tcBorders>
            <w:shd w:val="clear" w:color="auto" w:fill="02AE90"/>
          </w:tcPr>
          <w:p>
            <w:pPr>
              <w:spacing w:after="0"/>
              <w:rPr>
                <w:sz w:val="14"/>
                <w:szCs w:val="14"/>
                <w:color w:val="auto"/>
              </w:rPr>
            </w:pPr>
          </w:p>
        </w:tc>
        <w:tc>
          <w:tcPr>
            <w:tcW w:w="1040" w:type="dxa"/>
            <w:vAlign w:val="bottom"/>
            <w:tcBorders>
              <w:right w:val="single" w:sz="8" w:color="02AE90"/>
            </w:tcBorders>
            <w:shd w:val="clear" w:color="auto" w:fill="02AE90"/>
          </w:tcPr>
          <w:p>
            <w:pPr>
              <w:spacing w:after="0"/>
              <w:rPr>
                <w:sz w:val="14"/>
                <w:szCs w:val="14"/>
                <w:color w:val="auto"/>
              </w:rPr>
            </w:pPr>
          </w:p>
        </w:tc>
        <w:tc>
          <w:tcPr>
            <w:tcW w:w="1020" w:type="dxa"/>
            <w:vAlign w:val="bottom"/>
            <w:tcBorders>
              <w:right w:val="single" w:sz="8" w:color="02AE90"/>
            </w:tcBorders>
            <w:shd w:val="clear" w:color="auto" w:fill="02AE90"/>
          </w:tcPr>
          <w:p>
            <w:pPr>
              <w:spacing w:after="0"/>
              <w:rPr>
                <w:sz w:val="14"/>
                <w:szCs w:val="14"/>
                <w:color w:val="auto"/>
              </w:rPr>
            </w:pPr>
          </w:p>
        </w:tc>
        <w:tc>
          <w:tcPr>
            <w:tcW w:w="2000" w:type="dxa"/>
            <w:vAlign w:val="bottom"/>
            <w:tcBorders>
              <w:right w:val="single" w:sz="8" w:color="02AE90"/>
            </w:tcBorders>
            <w:gridSpan w:val="2"/>
            <w:shd w:val="clear" w:color="auto" w:fill="02AE90"/>
          </w:tcPr>
          <w:p>
            <w:pPr>
              <w:jc w:val="right"/>
              <w:ind w:right="415"/>
              <w:spacing w:after="0"/>
              <w:rPr>
                <w:sz w:val="20"/>
                <w:szCs w:val="20"/>
                <w:color w:val="auto"/>
              </w:rPr>
            </w:pPr>
            <w:r>
              <w:rPr>
                <w:rFonts w:ascii="Times New Roman" w:cs="Times New Roman" w:eastAsia="Times New Roman" w:hAnsi="Times New Roman"/>
                <w:sz w:val="12"/>
                <w:szCs w:val="12"/>
                <w:b w:val="1"/>
                <w:bCs w:val="1"/>
                <w:color w:val="FFFFFF"/>
              </w:rPr>
              <w:t>Investment Based On:</w:t>
            </w:r>
          </w:p>
        </w:tc>
        <w:tc>
          <w:tcPr>
            <w:tcW w:w="900" w:type="dxa"/>
            <w:vAlign w:val="bottom"/>
            <w:shd w:val="clear" w:color="auto" w:fill="02AE90"/>
          </w:tcPr>
          <w:p>
            <w:pPr>
              <w:spacing w:after="0"/>
              <w:rPr>
                <w:sz w:val="14"/>
                <w:szCs w:val="14"/>
                <w:color w:val="auto"/>
              </w:rPr>
            </w:pPr>
          </w:p>
        </w:tc>
        <w:tc>
          <w:tcPr>
            <w:tcW w:w="120" w:type="dxa"/>
            <w:vAlign w:val="bottom"/>
            <w:tcBorders>
              <w:right w:val="single" w:sz="8" w:color="02AE90"/>
            </w:tcBorders>
            <w:shd w:val="clear" w:color="auto" w:fill="02AE90"/>
          </w:tcPr>
          <w:p>
            <w:pPr>
              <w:spacing w:after="0"/>
              <w:rPr>
                <w:sz w:val="14"/>
                <w:szCs w:val="14"/>
                <w:color w:val="auto"/>
              </w:rPr>
            </w:pPr>
          </w:p>
        </w:tc>
        <w:tc>
          <w:tcPr>
            <w:tcW w:w="900" w:type="dxa"/>
            <w:vAlign w:val="bottom"/>
            <w:shd w:val="clear" w:color="auto" w:fill="02AE90"/>
          </w:tcPr>
          <w:p>
            <w:pPr>
              <w:spacing w:after="0"/>
              <w:rPr>
                <w:sz w:val="14"/>
                <w:szCs w:val="14"/>
                <w:color w:val="auto"/>
              </w:rPr>
            </w:pPr>
          </w:p>
        </w:tc>
        <w:tc>
          <w:tcPr>
            <w:tcW w:w="100" w:type="dxa"/>
            <w:vAlign w:val="bottom"/>
            <w:tcBorders>
              <w:right w:val="single" w:sz="8" w:color="02AE90"/>
            </w:tcBorders>
            <w:shd w:val="clear" w:color="auto" w:fill="02AE90"/>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900" w:type="dxa"/>
            <w:vAlign w:val="bottom"/>
            <w:tcBorders>
              <w:left w:val="single" w:sz="8" w:color="02AE90"/>
            </w:tcBorders>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920" w:type="dxa"/>
            <w:vAlign w:val="bottom"/>
            <w:shd w:val="clear" w:color="auto" w:fill="02AE90"/>
          </w:tcPr>
          <w:p>
            <w:pPr>
              <w:jc w:val="center"/>
              <w:spacing w:after="0"/>
              <w:rPr>
                <w:sz w:val="20"/>
                <w:szCs w:val="20"/>
                <w:color w:val="auto"/>
              </w:rPr>
            </w:pPr>
            <w:r>
              <w:rPr>
                <w:rFonts w:ascii="Times New Roman" w:cs="Times New Roman" w:eastAsia="Times New Roman" w:hAnsi="Times New Roman"/>
                <w:sz w:val="12"/>
                <w:szCs w:val="12"/>
                <w:b w:val="1"/>
                <w:bCs w:val="1"/>
                <w:color w:val="FFFFFF"/>
              </w:rPr>
              <w:t>Summary</w:t>
            </w:r>
          </w:p>
        </w:tc>
        <w:tc>
          <w:tcPr>
            <w:tcW w:w="12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spacing w:after="0"/>
              <w:rPr>
                <w:sz w:val="12"/>
                <w:szCs w:val="12"/>
                <w:color w:val="auto"/>
              </w:rPr>
            </w:pPr>
          </w:p>
        </w:tc>
        <w:tc>
          <w:tcPr>
            <w:tcW w:w="102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spacing w:after="0"/>
              <w:rPr>
                <w:sz w:val="12"/>
                <w:szCs w:val="12"/>
                <w:color w:val="auto"/>
              </w:rPr>
            </w:pPr>
          </w:p>
        </w:tc>
        <w:tc>
          <w:tcPr>
            <w:tcW w:w="1040" w:type="dxa"/>
            <w:vAlign w:val="bottom"/>
            <w:tcBorders>
              <w:right w:val="single" w:sz="8" w:color="02AE90"/>
            </w:tcBorders>
            <w:shd w:val="clear" w:color="auto" w:fill="02AE90"/>
          </w:tcPr>
          <w:p>
            <w:pPr>
              <w:jc w:val="center"/>
              <w:ind w:right="55"/>
              <w:spacing w:after="0"/>
              <w:rPr>
                <w:sz w:val="20"/>
                <w:szCs w:val="20"/>
                <w:color w:val="auto"/>
              </w:rPr>
            </w:pPr>
            <w:r>
              <w:rPr>
                <w:rFonts w:ascii="Times New Roman" w:cs="Times New Roman" w:eastAsia="Times New Roman" w:hAnsi="Times New Roman"/>
                <w:sz w:val="12"/>
                <w:szCs w:val="12"/>
                <w:b w:val="1"/>
                <w:bCs w:val="1"/>
                <w:color w:val="FFFFFF"/>
              </w:rPr>
              <w:t>Average</w:t>
            </w:r>
          </w:p>
        </w:tc>
        <w:tc>
          <w:tcPr>
            <w:tcW w:w="1020" w:type="dxa"/>
            <w:vAlign w:val="bottom"/>
            <w:tcBorders>
              <w:right w:val="single" w:sz="8" w:color="02AE90"/>
            </w:tcBorders>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spacing w:after="0"/>
              <w:rPr>
                <w:sz w:val="12"/>
                <w:szCs w:val="12"/>
                <w:color w:val="auto"/>
              </w:rPr>
            </w:pPr>
          </w:p>
        </w:tc>
        <w:tc>
          <w:tcPr>
            <w:tcW w:w="900" w:type="dxa"/>
            <w:vAlign w:val="bottom"/>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900" w:type="dxa"/>
            <w:vAlign w:val="bottom"/>
            <w:shd w:val="clear" w:color="auto" w:fill="02AE90"/>
          </w:tcPr>
          <w:p>
            <w:pPr>
              <w:spacing w:after="0"/>
              <w:rPr>
                <w:sz w:val="12"/>
                <w:szCs w:val="12"/>
                <w:color w:val="auto"/>
              </w:rPr>
            </w:pPr>
          </w:p>
        </w:tc>
        <w:tc>
          <w:tcPr>
            <w:tcW w:w="100" w:type="dxa"/>
            <w:vAlign w:val="bottom"/>
            <w:tcBorders>
              <w:right w:val="single" w:sz="8" w:color="02AE90"/>
            </w:tcBorders>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00" w:type="dxa"/>
            <w:vAlign w:val="bottom"/>
            <w:tcBorders>
              <w:left w:val="single" w:sz="8" w:color="02AE90"/>
            </w:tcBorders>
            <w:shd w:val="clear" w:color="auto" w:fill="02AE90"/>
          </w:tcPr>
          <w:p>
            <w:pPr>
              <w:spacing w:after="0"/>
              <w:rPr>
                <w:sz w:val="11"/>
                <w:szCs w:val="11"/>
                <w:color w:val="auto"/>
              </w:rPr>
            </w:pPr>
          </w:p>
        </w:tc>
        <w:tc>
          <w:tcPr>
            <w:tcW w:w="120" w:type="dxa"/>
            <w:vAlign w:val="bottom"/>
            <w:tcBorders>
              <w:right w:val="single" w:sz="8" w:color="02AE90"/>
            </w:tcBorders>
            <w:shd w:val="clear" w:color="auto" w:fill="02AE90"/>
          </w:tcPr>
          <w:p>
            <w:pPr>
              <w:spacing w:after="0"/>
              <w:rPr>
                <w:sz w:val="11"/>
                <w:szCs w:val="11"/>
                <w:color w:val="auto"/>
              </w:rPr>
            </w:pPr>
          </w:p>
        </w:tc>
        <w:tc>
          <w:tcPr>
            <w:tcW w:w="920" w:type="dxa"/>
            <w:vAlign w:val="bottom"/>
            <w:shd w:val="clear" w:color="auto" w:fill="02AE90"/>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20" w:type="dxa"/>
            <w:vAlign w:val="bottom"/>
            <w:tcBorders>
              <w:right w:val="single" w:sz="8" w:color="02AE90"/>
            </w:tcBorders>
            <w:shd w:val="clear" w:color="auto" w:fill="02AE90"/>
          </w:tcPr>
          <w:p>
            <w:pPr>
              <w:spacing w:after="0"/>
              <w:rPr>
                <w:sz w:val="11"/>
                <w:szCs w:val="11"/>
                <w:color w:val="auto"/>
              </w:rPr>
            </w:pPr>
          </w:p>
        </w:tc>
        <w:tc>
          <w:tcPr>
            <w:tcW w:w="1040" w:type="dxa"/>
            <w:vAlign w:val="bottom"/>
            <w:tcBorders>
              <w:right w:val="single" w:sz="8" w:color="02AE90"/>
            </w:tcBorders>
            <w:shd w:val="clear" w:color="auto" w:fill="02AE90"/>
          </w:tcPr>
          <w:p>
            <w:pPr>
              <w:spacing w:after="0"/>
              <w:rPr>
                <w:sz w:val="11"/>
                <w:szCs w:val="11"/>
                <w:color w:val="auto"/>
              </w:rPr>
            </w:pPr>
          </w:p>
        </w:tc>
        <w:tc>
          <w:tcPr>
            <w:tcW w:w="102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Summary</w:t>
            </w:r>
          </w:p>
        </w:tc>
        <w:tc>
          <w:tcPr>
            <w:tcW w:w="1040" w:type="dxa"/>
            <w:vAlign w:val="bottom"/>
            <w:tcBorders>
              <w:right w:val="single" w:sz="8" w:color="02AE90"/>
            </w:tcBorders>
            <w:shd w:val="clear" w:color="auto" w:fill="02AE90"/>
          </w:tcPr>
          <w:p>
            <w:pPr>
              <w:spacing w:after="0"/>
              <w:rPr>
                <w:sz w:val="11"/>
                <w:szCs w:val="11"/>
                <w:color w:val="auto"/>
              </w:rPr>
            </w:pPr>
          </w:p>
        </w:tc>
        <w:tc>
          <w:tcPr>
            <w:tcW w:w="104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Summary</w:t>
            </w:r>
          </w:p>
        </w:tc>
        <w:tc>
          <w:tcPr>
            <w:tcW w:w="102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w w:val="98"/>
              </w:rPr>
              <w:t>Average</w:t>
            </w:r>
          </w:p>
        </w:tc>
        <w:tc>
          <w:tcPr>
            <w:tcW w:w="1000" w:type="dxa"/>
            <w:vAlign w:val="bottom"/>
            <w:tcBorders>
              <w:right w:val="single" w:sz="8" w:color="02AE90"/>
            </w:tcBorders>
            <w:shd w:val="clear" w:color="auto" w:fill="02AE90"/>
          </w:tcPr>
          <w:p>
            <w:pPr>
              <w:spacing w:after="0"/>
              <w:rPr>
                <w:sz w:val="11"/>
                <w:szCs w:val="11"/>
                <w:color w:val="auto"/>
              </w:rPr>
            </w:pPr>
          </w:p>
        </w:tc>
        <w:tc>
          <w:tcPr>
            <w:tcW w:w="1000" w:type="dxa"/>
            <w:vAlign w:val="bottom"/>
            <w:tcBorders>
              <w:right w:val="single" w:sz="8" w:color="02AE90"/>
            </w:tcBorders>
            <w:shd w:val="clear" w:color="auto" w:fill="02AE90"/>
          </w:tcPr>
          <w:p>
            <w:pPr>
              <w:spacing w:after="0"/>
              <w:rPr>
                <w:sz w:val="11"/>
                <w:szCs w:val="11"/>
                <w:color w:val="auto"/>
              </w:rPr>
            </w:pPr>
          </w:p>
        </w:tc>
        <w:tc>
          <w:tcPr>
            <w:tcW w:w="900" w:type="dxa"/>
            <w:vAlign w:val="bottom"/>
            <w:shd w:val="clear" w:color="auto" w:fill="02AE90"/>
          </w:tcPr>
          <w:p>
            <w:pPr>
              <w:spacing w:after="0"/>
              <w:rPr>
                <w:sz w:val="11"/>
                <w:szCs w:val="11"/>
                <w:color w:val="auto"/>
              </w:rPr>
            </w:pPr>
          </w:p>
        </w:tc>
        <w:tc>
          <w:tcPr>
            <w:tcW w:w="120" w:type="dxa"/>
            <w:vAlign w:val="bottom"/>
            <w:tcBorders>
              <w:right w:val="single" w:sz="8" w:color="02AE90"/>
            </w:tcBorders>
            <w:shd w:val="clear" w:color="auto" w:fill="02AE90"/>
          </w:tcPr>
          <w:p>
            <w:pPr>
              <w:spacing w:after="0"/>
              <w:rPr>
                <w:sz w:val="11"/>
                <w:szCs w:val="11"/>
                <w:color w:val="auto"/>
              </w:rPr>
            </w:pPr>
          </w:p>
        </w:tc>
        <w:tc>
          <w:tcPr>
            <w:tcW w:w="900" w:type="dxa"/>
            <w:vAlign w:val="bottom"/>
            <w:shd w:val="clear" w:color="auto" w:fill="02AE90"/>
          </w:tcPr>
          <w:p>
            <w:pPr>
              <w:spacing w:after="0"/>
              <w:rPr>
                <w:sz w:val="11"/>
                <w:szCs w:val="11"/>
                <w:color w:val="auto"/>
              </w:rPr>
            </w:pPr>
          </w:p>
        </w:tc>
        <w:tc>
          <w:tcPr>
            <w:tcW w:w="100" w:type="dxa"/>
            <w:vAlign w:val="bottom"/>
            <w:tcBorders>
              <w:right w:val="single" w:sz="8" w:color="02AE90"/>
            </w:tcBorders>
            <w:shd w:val="clear" w:color="auto" w:fill="02AE90"/>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Borders>
              <w:left w:val="single" w:sz="8" w:color="02AE90"/>
            </w:tcBorders>
            <w:shd w:val="clear" w:color="auto" w:fill="02AE90"/>
          </w:tcPr>
          <w:p>
            <w:pPr>
              <w:spacing w:after="0"/>
              <w:rPr>
                <w:sz w:val="11"/>
                <w:szCs w:val="11"/>
                <w:color w:val="auto"/>
              </w:rPr>
            </w:pPr>
          </w:p>
        </w:tc>
        <w:tc>
          <w:tcPr>
            <w:tcW w:w="120" w:type="dxa"/>
            <w:vAlign w:val="bottom"/>
            <w:tcBorders>
              <w:right w:val="single" w:sz="8" w:color="02AE90"/>
            </w:tcBorders>
            <w:shd w:val="clear" w:color="auto" w:fill="02AE90"/>
          </w:tcPr>
          <w:p>
            <w:pPr>
              <w:spacing w:after="0"/>
              <w:rPr>
                <w:sz w:val="11"/>
                <w:szCs w:val="11"/>
                <w:color w:val="auto"/>
              </w:rPr>
            </w:pPr>
          </w:p>
        </w:tc>
        <w:tc>
          <w:tcPr>
            <w:tcW w:w="920" w:type="dxa"/>
            <w:vAlign w:val="bottom"/>
            <w:shd w:val="clear" w:color="auto" w:fill="02AE90"/>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FFFFFF"/>
              </w:rPr>
              <w:t>Table Total</w:t>
            </w:r>
          </w:p>
        </w:tc>
        <w:tc>
          <w:tcPr>
            <w:tcW w:w="120" w:type="dxa"/>
            <w:vAlign w:val="bottom"/>
            <w:tcBorders>
              <w:right w:val="single" w:sz="8" w:color="02AE90"/>
            </w:tcBorders>
            <w:shd w:val="clear" w:color="auto" w:fill="02AE90"/>
          </w:tcPr>
          <w:p>
            <w:pPr>
              <w:spacing w:after="0"/>
              <w:rPr>
                <w:sz w:val="11"/>
                <w:szCs w:val="11"/>
                <w:color w:val="auto"/>
              </w:rPr>
            </w:pPr>
          </w:p>
        </w:tc>
        <w:tc>
          <w:tcPr>
            <w:tcW w:w="104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02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04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04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02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Compensation</w:t>
            </w:r>
          </w:p>
        </w:tc>
        <w:tc>
          <w:tcPr>
            <w:tcW w:w="1000" w:type="dxa"/>
            <w:vAlign w:val="bottom"/>
            <w:tcBorders>
              <w:right w:val="single" w:sz="8" w:color="02AE90"/>
            </w:tcBorders>
            <w:shd w:val="clear" w:color="auto" w:fill="02AE90"/>
          </w:tcPr>
          <w:p>
            <w:pPr>
              <w:spacing w:after="0"/>
              <w:rPr>
                <w:sz w:val="11"/>
                <w:szCs w:val="11"/>
                <w:color w:val="auto"/>
              </w:rPr>
            </w:pPr>
          </w:p>
        </w:tc>
        <w:tc>
          <w:tcPr>
            <w:tcW w:w="1000" w:type="dxa"/>
            <w:vAlign w:val="bottom"/>
            <w:tcBorders>
              <w:right w:val="single" w:sz="8" w:color="02AE90"/>
            </w:tcBorders>
            <w:shd w:val="clear" w:color="auto" w:fill="02AE90"/>
          </w:tcPr>
          <w:p>
            <w:pPr>
              <w:jc w:val="center"/>
              <w:ind w:right="35"/>
              <w:spacing w:after="0" w:line="133" w:lineRule="exact"/>
              <w:rPr>
                <w:sz w:val="20"/>
                <w:szCs w:val="20"/>
                <w:color w:val="auto"/>
              </w:rPr>
            </w:pPr>
            <w:r>
              <w:rPr>
                <w:rFonts w:ascii="Times New Roman" w:cs="Times New Roman" w:eastAsia="Times New Roman" w:hAnsi="Times New Roman"/>
                <w:sz w:val="12"/>
                <w:szCs w:val="12"/>
                <w:b w:val="1"/>
                <w:bCs w:val="1"/>
                <w:color w:val="FFFFFF"/>
              </w:rPr>
              <w:t>Peer Group</w:t>
            </w:r>
          </w:p>
        </w:tc>
        <w:tc>
          <w:tcPr>
            <w:tcW w:w="900" w:type="dxa"/>
            <w:vAlign w:val="bottom"/>
            <w:shd w:val="clear" w:color="auto" w:fill="02AE90"/>
          </w:tcPr>
          <w:p>
            <w:pPr>
              <w:spacing w:after="0"/>
              <w:rPr>
                <w:sz w:val="11"/>
                <w:szCs w:val="11"/>
                <w:color w:val="auto"/>
              </w:rPr>
            </w:pPr>
          </w:p>
        </w:tc>
        <w:tc>
          <w:tcPr>
            <w:tcW w:w="120" w:type="dxa"/>
            <w:vAlign w:val="bottom"/>
            <w:tcBorders>
              <w:right w:val="single" w:sz="8" w:color="02AE90"/>
            </w:tcBorders>
            <w:shd w:val="clear" w:color="auto" w:fill="02AE90"/>
          </w:tcPr>
          <w:p>
            <w:pPr>
              <w:spacing w:after="0"/>
              <w:rPr>
                <w:sz w:val="11"/>
                <w:szCs w:val="11"/>
                <w:color w:val="auto"/>
              </w:rPr>
            </w:pPr>
          </w:p>
        </w:tc>
        <w:tc>
          <w:tcPr>
            <w:tcW w:w="900" w:type="dxa"/>
            <w:vAlign w:val="bottom"/>
            <w:shd w:val="clear" w:color="auto" w:fill="02AE90"/>
          </w:tcPr>
          <w:p>
            <w:pPr>
              <w:spacing w:after="0"/>
              <w:rPr>
                <w:sz w:val="11"/>
                <w:szCs w:val="11"/>
                <w:color w:val="auto"/>
              </w:rPr>
            </w:pPr>
          </w:p>
        </w:tc>
        <w:tc>
          <w:tcPr>
            <w:tcW w:w="100" w:type="dxa"/>
            <w:vAlign w:val="bottom"/>
            <w:tcBorders>
              <w:right w:val="single" w:sz="8" w:color="02AE90"/>
            </w:tcBorders>
            <w:shd w:val="clear" w:color="auto" w:fill="02AE90"/>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Borders>
              <w:left w:val="single" w:sz="8" w:color="02AE90"/>
            </w:tcBorders>
            <w:shd w:val="clear" w:color="auto" w:fill="02AE90"/>
          </w:tcPr>
          <w:p>
            <w:pPr>
              <w:spacing w:after="0"/>
              <w:rPr>
                <w:sz w:val="11"/>
                <w:szCs w:val="11"/>
                <w:color w:val="auto"/>
              </w:rPr>
            </w:pPr>
          </w:p>
        </w:tc>
        <w:tc>
          <w:tcPr>
            <w:tcW w:w="120" w:type="dxa"/>
            <w:vAlign w:val="bottom"/>
            <w:tcBorders>
              <w:right w:val="single" w:sz="8" w:color="02AE90"/>
            </w:tcBorders>
            <w:shd w:val="clear" w:color="auto" w:fill="02AE90"/>
          </w:tcPr>
          <w:p>
            <w:pPr>
              <w:spacing w:after="0"/>
              <w:rPr>
                <w:sz w:val="11"/>
                <w:szCs w:val="11"/>
                <w:color w:val="auto"/>
              </w:rPr>
            </w:pPr>
          </w:p>
        </w:tc>
        <w:tc>
          <w:tcPr>
            <w:tcW w:w="920" w:type="dxa"/>
            <w:vAlign w:val="bottom"/>
            <w:shd w:val="clear" w:color="auto" w:fill="02AE90"/>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FFFFFF"/>
                <w:w w:val="99"/>
              </w:rPr>
              <w:t>for Mr.</w:t>
            </w:r>
          </w:p>
        </w:tc>
        <w:tc>
          <w:tcPr>
            <w:tcW w:w="120" w:type="dxa"/>
            <w:vAlign w:val="bottom"/>
            <w:tcBorders>
              <w:right w:val="single" w:sz="8" w:color="02AE90"/>
            </w:tcBorders>
            <w:shd w:val="clear" w:color="auto" w:fill="02AE90"/>
          </w:tcPr>
          <w:p>
            <w:pPr>
              <w:spacing w:after="0"/>
              <w:rPr>
                <w:sz w:val="11"/>
                <w:szCs w:val="11"/>
                <w:color w:val="auto"/>
              </w:rPr>
            </w:pPr>
          </w:p>
        </w:tc>
        <w:tc>
          <w:tcPr>
            <w:tcW w:w="104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Actually Paid</w:t>
            </w:r>
          </w:p>
        </w:tc>
        <w:tc>
          <w:tcPr>
            <w:tcW w:w="102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Table Total</w:t>
            </w:r>
          </w:p>
        </w:tc>
        <w:tc>
          <w:tcPr>
            <w:tcW w:w="104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Actually Paid</w:t>
            </w:r>
          </w:p>
        </w:tc>
        <w:tc>
          <w:tcPr>
            <w:tcW w:w="104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Table Total</w:t>
            </w:r>
          </w:p>
        </w:tc>
        <w:tc>
          <w:tcPr>
            <w:tcW w:w="1020" w:type="dxa"/>
            <w:vAlign w:val="bottom"/>
            <w:tcBorders>
              <w:right w:val="single" w:sz="8" w:color="02AE90"/>
            </w:tcBorders>
            <w:shd w:val="clear" w:color="auto" w:fill="02AE90"/>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FFFFFF"/>
              </w:rPr>
              <w:t>Actually Paid</w:t>
            </w:r>
          </w:p>
        </w:tc>
        <w:tc>
          <w:tcPr>
            <w:tcW w:w="100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Total</w:t>
            </w:r>
          </w:p>
        </w:tc>
        <w:tc>
          <w:tcPr>
            <w:tcW w:w="1000" w:type="dxa"/>
            <w:vAlign w:val="bottom"/>
            <w:tcBorders>
              <w:right w:val="single" w:sz="8" w:color="02AE90"/>
            </w:tcBorders>
            <w:shd w:val="clear" w:color="auto" w:fill="02AE90"/>
          </w:tcPr>
          <w:p>
            <w:pPr>
              <w:jc w:val="center"/>
              <w:ind w:right="55"/>
              <w:spacing w:after="0" w:line="133" w:lineRule="exact"/>
              <w:rPr>
                <w:sz w:val="20"/>
                <w:szCs w:val="20"/>
                <w:color w:val="auto"/>
              </w:rPr>
            </w:pPr>
            <w:r>
              <w:rPr>
                <w:rFonts w:ascii="Times New Roman" w:cs="Times New Roman" w:eastAsia="Times New Roman" w:hAnsi="Times New Roman"/>
                <w:sz w:val="12"/>
                <w:szCs w:val="12"/>
                <w:b w:val="1"/>
                <w:bCs w:val="1"/>
                <w:color w:val="FFFFFF"/>
              </w:rPr>
              <w:t>Total</w:t>
            </w:r>
          </w:p>
        </w:tc>
        <w:tc>
          <w:tcPr>
            <w:tcW w:w="900" w:type="dxa"/>
            <w:vAlign w:val="bottom"/>
            <w:shd w:val="clear" w:color="auto" w:fill="02AE90"/>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FFFFFF"/>
                <w:w w:val="99"/>
              </w:rPr>
              <w:t>Net</w:t>
            </w:r>
          </w:p>
        </w:tc>
        <w:tc>
          <w:tcPr>
            <w:tcW w:w="120" w:type="dxa"/>
            <w:vAlign w:val="bottom"/>
            <w:tcBorders>
              <w:right w:val="single" w:sz="8" w:color="02AE90"/>
            </w:tcBorders>
            <w:shd w:val="clear" w:color="auto" w:fill="02AE90"/>
          </w:tcPr>
          <w:p>
            <w:pPr>
              <w:spacing w:after="0"/>
              <w:rPr>
                <w:sz w:val="11"/>
                <w:szCs w:val="11"/>
                <w:color w:val="auto"/>
              </w:rPr>
            </w:pPr>
          </w:p>
        </w:tc>
        <w:tc>
          <w:tcPr>
            <w:tcW w:w="1000" w:type="dxa"/>
            <w:vAlign w:val="bottom"/>
            <w:tcBorders>
              <w:right w:val="single" w:sz="8" w:color="02AE90"/>
            </w:tcBorders>
            <w:gridSpan w:val="2"/>
            <w:shd w:val="clear" w:color="auto" w:fill="02AE90"/>
          </w:tcPr>
          <w:p>
            <w:pPr>
              <w:jc w:val="center"/>
              <w:ind w:right="160"/>
              <w:spacing w:after="0" w:line="133" w:lineRule="exact"/>
              <w:rPr>
                <w:sz w:val="20"/>
                <w:szCs w:val="20"/>
                <w:color w:val="auto"/>
              </w:rPr>
            </w:pPr>
            <w:r>
              <w:rPr>
                <w:rFonts w:ascii="Times New Roman" w:cs="Times New Roman" w:eastAsia="Times New Roman" w:hAnsi="Times New Roman"/>
                <w:sz w:val="12"/>
                <w:szCs w:val="12"/>
                <w:b w:val="1"/>
                <w:bCs w:val="1"/>
                <w:color w:val="FFFFFF"/>
              </w:rPr>
              <w:t>Adjusted</w:t>
            </w:r>
          </w:p>
        </w:tc>
        <w:tc>
          <w:tcPr>
            <w:tcW w:w="0" w:type="dxa"/>
            <w:vAlign w:val="bottom"/>
          </w:tcPr>
          <w:p>
            <w:pPr>
              <w:spacing w:after="0"/>
              <w:rPr>
                <w:sz w:val="1"/>
                <w:szCs w:val="1"/>
                <w:color w:val="auto"/>
              </w:rPr>
            </w:pPr>
          </w:p>
        </w:tc>
      </w:tr>
      <w:tr>
        <w:trPr>
          <w:trHeight w:val="126"/>
        </w:trPr>
        <w:tc>
          <w:tcPr>
            <w:tcW w:w="900" w:type="dxa"/>
            <w:vAlign w:val="bottom"/>
            <w:tcBorders>
              <w:left w:val="single" w:sz="8" w:color="02AE90"/>
            </w:tcBorders>
            <w:vMerge w:val="restart"/>
            <w:shd w:val="clear" w:color="auto" w:fill="02AE90"/>
          </w:tcPr>
          <w:p>
            <w:pPr>
              <w:jc w:val="center"/>
              <w:ind w:right="273"/>
              <w:spacing w:after="0"/>
              <w:rPr>
                <w:sz w:val="20"/>
                <w:szCs w:val="20"/>
                <w:color w:val="auto"/>
              </w:rPr>
            </w:pPr>
            <w:r>
              <w:rPr>
                <w:rFonts w:ascii="Times New Roman" w:cs="Times New Roman" w:eastAsia="Times New Roman" w:hAnsi="Times New Roman"/>
                <w:sz w:val="12"/>
                <w:szCs w:val="12"/>
                <w:b w:val="1"/>
                <w:bCs w:val="1"/>
                <w:color w:val="FFFFFF"/>
                <w:w w:val="88"/>
              </w:rPr>
              <w:t xml:space="preserve">Year </w:t>
            </w:r>
            <w:r>
              <w:rPr>
                <w:rFonts w:ascii="Times New Roman" w:cs="Times New Roman" w:eastAsia="Times New Roman" w:hAnsi="Times New Roman"/>
                <w:sz w:val="16"/>
                <w:szCs w:val="16"/>
                <w:b w:val="1"/>
                <w:bCs w:val="1"/>
                <w:color w:val="FFFFFF"/>
                <w:w w:val="88"/>
                <w:vertAlign w:val="superscript"/>
              </w:rPr>
              <w:t>(1)</w:t>
            </w:r>
          </w:p>
        </w:tc>
        <w:tc>
          <w:tcPr>
            <w:tcW w:w="120" w:type="dxa"/>
            <w:vAlign w:val="bottom"/>
            <w:tcBorders>
              <w:right w:val="single" w:sz="8" w:color="02AE90"/>
            </w:tcBorders>
            <w:shd w:val="clear" w:color="auto" w:fill="02AE90"/>
          </w:tcPr>
          <w:p>
            <w:pPr>
              <w:spacing w:after="0"/>
              <w:rPr>
                <w:sz w:val="10"/>
                <w:szCs w:val="10"/>
                <w:color w:val="auto"/>
              </w:rPr>
            </w:pPr>
          </w:p>
        </w:tc>
        <w:tc>
          <w:tcPr>
            <w:tcW w:w="920" w:type="dxa"/>
            <w:vAlign w:val="bottom"/>
            <w:shd w:val="clear" w:color="auto" w:fill="02AE90"/>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FFFFFF"/>
              </w:rPr>
              <w:t>Goldberg</w:t>
            </w: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jc w:val="center"/>
              <w:ind w:right="75"/>
              <w:spacing w:after="0" w:line="126" w:lineRule="exact"/>
              <w:rPr>
                <w:sz w:val="20"/>
                <w:szCs w:val="20"/>
                <w:color w:val="auto"/>
              </w:rPr>
            </w:pPr>
            <w:r>
              <w:rPr>
                <w:rFonts w:ascii="Times New Roman" w:cs="Times New Roman" w:eastAsia="Times New Roman" w:hAnsi="Times New Roman"/>
                <w:sz w:val="12"/>
                <w:szCs w:val="12"/>
                <w:b w:val="1"/>
                <w:bCs w:val="1"/>
                <w:color w:val="FFFFFF"/>
              </w:rPr>
              <w:t>to Mr. Goldberg</w:t>
            </w:r>
          </w:p>
        </w:tc>
        <w:tc>
          <w:tcPr>
            <w:tcW w:w="1020" w:type="dxa"/>
            <w:vAlign w:val="bottom"/>
            <w:tcBorders>
              <w:right w:val="single" w:sz="8" w:color="02AE90"/>
            </w:tcBorders>
            <w:shd w:val="clear" w:color="auto" w:fill="02AE90"/>
          </w:tcPr>
          <w:p>
            <w:pPr>
              <w:jc w:val="center"/>
              <w:ind w:right="55"/>
              <w:spacing w:after="0" w:line="126" w:lineRule="exact"/>
              <w:rPr>
                <w:sz w:val="20"/>
                <w:szCs w:val="20"/>
                <w:color w:val="auto"/>
              </w:rPr>
            </w:pPr>
            <w:r>
              <w:rPr>
                <w:rFonts w:ascii="Times New Roman" w:cs="Times New Roman" w:eastAsia="Times New Roman" w:hAnsi="Times New Roman"/>
                <w:sz w:val="12"/>
                <w:szCs w:val="12"/>
                <w:b w:val="1"/>
                <w:bCs w:val="1"/>
                <w:color w:val="FFFFFF"/>
              </w:rPr>
              <w:t>for Mr. Kaufer</w:t>
            </w:r>
          </w:p>
        </w:tc>
        <w:tc>
          <w:tcPr>
            <w:tcW w:w="1040" w:type="dxa"/>
            <w:vAlign w:val="bottom"/>
            <w:tcBorders>
              <w:right w:val="single" w:sz="8" w:color="02AE90"/>
            </w:tcBorders>
            <w:shd w:val="clear" w:color="auto" w:fill="02AE90"/>
          </w:tcPr>
          <w:p>
            <w:pPr>
              <w:jc w:val="center"/>
              <w:ind w:right="55"/>
              <w:spacing w:after="0" w:line="126" w:lineRule="exact"/>
              <w:rPr>
                <w:sz w:val="20"/>
                <w:szCs w:val="20"/>
                <w:color w:val="auto"/>
              </w:rPr>
            </w:pPr>
            <w:r>
              <w:rPr>
                <w:rFonts w:ascii="Times New Roman" w:cs="Times New Roman" w:eastAsia="Times New Roman" w:hAnsi="Times New Roman"/>
                <w:sz w:val="12"/>
                <w:szCs w:val="12"/>
                <w:b w:val="1"/>
                <w:bCs w:val="1"/>
                <w:color w:val="FFFFFF"/>
                <w:w w:val="99"/>
              </w:rPr>
              <w:t>to Mr. Kaufer</w:t>
            </w:r>
          </w:p>
        </w:tc>
        <w:tc>
          <w:tcPr>
            <w:tcW w:w="1040" w:type="dxa"/>
            <w:vAlign w:val="bottom"/>
            <w:tcBorders>
              <w:right w:val="single" w:sz="8" w:color="02AE90"/>
            </w:tcBorders>
            <w:shd w:val="clear" w:color="auto" w:fill="02AE90"/>
          </w:tcPr>
          <w:p>
            <w:pPr>
              <w:jc w:val="center"/>
              <w:ind w:right="55"/>
              <w:spacing w:after="0" w:line="126" w:lineRule="exact"/>
              <w:rPr>
                <w:sz w:val="20"/>
                <w:szCs w:val="20"/>
                <w:color w:val="auto"/>
              </w:rPr>
            </w:pPr>
            <w:r>
              <w:rPr>
                <w:rFonts w:ascii="Times New Roman" w:cs="Times New Roman" w:eastAsia="Times New Roman" w:hAnsi="Times New Roman"/>
                <w:sz w:val="12"/>
                <w:szCs w:val="12"/>
                <w:b w:val="1"/>
                <w:bCs w:val="1"/>
                <w:color w:val="FFFFFF"/>
              </w:rPr>
              <w:t>for Non-PEO</w:t>
            </w:r>
          </w:p>
        </w:tc>
        <w:tc>
          <w:tcPr>
            <w:tcW w:w="1020" w:type="dxa"/>
            <w:vAlign w:val="bottom"/>
            <w:tcBorders>
              <w:right w:val="single" w:sz="8" w:color="02AE90"/>
            </w:tcBorders>
            <w:shd w:val="clear" w:color="auto" w:fill="02AE90"/>
          </w:tcPr>
          <w:p>
            <w:pPr>
              <w:jc w:val="center"/>
              <w:ind w:right="55"/>
              <w:spacing w:after="0" w:line="126" w:lineRule="exact"/>
              <w:rPr>
                <w:sz w:val="20"/>
                <w:szCs w:val="20"/>
                <w:color w:val="auto"/>
              </w:rPr>
            </w:pPr>
            <w:r>
              <w:rPr>
                <w:rFonts w:ascii="Times New Roman" w:cs="Times New Roman" w:eastAsia="Times New Roman" w:hAnsi="Times New Roman"/>
                <w:sz w:val="12"/>
                <w:szCs w:val="12"/>
                <w:b w:val="1"/>
                <w:bCs w:val="1"/>
                <w:color w:val="FFFFFF"/>
              </w:rPr>
              <w:t>to Non-PEO</w:t>
            </w:r>
          </w:p>
        </w:tc>
        <w:tc>
          <w:tcPr>
            <w:tcW w:w="1000" w:type="dxa"/>
            <w:vAlign w:val="bottom"/>
            <w:tcBorders>
              <w:right w:val="single" w:sz="8" w:color="02AE90"/>
            </w:tcBorders>
            <w:shd w:val="clear" w:color="auto" w:fill="02AE90"/>
          </w:tcPr>
          <w:p>
            <w:pPr>
              <w:jc w:val="center"/>
              <w:ind w:right="55"/>
              <w:spacing w:after="0" w:line="126" w:lineRule="exact"/>
              <w:rPr>
                <w:sz w:val="20"/>
                <w:szCs w:val="20"/>
                <w:color w:val="auto"/>
              </w:rPr>
            </w:pPr>
            <w:r>
              <w:rPr>
                <w:rFonts w:ascii="Times New Roman" w:cs="Times New Roman" w:eastAsia="Times New Roman" w:hAnsi="Times New Roman"/>
                <w:sz w:val="12"/>
                <w:szCs w:val="12"/>
                <w:b w:val="1"/>
                <w:bCs w:val="1"/>
                <w:color w:val="FFFFFF"/>
              </w:rPr>
              <w:t>Shareholder</w:t>
            </w:r>
          </w:p>
        </w:tc>
        <w:tc>
          <w:tcPr>
            <w:tcW w:w="1000" w:type="dxa"/>
            <w:vAlign w:val="bottom"/>
            <w:tcBorders>
              <w:right w:val="single" w:sz="8" w:color="02AE90"/>
            </w:tcBorders>
            <w:shd w:val="clear" w:color="auto" w:fill="02AE90"/>
          </w:tcPr>
          <w:p>
            <w:pPr>
              <w:jc w:val="center"/>
              <w:ind w:right="35"/>
              <w:spacing w:after="0" w:line="126" w:lineRule="exact"/>
              <w:rPr>
                <w:sz w:val="20"/>
                <w:szCs w:val="20"/>
                <w:color w:val="auto"/>
              </w:rPr>
            </w:pPr>
            <w:r>
              <w:rPr>
                <w:rFonts w:ascii="Times New Roman" w:cs="Times New Roman" w:eastAsia="Times New Roman" w:hAnsi="Times New Roman"/>
                <w:sz w:val="12"/>
                <w:szCs w:val="12"/>
                <w:b w:val="1"/>
                <w:bCs w:val="1"/>
                <w:color w:val="FFFFFF"/>
              </w:rPr>
              <w:t>Shareholder</w:t>
            </w:r>
          </w:p>
        </w:tc>
        <w:tc>
          <w:tcPr>
            <w:tcW w:w="900" w:type="dxa"/>
            <w:vAlign w:val="bottom"/>
            <w:shd w:val="clear" w:color="auto" w:fill="02AE90"/>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FFFFFF"/>
              </w:rPr>
              <w:t>Income (Loss)</w:t>
            </w:r>
          </w:p>
        </w:tc>
        <w:tc>
          <w:tcPr>
            <w:tcW w:w="12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gridSpan w:val="2"/>
            <w:shd w:val="clear" w:color="auto" w:fill="02AE90"/>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FFFFFF"/>
              </w:rPr>
              <w:t>EBITDA ($) (in</w:t>
            </w:r>
          </w:p>
        </w:tc>
        <w:tc>
          <w:tcPr>
            <w:tcW w:w="0" w:type="dxa"/>
            <w:vAlign w:val="bottom"/>
          </w:tcPr>
          <w:p>
            <w:pPr>
              <w:spacing w:after="0"/>
              <w:rPr>
                <w:sz w:val="1"/>
                <w:szCs w:val="1"/>
                <w:color w:val="auto"/>
              </w:rPr>
            </w:pPr>
          </w:p>
        </w:tc>
      </w:tr>
      <w:tr>
        <w:trPr>
          <w:trHeight w:val="173"/>
        </w:trPr>
        <w:tc>
          <w:tcPr>
            <w:tcW w:w="900" w:type="dxa"/>
            <w:vAlign w:val="bottom"/>
            <w:tcBorders>
              <w:left w:val="single" w:sz="8" w:color="02AE90"/>
            </w:tcBorders>
            <w:vMerge w:val="continue"/>
            <w:shd w:val="clear" w:color="auto" w:fill="02AE90"/>
          </w:tcPr>
          <w:p>
            <w:pPr>
              <w:spacing w:after="0"/>
              <w:rPr>
                <w:sz w:val="15"/>
                <w:szCs w:val="15"/>
                <w:color w:val="auto"/>
              </w:rPr>
            </w:pPr>
          </w:p>
        </w:tc>
        <w:tc>
          <w:tcPr>
            <w:tcW w:w="120" w:type="dxa"/>
            <w:vAlign w:val="bottom"/>
            <w:tcBorders>
              <w:right w:val="single" w:sz="8" w:color="02AE90"/>
            </w:tcBorders>
            <w:shd w:val="clear" w:color="auto" w:fill="02AE90"/>
          </w:tcPr>
          <w:p>
            <w:pPr>
              <w:spacing w:after="0"/>
              <w:rPr>
                <w:sz w:val="15"/>
                <w:szCs w:val="15"/>
                <w:color w:val="auto"/>
              </w:rPr>
            </w:pPr>
          </w:p>
        </w:tc>
        <w:tc>
          <w:tcPr>
            <w:tcW w:w="920" w:type="dxa"/>
            <w:vAlign w:val="bottom"/>
            <w:shd w:val="clear" w:color="auto" w:fill="02AE90"/>
          </w:tcPr>
          <w:p>
            <w:pPr>
              <w:jc w:val="center"/>
              <w:spacing w:after="0" w:line="173" w:lineRule="exact"/>
              <w:rPr>
                <w:sz w:val="20"/>
                <w:szCs w:val="20"/>
                <w:color w:val="auto"/>
              </w:rPr>
            </w:pPr>
            <w:r>
              <w:rPr>
                <w:rFonts w:ascii="Times New Roman" w:cs="Times New Roman" w:eastAsia="Times New Roman" w:hAnsi="Times New Roman"/>
                <w:sz w:val="12"/>
                <w:szCs w:val="12"/>
                <w:b w:val="1"/>
                <w:bCs w:val="1"/>
                <w:color w:val="FFFFFF"/>
                <w:w w:val="97"/>
              </w:rPr>
              <w:t xml:space="preserve">PEO ($) </w:t>
            </w:r>
            <w:r>
              <w:rPr>
                <w:rFonts w:ascii="Times New Roman" w:cs="Times New Roman" w:eastAsia="Times New Roman" w:hAnsi="Times New Roman"/>
                <w:sz w:val="16"/>
                <w:szCs w:val="16"/>
                <w:b w:val="1"/>
                <w:bCs w:val="1"/>
                <w:color w:val="FFFFFF"/>
                <w:w w:val="97"/>
                <w:vertAlign w:val="superscript"/>
              </w:rPr>
              <w:t>(2)</w:t>
            </w:r>
          </w:p>
        </w:tc>
        <w:tc>
          <w:tcPr>
            <w:tcW w:w="120" w:type="dxa"/>
            <w:vAlign w:val="bottom"/>
            <w:tcBorders>
              <w:right w:val="single" w:sz="8" w:color="02AE90"/>
            </w:tcBorders>
            <w:shd w:val="clear" w:color="auto" w:fill="02AE90"/>
          </w:tcPr>
          <w:p>
            <w:pPr>
              <w:spacing w:after="0"/>
              <w:rPr>
                <w:sz w:val="15"/>
                <w:szCs w:val="15"/>
                <w:color w:val="auto"/>
              </w:rPr>
            </w:pPr>
          </w:p>
        </w:tc>
        <w:tc>
          <w:tcPr>
            <w:tcW w:w="1040" w:type="dxa"/>
            <w:vAlign w:val="bottom"/>
            <w:tcBorders>
              <w:right w:val="single" w:sz="8" w:color="02AE90"/>
            </w:tcBorders>
            <w:shd w:val="clear" w:color="auto" w:fill="02AE90"/>
          </w:tcPr>
          <w:p>
            <w:pPr>
              <w:jc w:val="center"/>
              <w:ind w:right="75"/>
              <w:spacing w:after="0" w:line="173" w:lineRule="exact"/>
              <w:rPr>
                <w:sz w:val="20"/>
                <w:szCs w:val="20"/>
                <w:color w:val="auto"/>
              </w:rPr>
            </w:pPr>
            <w:r>
              <w:rPr>
                <w:rFonts w:ascii="Times New Roman" w:cs="Times New Roman" w:eastAsia="Times New Roman" w:hAnsi="Times New Roman"/>
                <w:sz w:val="12"/>
                <w:szCs w:val="12"/>
                <w:b w:val="1"/>
                <w:bCs w:val="1"/>
                <w:color w:val="FFFFFF"/>
                <w:w w:val="94"/>
              </w:rPr>
              <w:t xml:space="preserve">PEO ($) </w:t>
            </w:r>
            <w:r>
              <w:rPr>
                <w:rFonts w:ascii="Times New Roman" w:cs="Times New Roman" w:eastAsia="Times New Roman" w:hAnsi="Times New Roman"/>
                <w:sz w:val="16"/>
                <w:szCs w:val="16"/>
                <w:b w:val="1"/>
                <w:bCs w:val="1"/>
                <w:color w:val="FFFFFF"/>
                <w:w w:val="94"/>
                <w:vertAlign w:val="superscript"/>
              </w:rPr>
              <w:t>(3)</w:t>
            </w:r>
          </w:p>
        </w:tc>
        <w:tc>
          <w:tcPr>
            <w:tcW w:w="1020" w:type="dxa"/>
            <w:vAlign w:val="bottom"/>
            <w:tcBorders>
              <w:right w:val="single" w:sz="8" w:color="02AE90"/>
            </w:tcBorders>
            <w:shd w:val="clear" w:color="auto" w:fill="02AE90"/>
          </w:tcPr>
          <w:p>
            <w:pPr>
              <w:jc w:val="center"/>
              <w:ind w:right="75"/>
              <w:spacing w:after="0" w:line="173" w:lineRule="exact"/>
              <w:rPr>
                <w:sz w:val="20"/>
                <w:szCs w:val="20"/>
                <w:color w:val="auto"/>
              </w:rPr>
            </w:pPr>
            <w:r>
              <w:rPr>
                <w:rFonts w:ascii="Times New Roman" w:cs="Times New Roman" w:eastAsia="Times New Roman" w:hAnsi="Times New Roman"/>
                <w:sz w:val="12"/>
                <w:szCs w:val="12"/>
                <w:b w:val="1"/>
                <w:bCs w:val="1"/>
                <w:color w:val="FFFFFF"/>
                <w:w w:val="97"/>
              </w:rPr>
              <w:t xml:space="preserve">PEO ($) </w:t>
            </w:r>
            <w:r>
              <w:rPr>
                <w:rFonts w:ascii="Times New Roman" w:cs="Times New Roman" w:eastAsia="Times New Roman" w:hAnsi="Times New Roman"/>
                <w:sz w:val="16"/>
                <w:szCs w:val="16"/>
                <w:b w:val="1"/>
                <w:bCs w:val="1"/>
                <w:color w:val="FFFFFF"/>
                <w:w w:val="97"/>
                <w:vertAlign w:val="superscript"/>
              </w:rPr>
              <w:t>(2)</w:t>
            </w:r>
          </w:p>
        </w:tc>
        <w:tc>
          <w:tcPr>
            <w:tcW w:w="1040" w:type="dxa"/>
            <w:vAlign w:val="bottom"/>
            <w:tcBorders>
              <w:right w:val="single" w:sz="8" w:color="02AE90"/>
            </w:tcBorders>
            <w:shd w:val="clear" w:color="auto" w:fill="02AE90"/>
          </w:tcPr>
          <w:p>
            <w:pPr>
              <w:jc w:val="center"/>
              <w:ind w:right="55"/>
              <w:spacing w:after="0" w:line="173" w:lineRule="exact"/>
              <w:rPr>
                <w:sz w:val="20"/>
                <w:szCs w:val="20"/>
                <w:color w:val="auto"/>
              </w:rPr>
            </w:pPr>
            <w:r>
              <w:rPr>
                <w:rFonts w:ascii="Times New Roman" w:cs="Times New Roman" w:eastAsia="Times New Roman" w:hAnsi="Times New Roman"/>
                <w:sz w:val="12"/>
                <w:szCs w:val="12"/>
                <w:b w:val="1"/>
                <w:bCs w:val="1"/>
                <w:color w:val="FFFFFF"/>
                <w:w w:val="97"/>
              </w:rPr>
              <w:t xml:space="preserve">PEO ($) </w:t>
            </w:r>
            <w:r>
              <w:rPr>
                <w:rFonts w:ascii="Times New Roman" w:cs="Times New Roman" w:eastAsia="Times New Roman" w:hAnsi="Times New Roman"/>
                <w:sz w:val="16"/>
                <w:szCs w:val="16"/>
                <w:b w:val="1"/>
                <w:bCs w:val="1"/>
                <w:color w:val="FFFFFF"/>
                <w:w w:val="97"/>
                <w:vertAlign w:val="superscript"/>
              </w:rPr>
              <w:t>(3)</w:t>
            </w:r>
          </w:p>
        </w:tc>
        <w:tc>
          <w:tcPr>
            <w:tcW w:w="1040" w:type="dxa"/>
            <w:vAlign w:val="bottom"/>
            <w:tcBorders>
              <w:right w:val="single" w:sz="8" w:color="02AE90"/>
            </w:tcBorders>
            <w:shd w:val="clear" w:color="auto" w:fill="02AE90"/>
          </w:tcPr>
          <w:p>
            <w:pPr>
              <w:jc w:val="center"/>
              <w:ind w:right="75"/>
              <w:spacing w:after="0" w:line="173" w:lineRule="exact"/>
              <w:rPr>
                <w:sz w:val="20"/>
                <w:szCs w:val="20"/>
                <w:color w:val="auto"/>
              </w:rPr>
            </w:pPr>
            <w:r>
              <w:rPr>
                <w:rFonts w:ascii="Times New Roman" w:cs="Times New Roman" w:eastAsia="Times New Roman" w:hAnsi="Times New Roman"/>
                <w:sz w:val="12"/>
                <w:szCs w:val="12"/>
                <w:b w:val="1"/>
                <w:bCs w:val="1"/>
                <w:color w:val="FFFFFF"/>
                <w:w w:val="98"/>
              </w:rPr>
              <w:t xml:space="preserve">NEOs ($) </w:t>
            </w:r>
            <w:r>
              <w:rPr>
                <w:rFonts w:ascii="Times New Roman" w:cs="Times New Roman" w:eastAsia="Times New Roman" w:hAnsi="Times New Roman"/>
                <w:sz w:val="16"/>
                <w:szCs w:val="16"/>
                <w:b w:val="1"/>
                <w:bCs w:val="1"/>
                <w:color w:val="FFFFFF"/>
                <w:w w:val="98"/>
                <w:vertAlign w:val="superscript"/>
              </w:rPr>
              <w:t>(2)</w:t>
            </w:r>
          </w:p>
        </w:tc>
        <w:tc>
          <w:tcPr>
            <w:tcW w:w="1020" w:type="dxa"/>
            <w:vAlign w:val="bottom"/>
            <w:tcBorders>
              <w:right w:val="single" w:sz="8" w:color="02AE90"/>
            </w:tcBorders>
            <w:shd w:val="clear" w:color="auto" w:fill="02AE90"/>
          </w:tcPr>
          <w:p>
            <w:pPr>
              <w:jc w:val="center"/>
              <w:ind w:right="55"/>
              <w:spacing w:after="0" w:line="173" w:lineRule="exact"/>
              <w:rPr>
                <w:sz w:val="20"/>
                <w:szCs w:val="20"/>
                <w:color w:val="auto"/>
              </w:rPr>
            </w:pPr>
            <w:r>
              <w:rPr>
                <w:rFonts w:ascii="Times New Roman" w:cs="Times New Roman" w:eastAsia="Times New Roman" w:hAnsi="Times New Roman"/>
                <w:sz w:val="12"/>
                <w:szCs w:val="12"/>
                <w:b w:val="1"/>
                <w:bCs w:val="1"/>
                <w:color w:val="FFFFFF"/>
                <w:w w:val="98"/>
              </w:rPr>
              <w:t xml:space="preserve">NEOs ($) </w:t>
            </w:r>
            <w:r>
              <w:rPr>
                <w:rFonts w:ascii="Times New Roman" w:cs="Times New Roman" w:eastAsia="Times New Roman" w:hAnsi="Times New Roman"/>
                <w:sz w:val="16"/>
                <w:szCs w:val="16"/>
                <w:b w:val="1"/>
                <w:bCs w:val="1"/>
                <w:color w:val="FFFFFF"/>
                <w:w w:val="98"/>
                <w:vertAlign w:val="superscript"/>
              </w:rPr>
              <w:t>(3)</w:t>
            </w:r>
          </w:p>
        </w:tc>
        <w:tc>
          <w:tcPr>
            <w:tcW w:w="1000" w:type="dxa"/>
            <w:vAlign w:val="bottom"/>
            <w:tcBorders>
              <w:right w:val="single" w:sz="8" w:color="02AE90"/>
            </w:tcBorders>
            <w:shd w:val="clear" w:color="auto" w:fill="02AE90"/>
          </w:tcPr>
          <w:p>
            <w:pPr>
              <w:jc w:val="center"/>
              <w:ind w:right="55"/>
              <w:spacing w:after="0" w:line="173" w:lineRule="exact"/>
              <w:rPr>
                <w:sz w:val="20"/>
                <w:szCs w:val="20"/>
                <w:color w:val="auto"/>
              </w:rPr>
            </w:pPr>
            <w:r>
              <w:rPr>
                <w:rFonts w:ascii="Times New Roman" w:cs="Times New Roman" w:eastAsia="Times New Roman" w:hAnsi="Times New Roman"/>
                <w:sz w:val="12"/>
                <w:szCs w:val="12"/>
                <w:b w:val="1"/>
                <w:bCs w:val="1"/>
                <w:color w:val="FFFFFF"/>
                <w:w w:val="98"/>
              </w:rPr>
              <w:t xml:space="preserve">Return ($) </w:t>
            </w:r>
            <w:r>
              <w:rPr>
                <w:rFonts w:ascii="Times New Roman" w:cs="Times New Roman" w:eastAsia="Times New Roman" w:hAnsi="Times New Roman"/>
                <w:sz w:val="16"/>
                <w:szCs w:val="16"/>
                <w:b w:val="1"/>
                <w:bCs w:val="1"/>
                <w:color w:val="FFFFFF"/>
                <w:w w:val="98"/>
                <w:vertAlign w:val="superscript"/>
              </w:rPr>
              <w:t>(4)</w:t>
            </w:r>
          </w:p>
        </w:tc>
        <w:tc>
          <w:tcPr>
            <w:tcW w:w="1000" w:type="dxa"/>
            <w:vAlign w:val="bottom"/>
            <w:tcBorders>
              <w:right w:val="single" w:sz="8" w:color="02AE90"/>
            </w:tcBorders>
            <w:shd w:val="clear" w:color="auto" w:fill="02AE90"/>
          </w:tcPr>
          <w:p>
            <w:pPr>
              <w:jc w:val="center"/>
              <w:ind w:right="55"/>
              <w:spacing w:after="0" w:line="173" w:lineRule="exact"/>
              <w:rPr>
                <w:sz w:val="20"/>
                <w:szCs w:val="20"/>
                <w:color w:val="auto"/>
              </w:rPr>
            </w:pPr>
            <w:r>
              <w:rPr>
                <w:rFonts w:ascii="Times New Roman" w:cs="Times New Roman" w:eastAsia="Times New Roman" w:hAnsi="Times New Roman"/>
                <w:sz w:val="12"/>
                <w:szCs w:val="12"/>
                <w:b w:val="1"/>
                <w:bCs w:val="1"/>
                <w:color w:val="FFFFFF"/>
                <w:w w:val="98"/>
              </w:rPr>
              <w:t xml:space="preserve">Return ($) </w:t>
            </w:r>
            <w:r>
              <w:rPr>
                <w:rFonts w:ascii="Times New Roman" w:cs="Times New Roman" w:eastAsia="Times New Roman" w:hAnsi="Times New Roman"/>
                <w:sz w:val="16"/>
                <w:szCs w:val="16"/>
                <w:b w:val="1"/>
                <w:bCs w:val="1"/>
                <w:color w:val="FFFFFF"/>
                <w:w w:val="98"/>
                <w:vertAlign w:val="superscript"/>
              </w:rPr>
              <w:t>(4)</w:t>
            </w:r>
          </w:p>
        </w:tc>
        <w:tc>
          <w:tcPr>
            <w:tcW w:w="900" w:type="dxa"/>
            <w:vAlign w:val="bottom"/>
            <w:shd w:val="clear" w:color="auto" w:fill="02AE90"/>
          </w:tcPr>
          <w:p>
            <w:pPr>
              <w:jc w:val="center"/>
              <w:spacing w:after="0"/>
              <w:rPr>
                <w:sz w:val="20"/>
                <w:szCs w:val="20"/>
                <w:color w:val="auto"/>
              </w:rPr>
            </w:pPr>
            <w:r>
              <w:rPr>
                <w:rFonts w:ascii="Times New Roman" w:cs="Times New Roman" w:eastAsia="Times New Roman" w:hAnsi="Times New Roman"/>
                <w:sz w:val="12"/>
                <w:szCs w:val="12"/>
                <w:b w:val="1"/>
                <w:bCs w:val="1"/>
                <w:color w:val="FFFFFF"/>
              </w:rPr>
              <w:t>($) (in millions)</w:t>
            </w:r>
          </w:p>
        </w:tc>
        <w:tc>
          <w:tcPr>
            <w:tcW w:w="120" w:type="dxa"/>
            <w:vAlign w:val="bottom"/>
            <w:tcBorders>
              <w:right w:val="single" w:sz="8" w:color="02AE90"/>
            </w:tcBorders>
            <w:shd w:val="clear" w:color="auto" w:fill="02AE90"/>
          </w:tcPr>
          <w:p>
            <w:pPr>
              <w:spacing w:after="0"/>
              <w:rPr>
                <w:sz w:val="15"/>
                <w:szCs w:val="15"/>
                <w:color w:val="auto"/>
              </w:rPr>
            </w:pPr>
          </w:p>
        </w:tc>
        <w:tc>
          <w:tcPr>
            <w:tcW w:w="1000" w:type="dxa"/>
            <w:vAlign w:val="bottom"/>
            <w:tcBorders>
              <w:right w:val="single" w:sz="8" w:color="02AE90"/>
            </w:tcBorders>
            <w:gridSpan w:val="2"/>
            <w:shd w:val="clear" w:color="auto" w:fill="02AE90"/>
          </w:tcPr>
          <w:p>
            <w:pPr>
              <w:jc w:val="center"/>
              <w:ind w:right="120"/>
              <w:spacing w:after="0" w:line="173" w:lineRule="exact"/>
              <w:rPr>
                <w:sz w:val="20"/>
                <w:szCs w:val="20"/>
                <w:color w:val="auto"/>
              </w:rPr>
            </w:pPr>
            <w:r>
              <w:rPr>
                <w:rFonts w:ascii="Times New Roman" w:cs="Times New Roman" w:eastAsia="Times New Roman" w:hAnsi="Times New Roman"/>
                <w:sz w:val="12"/>
                <w:szCs w:val="12"/>
                <w:b w:val="1"/>
                <w:bCs w:val="1"/>
                <w:color w:val="FFFFFF"/>
                <w:w w:val="99"/>
              </w:rPr>
              <w:t xml:space="preserve">millions) </w:t>
            </w:r>
            <w:r>
              <w:rPr>
                <w:rFonts w:ascii="Times New Roman" w:cs="Times New Roman" w:eastAsia="Times New Roman" w:hAnsi="Times New Roman"/>
                <w:sz w:val="16"/>
                <w:szCs w:val="16"/>
                <w:b w:val="1"/>
                <w:bCs w:val="1"/>
                <w:color w:val="FFFFFF"/>
                <w:w w:val="99"/>
                <w:vertAlign w:val="superscript"/>
              </w:rPr>
              <w:t>(5)</w:t>
            </w:r>
          </w:p>
        </w:tc>
        <w:tc>
          <w:tcPr>
            <w:tcW w:w="0" w:type="dxa"/>
            <w:vAlign w:val="bottom"/>
          </w:tcPr>
          <w:p>
            <w:pPr>
              <w:spacing w:after="0"/>
              <w:rPr>
                <w:sz w:val="1"/>
                <w:szCs w:val="1"/>
                <w:color w:val="auto"/>
              </w:rPr>
            </w:pPr>
          </w:p>
        </w:tc>
      </w:tr>
      <w:tr>
        <w:trPr>
          <w:trHeight w:val="173"/>
        </w:trPr>
        <w:tc>
          <w:tcPr>
            <w:tcW w:w="900" w:type="dxa"/>
            <w:vAlign w:val="bottom"/>
            <w:tcBorders>
              <w:left w:val="single" w:sz="8" w:color="02AE90"/>
            </w:tcBorders>
            <w:shd w:val="clear" w:color="auto" w:fill="02AE90"/>
          </w:tcPr>
          <w:p>
            <w:pPr>
              <w:ind w:left="100"/>
              <w:spacing w:after="0"/>
              <w:rPr>
                <w:sz w:val="20"/>
                <w:szCs w:val="20"/>
                <w:color w:val="auto"/>
              </w:rPr>
            </w:pPr>
            <w:r>
              <w:rPr>
                <w:rFonts w:ascii="Times New Roman" w:cs="Times New Roman" w:eastAsia="Times New Roman" w:hAnsi="Times New Roman"/>
                <w:sz w:val="12"/>
                <w:szCs w:val="12"/>
                <w:b w:val="1"/>
                <w:bCs w:val="1"/>
                <w:color w:val="FFFFFF"/>
              </w:rPr>
              <w:t>(a)</w:t>
            </w:r>
          </w:p>
        </w:tc>
        <w:tc>
          <w:tcPr>
            <w:tcW w:w="120" w:type="dxa"/>
            <w:vAlign w:val="bottom"/>
            <w:tcBorders>
              <w:right w:val="single" w:sz="8" w:color="02AE90"/>
            </w:tcBorders>
            <w:shd w:val="clear" w:color="auto" w:fill="02AE90"/>
          </w:tcPr>
          <w:p>
            <w:pPr>
              <w:spacing w:after="0"/>
              <w:rPr>
                <w:sz w:val="15"/>
                <w:szCs w:val="15"/>
                <w:color w:val="auto"/>
              </w:rPr>
            </w:pPr>
          </w:p>
        </w:tc>
        <w:tc>
          <w:tcPr>
            <w:tcW w:w="920" w:type="dxa"/>
            <w:vAlign w:val="bottom"/>
            <w:shd w:val="clear" w:color="auto" w:fill="02AE90"/>
          </w:tcPr>
          <w:p>
            <w:pPr>
              <w:jc w:val="center"/>
              <w:spacing w:after="0"/>
              <w:rPr>
                <w:sz w:val="20"/>
                <w:szCs w:val="20"/>
                <w:color w:val="auto"/>
              </w:rPr>
            </w:pPr>
            <w:r>
              <w:rPr>
                <w:rFonts w:ascii="Times New Roman" w:cs="Times New Roman" w:eastAsia="Times New Roman" w:hAnsi="Times New Roman"/>
                <w:sz w:val="12"/>
                <w:szCs w:val="12"/>
                <w:b w:val="1"/>
                <w:bCs w:val="1"/>
                <w:color w:val="FFFFFF"/>
                <w:w w:val="95"/>
              </w:rPr>
              <w:t>(b)</w:t>
            </w:r>
          </w:p>
        </w:tc>
        <w:tc>
          <w:tcPr>
            <w:tcW w:w="120" w:type="dxa"/>
            <w:vAlign w:val="bottom"/>
            <w:tcBorders>
              <w:right w:val="single" w:sz="8" w:color="02AE90"/>
            </w:tcBorders>
            <w:shd w:val="clear" w:color="auto" w:fill="02AE90"/>
          </w:tcPr>
          <w:p>
            <w:pPr>
              <w:spacing w:after="0"/>
              <w:rPr>
                <w:sz w:val="15"/>
                <w:szCs w:val="15"/>
                <w:color w:val="auto"/>
              </w:rPr>
            </w:pPr>
          </w:p>
        </w:tc>
        <w:tc>
          <w:tcPr>
            <w:tcW w:w="1040" w:type="dxa"/>
            <w:vAlign w:val="bottom"/>
            <w:tcBorders>
              <w:right w:val="single" w:sz="8" w:color="02AE90"/>
            </w:tcBorders>
            <w:shd w:val="clear" w:color="auto" w:fill="02AE90"/>
          </w:tcPr>
          <w:p>
            <w:pPr>
              <w:jc w:val="center"/>
              <w:ind w:right="75"/>
              <w:spacing w:after="0"/>
              <w:rPr>
                <w:sz w:val="20"/>
                <w:szCs w:val="20"/>
                <w:color w:val="auto"/>
              </w:rPr>
            </w:pPr>
            <w:r>
              <w:rPr>
                <w:rFonts w:ascii="Times New Roman" w:cs="Times New Roman" w:eastAsia="Times New Roman" w:hAnsi="Times New Roman"/>
                <w:sz w:val="12"/>
                <w:szCs w:val="12"/>
                <w:b w:val="1"/>
                <w:bCs w:val="1"/>
                <w:color w:val="FFFFFF"/>
              </w:rPr>
              <w:t>(c)</w:t>
            </w:r>
          </w:p>
        </w:tc>
        <w:tc>
          <w:tcPr>
            <w:tcW w:w="1020" w:type="dxa"/>
            <w:vAlign w:val="bottom"/>
            <w:tcBorders>
              <w:right w:val="single" w:sz="8" w:color="02AE90"/>
            </w:tcBorders>
            <w:shd w:val="clear" w:color="auto" w:fill="02AE90"/>
          </w:tcPr>
          <w:p>
            <w:pPr>
              <w:jc w:val="center"/>
              <w:ind w:right="75"/>
              <w:spacing w:after="0"/>
              <w:rPr>
                <w:sz w:val="20"/>
                <w:szCs w:val="20"/>
                <w:color w:val="auto"/>
              </w:rPr>
            </w:pPr>
            <w:r>
              <w:rPr>
                <w:rFonts w:ascii="Times New Roman" w:cs="Times New Roman" w:eastAsia="Times New Roman" w:hAnsi="Times New Roman"/>
                <w:sz w:val="12"/>
                <w:szCs w:val="12"/>
                <w:b w:val="1"/>
                <w:bCs w:val="1"/>
                <w:color w:val="FFFFFF"/>
              </w:rPr>
              <w:t>(b)</w:t>
            </w:r>
          </w:p>
        </w:tc>
        <w:tc>
          <w:tcPr>
            <w:tcW w:w="1040" w:type="dxa"/>
            <w:vAlign w:val="bottom"/>
            <w:tcBorders>
              <w:right w:val="single" w:sz="8" w:color="02AE90"/>
            </w:tcBorders>
            <w:shd w:val="clear" w:color="auto" w:fill="02AE90"/>
          </w:tcPr>
          <w:p>
            <w:pPr>
              <w:jc w:val="center"/>
              <w:ind w:right="35"/>
              <w:spacing w:after="0"/>
              <w:rPr>
                <w:sz w:val="20"/>
                <w:szCs w:val="20"/>
                <w:color w:val="auto"/>
              </w:rPr>
            </w:pPr>
            <w:r>
              <w:rPr>
                <w:rFonts w:ascii="Times New Roman" w:cs="Times New Roman" w:eastAsia="Times New Roman" w:hAnsi="Times New Roman"/>
                <w:sz w:val="12"/>
                <w:szCs w:val="12"/>
                <w:b w:val="1"/>
                <w:bCs w:val="1"/>
                <w:color w:val="FFFFFF"/>
              </w:rPr>
              <w:t>(c)</w:t>
            </w:r>
          </w:p>
        </w:tc>
        <w:tc>
          <w:tcPr>
            <w:tcW w:w="1040" w:type="dxa"/>
            <w:vAlign w:val="bottom"/>
            <w:tcBorders>
              <w:right w:val="single" w:sz="8" w:color="02AE90"/>
            </w:tcBorders>
            <w:shd w:val="clear" w:color="auto" w:fill="02AE90"/>
          </w:tcPr>
          <w:p>
            <w:pPr>
              <w:jc w:val="center"/>
              <w:ind w:right="55"/>
              <w:spacing w:after="0"/>
              <w:rPr>
                <w:sz w:val="20"/>
                <w:szCs w:val="20"/>
                <w:color w:val="auto"/>
              </w:rPr>
            </w:pPr>
            <w:r>
              <w:rPr>
                <w:rFonts w:ascii="Times New Roman" w:cs="Times New Roman" w:eastAsia="Times New Roman" w:hAnsi="Times New Roman"/>
                <w:sz w:val="12"/>
                <w:szCs w:val="12"/>
                <w:b w:val="1"/>
                <w:bCs w:val="1"/>
                <w:color w:val="FFFFFF"/>
              </w:rPr>
              <w:t>(d)</w:t>
            </w:r>
          </w:p>
        </w:tc>
        <w:tc>
          <w:tcPr>
            <w:tcW w:w="1020" w:type="dxa"/>
            <w:vAlign w:val="bottom"/>
            <w:tcBorders>
              <w:right w:val="single" w:sz="8" w:color="02AE90"/>
            </w:tcBorders>
            <w:shd w:val="clear" w:color="auto" w:fill="02AE90"/>
          </w:tcPr>
          <w:p>
            <w:pPr>
              <w:jc w:val="center"/>
              <w:ind w:right="55"/>
              <w:spacing w:after="0"/>
              <w:rPr>
                <w:sz w:val="20"/>
                <w:szCs w:val="20"/>
                <w:color w:val="auto"/>
              </w:rPr>
            </w:pPr>
            <w:r>
              <w:rPr>
                <w:rFonts w:ascii="Times New Roman" w:cs="Times New Roman" w:eastAsia="Times New Roman" w:hAnsi="Times New Roman"/>
                <w:sz w:val="12"/>
                <w:szCs w:val="12"/>
                <w:b w:val="1"/>
                <w:bCs w:val="1"/>
                <w:color w:val="FFFFFF"/>
              </w:rPr>
              <w:t>(e)</w:t>
            </w:r>
          </w:p>
        </w:tc>
        <w:tc>
          <w:tcPr>
            <w:tcW w:w="1000" w:type="dxa"/>
            <w:vAlign w:val="bottom"/>
            <w:tcBorders>
              <w:right w:val="single" w:sz="8" w:color="02AE90"/>
            </w:tcBorders>
            <w:shd w:val="clear" w:color="auto" w:fill="02AE90"/>
          </w:tcPr>
          <w:p>
            <w:pPr>
              <w:jc w:val="center"/>
              <w:ind w:right="55"/>
              <w:spacing w:after="0"/>
              <w:rPr>
                <w:sz w:val="20"/>
                <w:szCs w:val="20"/>
                <w:color w:val="auto"/>
              </w:rPr>
            </w:pPr>
            <w:r>
              <w:rPr>
                <w:rFonts w:ascii="Times New Roman" w:cs="Times New Roman" w:eastAsia="Times New Roman" w:hAnsi="Times New Roman"/>
                <w:sz w:val="12"/>
                <w:szCs w:val="12"/>
                <w:b w:val="1"/>
                <w:bCs w:val="1"/>
                <w:color w:val="FFFFFF"/>
                <w:w w:val="99"/>
              </w:rPr>
              <w:t>(f)</w:t>
            </w:r>
          </w:p>
        </w:tc>
        <w:tc>
          <w:tcPr>
            <w:tcW w:w="1000" w:type="dxa"/>
            <w:vAlign w:val="bottom"/>
            <w:tcBorders>
              <w:right w:val="single" w:sz="8" w:color="02AE90"/>
            </w:tcBorders>
            <w:shd w:val="clear" w:color="auto" w:fill="02AE90"/>
          </w:tcPr>
          <w:p>
            <w:pPr>
              <w:jc w:val="center"/>
              <w:ind w:right="35"/>
              <w:spacing w:after="0"/>
              <w:rPr>
                <w:sz w:val="20"/>
                <w:szCs w:val="20"/>
                <w:color w:val="auto"/>
              </w:rPr>
            </w:pPr>
            <w:r>
              <w:rPr>
                <w:rFonts w:ascii="Times New Roman" w:cs="Times New Roman" w:eastAsia="Times New Roman" w:hAnsi="Times New Roman"/>
                <w:sz w:val="12"/>
                <w:szCs w:val="12"/>
                <w:b w:val="1"/>
                <w:bCs w:val="1"/>
                <w:color w:val="FFFFFF"/>
                <w:w w:val="99"/>
              </w:rPr>
              <w:t>(g)</w:t>
            </w:r>
          </w:p>
        </w:tc>
        <w:tc>
          <w:tcPr>
            <w:tcW w:w="900" w:type="dxa"/>
            <w:vAlign w:val="bottom"/>
            <w:shd w:val="clear" w:color="auto" w:fill="02AE90"/>
          </w:tcPr>
          <w:p>
            <w:pPr>
              <w:jc w:val="center"/>
              <w:spacing w:after="0"/>
              <w:rPr>
                <w:sz w:val="20"/>
                <w:szCs w:val="20"/>
                <w:color w:val="auto"/>
              </w:rPr>
            </w:pPr>
            <w:r>
              <w:rPr>
                <w:rFonts w:ascii="Times New Roman" w:cs="Times New Roman" w:eastAsia="Times New Roman" w:hAnsi="Times New Roman"/>
                <w:sz w:val="12"/>
                <w:szCs w:val="12"/>
                <w:b w:val="1"/>
                <w:bCs w:val="1"/>
                <w:color w:val="FFFFFF"/>
              </w:rPr>
              <w:t>(h)</w:t>
            </w:r>
          </w:p>
        </w:tc>
        <w:tc>
          <w:tcPr>
            <w:tcW w:w="120" w:type="dxa"/>
            <w:vAlign w:val="bottom"/>
            <w:tcBorders>
              <w:right w:val="single" w:sz="8" w:color="02AE90"/>
            </w:tcBorders>
            <w:shd w:val="clear" w:color="auto" w:fill="02AE90"/>
          </w:tcPr>
          <w:p>
            <w:pPr>
              <w:spacing w:after="0"/>
              <w:rPr>
                <w:sz w:val="15"/>
                <w:szCs w:val="15"/>
                <w:color w:val="auto"/>
              </w:rPr>
            </w:pPr>
          </w:p>
        </w:tc>
        <w:tc>
          <w:tcPr>
            <w:tcW w:w="1000" w:type="dxa"/>
            <w:vAlign w:val="bottom"/>
            <w:tcBorders>
              <w:right w:val="single" w:sz="8" w:color="02AE90"/>
            </w:tcBorders>
            <w:gridSpan w:val="2"/>
            <w:shd w:val="clear" w:color="auto" w:fill="02AE90"/>
          </w:tcPr>
          <w:p>
            <w:pPr>
              <w:jc w:val="center"/>
              <w:ind w:right="120"/>
              <w:spacing w:after="0"/>
              <w:rPr>
                <w:sz w:val="20"/>
                <w:szCs w:val="20"/>
                <w:color w:val="auto"/>
              </w:rPr>
            </w:pPr>
            <w:r>
              <w:rPr>
                <w:rFonts w:ascii="Times New Roman" w:cs="Times New Roman" w:eastAsia="Times New Roman" w:hAnsi="Times New Roman"/>
                <w:sz w:val="12"/>
                <w:szCs w:val="12"/>
                <w:b w:val="1"/>
                <w:bCs w:val="1"/>
                <w:color w:val="FFFFFF"/>
              </w:rPr>
              <w:t>(i)</w:t>
            </w:r>
          </w:p>
        </w:tc>
        <w:tc>
          <w:tcPr>
            <w:tcW w:w="0" w:type="dxa"/>
            <w:vAlign w:val="bottom"/>
          </w:tcPr>
          <w:p>
            <w:pPr>
              <w:spacing w:after="0"/>
              <w:rPr>
                <w:sz w:val="1"/>
                <w:szCs w:val="1"/>
                <w:color w:val="auto"/>
              </w:rPr>
            </w:pPr>
          </w:p>
        </w:tc>
      </w:tr>
      <w:tr>
        <w:trPr>
          <w:trHeight w:val="184"/>
        </w:trPr>
        <w:tc>
          <w:tcPr>
            <w:tcW w:w="900" w:type="dxa"/>
            <w:vAlign w:val="bottom"/>
            <w:tcBorders>
              <w:left w:val="single" w:sz="8" w:color="02AE90"/>
            </w:tcBorders>
          </w:tcPr>
          <w:p>
            <w:pPr>
              <w:jc w:val="center"/>
              <w:ind w:right="313"/>
              <w:spacing w:after="0"/>
              <w:rPr>
                <w:sz w:val="20"/>
                <w:szCs w:val="20"/>
                <w:color w:val="auto"/>
              </w:rPr>
            </w:pPr>
            <w:r>
              <w:rPr>
                <w:rFonts w:ascii="Times New Roman" w:cs="Times New Roman" w:eastAsia="Times New Roman" w:hAnsi="Times New Roman"/>
                <w:sz w:val="14"/>
                <w:szCs w:val="14"/>
                <w:color w:val="auto"/>
                <w:w w:val="99"/>
              </w:rPr>
              <w:t>2022</w:t>
            </w:r>
          </w:p>
        </w:tc>
        <w:tc>
          <w:tcPr>
            <w:tcW w:w="120" w:type="dxa"/>
            <w:vAlign w:val="bottom"/>
            <w:tcBorders>
              <w:right w:val="single" w:sz="8" w:color="02AE90"/>
            </w:tcBorders>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14,496,745</w:t>
            </w:r>
          </w:p>
        </w:tc>
        <w:tc>
          <w:tcPr>
            <w:tcW w:w="120" w:type="dxa"/>
            <w:vAlign w:val="bottom"/>
            <w:tcBorders>
              <w:right w:val="single" w:sz="8" w:color="02AE90"/>
            </w:tcBorders>
          </w:tcPr>
          <w:p>
            <w:pPr>
              <w:spacing w:after="0"/>
              <w:rPr>
                <w:sz w:val="16"/>
                <w:szCs w:val="16"/>
                <w:color w:val="auto"/>
              </w:rPr>
            </w:pP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13,353,650</w:t>
            </w:r>
          </w:p>
        </w:tc>
        <w:tc>
          <w:tcPr>
            <w:tcW w:w="102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497,535</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(5,949,665)</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3,009,827</w:t>
            </w:r>
          </w:p>
        </w:tc>
        <w:tc>
          <w:tcPr>
            <w:tcW w:w="102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749,754</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59.18</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81.50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right w:val="single" w:sz="8" w:color="02AE90"/>
            </w:tcBorders>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02AE90"/>
              <w:bottom w:val="single" w:sz="8" w:color="02AE90"/>
            </w:tcBorders>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2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02AE90"/>
            </w:tcBorders>
          </w:tcPr>
          <w:p>
            <w:pPr>
              <w:jc w:val="center"/>
              <w:ind w:right="313"/>
              <w:spacing w:after="0"/>
              <w:rPr>
                <w:sz w:val="20"/>
                <w:szCs w:val="20"/>
                <w:color w:val="auto"/>
              </w:rPr>
            </w:pPr>
            <w:r>
              <w:rPr>
                <w:rFonts w:ascii="Times New Roman" w:cs="Times New Roman" w:eastAsia="Times New Roman" w:hAnsi="Times New Roman"/>
                <w:sz w:val="14"/>
                <w:szCs w:val="14"/>
                <w:color w:val="auto"/>
                <w:w w:val="99"/>
              </w:rPr>
              <w:t>2021</w:t>
            </w:r>
          </w:p>
        </w:tc>
        <w:tc>
          <w:tcPr>
            <w:tcW w:w="120" w:type="dxa"/>
            <w:vAlign w:val="bottom"/>
            <w:tcBorders>
              <w:right w:val="single" w:sz="8" w:color="02AE90"/>
            </w:tcBorders>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02AE90"/>
            </w:tcBorders>
          </w:tcPr>
          <w:p>
            <w:pPr>
              <w:spacing w:after="0"/>
              <w:rPr>
                <w:sz w:val="15"/>
                <w:szCs w:val="15"/>
                <w:color w:val="auto"/>
              </w:rPr>
            </w:pP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7,676,612</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8,686,111</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3,161,228</w:t>
            </w:r>
          </w:p>
        </w:tc>
        <w:tc>
          <w:tcPr>
            <w:tcW w:w="102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2,326,196</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89.73</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134.41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right w:val="single" w:sz="8" w:color="02AE90"/>
            </w:tcBorders>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02AE90"/>
              <w:bottom w:val="single" w:sz="8" w:color="02AE90"/>
            </w:tcBorders>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2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00" w:type="dxa"/>
            <w:vAlign w:val="bottom"/>
            <w:tcBorders>
              <w:left w:val="single" w:sz="8" w:color="02AE90"/>
            </w:tcBorders>
          </w:tcPr>
          <w:p>
            <w:pPr>
              <w:jc w:val="center"/>
              <w:ind w:right="313"/>
              <w:spacing w:after="0"/>
              <w:rPr>
                <w:sz w:val="20"/>
                <w:szCs w:val="20"/>
                <w:color w:val="auto"/>
              </w:rPr>
            </w:pPr>
            <w:r>
              <w:rPr>
                <w:rFonts w:ascii="Times New Roman" w:cs="Times New Roman" w:eastAsia="Times New Roman" w:hAnsi="Times New Roman"/>
                <w:sz w:val="14"/>
                <w:szCs w:val="14"/>
                <w:color w:val="auto"/>
                <w:w w:val="99"/>
              </w:rPr>
              <w:t>2020</w:t>
            </w:r>
          </w:p>
        </w:tc>
        <w:tc>
          <w:tcPr>
            <w:tcW w:w="120" w:type="dxa"/>
            <w:vAlign w:val="bottom"/>
            <w:tcBorders>
              <w:right w:val="single" w:sz="8" w:color="02AE90"/>
            </w:tcBorders>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02AE90"/>
            </w:tcBorders>
          </w:tcPr>
          <w:p>
            <w:pPr>
              <w:spacing w:after="0"/>
              <w:rPr>
                <w:sz w:val="15"/>
                <w:szCs w:val="15"/>
                <w:color w:val="auto"/>
              </w:rPr>
            </w:pP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919,464</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(4,013,595)</w:t>
            </w:r>
          </w:p>
        </w:tc>
        <w:tc>
          <w:tcPr>
            <w:tcW w:w="104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3,800,054</w:t>
            </w:r>
          </w:p>
        </w:tc>
        <w:tc>
          <w:tcPr>
            <w:tcW w:w="1020" w:type="dxa"/>
            <w:vAlign w:val="bottom"/>
            <w:tcBorders>
              <w:right w:val="single" w:sz="8" w:color="02AE90"/>
            </w:tcBorders>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3,528,452</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94.73</w:t>
            </w:r>
          </w:p>
        </w:tc>
        <w:tc>
          <w:tcPr>
            <w:tcW w:w="1000" w:type="dxa"/>
            <w:vAlign w:val="bottom"/>
            <w:tcBorders>
              <w:right w:val="single" w:sz="8" w:color="02AE90"/>
            </w:tcBorders>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137.32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Borders>
              <w:right w:val="single" w:sz="8" w:color="02AE90"/>
            </w:tcBorders>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right w:val="single" w:sz="8" w:color="02AE90"/>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02AE90"/>
              <w:bottom w:val="single" w:sz="8" w:color="02AE90"/>
            </w:tcBorders>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2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40" w:type="dxa"/>
            <w:vAlign w:val="bottom"/>
            <w:tcBorders>
              <w:bottom w:val="single" w:sz="8" w:color="02AE90"/>
              <w:right w:val="single" w:sz="8" w:color="02AE90"/>
            </w:tcBorders>
            <w:vMerge w:val="continue"/>
          </w:tcPr>
          <w:p>
            <w:pPr>
              <w:spacing w:after="0"/>
              <w:rPr>
                <w:sz w:val="7"/>
                <w:szCs w:val="7"/>
                <w:color w:val="auto"/>
              </w:rPr>
            </w:pPr>
          </w:p>
        </w:tc>
        <w:tc>
          <w:tcPr>
            <w:tcW w:w="102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1000" w:type="dxa"/>
            <w:vAlign w:val="bottom"/>
            <w:tcBorders>
              <w:bottom w:val="single" w:sz="8" w:color="02AE90"/>
              <w:right w:val="single" w:sz="8" w:color="02AE90"/>
            </w:tcBorders>
            <w:vMerge w:val="continue"/>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20" w:type="dxa"/>
            <w:vAlign w:val="bottom"/>
            <w:tcBorders>
              <w:bottom w:val="single" w:sz="8" w:color="02AE90"/>
              <w:right w:val="single" w:sz="8" w:color="02AE90"/>
            </w:tcBorders>
          </w:tcPr>
          <w:p>
            <w:pPr>
              <w:spacing w:after="0"/>
              <w:rPr>
                <w:sz w:val="7"/>
                <w:szCs w:val="7"/>
                <w:color w:val="auto"/>
              </w:rPr>
            </w:pPr>
          </w:p>
        </w:tc>
        <w:tc>
          <w:tcPr>
            <w:tcW w:w="900" w:type="dxa"/>
            <w:vAlign w:val="bottom"/>
            <w:tcBorders>
              <w:bottom w:val="single" w:sz="8" w:color="02AE90"/>
            </w:tcBorders>
            <w:vMerge w:val="continue"/>
          </w:tcPr>
          <w:p>
            <w:pPr>
              <w:spacing w:after="0"/>
              <w:rPr>
                <w:sz w:val="7"/>
                <w:szCs w:val="7"/>
                <w:color w:val="auto"/>
              </w:rPr>
            </w:pPr>
          </w:p>
        </w:tc>
        <w:tc>
          <w:tcPr>
            <w:tcW w:w="100" w:type="dxa"/>
            <w:vAlign w:val="bottom"/>
            <w:tcBorders>
              <w:bottom w:val="single" w:sz="8" w:color="02AE90"/>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-1171575</wp:posOffset>
            </wp:positionV>
            <wp:extent cx="1282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2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-543560</wp:posOffset>
            </wp:positionV>
            <wp:extent cx="7147560" cy="544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7560" cy="544195"/>
                    </a:xfrm>
                    <a:prstGeom prst="rect">
                      <a:avLst/>
                    </a:prstGeom>
                    <a:noFill/>
                  </pic:spPr>
                </pic:pic>
              </a:graphicData>
            </a:graphic>
          </wp:anchor>
        </w:drawing>
      </w:r>
    </w:p>
    <w:p>
      <w:pPr>
        <w:spacing w:after="0" w:line="64" w:lineRule="exact"/>
        <w:rPr>
          <w:sz w:val="20"/>
          <w:szCs w:val="20"/>
          <w:color w:val="auto"/>
        </w:rPr>
      </w:pPr>
    </w:p>
    <w:p>
      <w:pPr>
        <w:jc w:val="both"/>
        <w:ind w:left="380" w:hanging="374"/>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Mr. Goldberg became the PEO on July 1, 2022. Mr. Kaufer served as PEO for a portion of Fiscal 2022 and the entirety of Fiscal 2021 and 2020. Our Non-PEO NEOs for the applicable years were as follows: </w:t>
      </w:r>
      <w:r>
        <w:rPr>
          <w:rFonts w:ascii="Times New Roman" w:cs="Times New Roman" w:eastAsia="Times New Roman" w:hAnsi="Times New Roman"/>
          <w:sz w:val="15"/>
          <w:szCs w:val="15"/>
          <w:color w:val="auto"/>
        </w:rPr>
        <w:t>(i) for Fiscal 2022: Messrs. Noonan, Kalvert and Teunissen and Mss. Soni and Nelson; (ii) for Fiscal 2021: Messrs. Kalvert and Teunissen and Mss. Soni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Nelson; and (iii) for Fiscal 2020: Messrs. Kalvert and Teunissen and Mss. Soni and Nelson.</w:t>
      </w:r>
    </w:p>
    <w:p>
      <w:pPr>
        <w:spacing w:after="0" w:line="65"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these columns represent: (i) the total compensation reported in the Summary Compensation Table for the applicable fiscal year in the case of our PEOs; and (ii) the average of the total compensation reported in the Summary Compensation Table for the applicable fiscal year for our Non-PEO NEOs reported for the applicable fiscal year.</w:t>
      </w:r>
    </w:p>
    <w:p>
      <w:pPr>
        <w:spacing w:after="0" w:line="60" w:lineRule="exact"/>
        <w:rPr>
          <w:rFonts w:ascii="Times New Roman" w:cs="Times New Roman" w:eastAsia="Times New Roman" w:hAnsi="Times New Roman"/>
          <w:sz w:val="14"/>
          <w:szCs w:val="14"/>
          <w:color w:val="auto"/>
        </w:rPr>
      </w:pPr>
    </w:p>
    <w:p>
      <w:pPr>
        <w:jc w:val="both"/>
        <w:ind w:left="380" w:hanging="374"/>
        <w:spacing w:after="0" w:line="244"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these columns represent compensation actually paid ("CAP"); adjustments were made to the amounts reported in the Summary Compensation Table for the applicable fiscal year. A reconciliation of the adjustments for our PEOs and the average of the Non-NEO CEOs is set forth in the tables below, which describe the adjustments, each of which is prescribed by the SEC rules, to calculate the CAP amounts from the amounts described in the Summary Compensation Table.</w:t>
      </w:r>
    </w:p>
    <w:p>
      <w:pPr>
        <w:spacing w:after="0" w:line="72"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Shareholder Return ("TSR") is cumulative for the measurement periods ending December 31, 2022, 2021 and 2020.</w:t>
      </w:r>
    </w:p>
    <w:p>
      <w:pPr>
        <w:spacing w:after="0" w:line="93" w:lineRule="exact"/>
        <w:rPr>
          <w:rFonts w:ascii="Times New Roman" w:cs="Times New Roman" w:eastAsia="Times New Roman" w:hAnsi="Times New Roman"/>
          <w:sz w:val="15"/>
          <w:szCs w:val="15"/>
          <w:color w:val="auto"/>
        </w:rPr>
      </w:pPr>
    </w:p>
    <w:p>
      <w:pPr>
        <w:ind w:left="380" w:hanging="374"/>
        <w:spacing w:after="0" w:line="254" w:lineRule="auto"/>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Peer Group represents the Research Data Group ("RDG") Internet Composite Index, which is used by the Company for purposes of compliance with Item 201(e) of Regulation S-K.</w:t>
      </w:r>
    </w:p>
    <w:p>
      <w:pPr>
        <w:spacing w:after="0" w:line="59" w:lineRule="exact"/>
        <w:rPr>
          <w:rFonts w:ascii="Times New Roman" w:cs="Times New Roman" w:eastAsia="Times New Roman" w:hAnsi="Times New Roman"/>
          <w:sz w:val="15"/>
          <w:szCs w:val="15"/>
          <w:color w:val="auto"/>
        </w:rPr>
      </w:pPr>
    </w:p>
    <w:p>
      <w:pPr>
        <w:ind w:left="380" w:hanging="374"/>
        <w:spacing w:after="0" w:line="254" w:lineRule="auto"/>
        <w:tabs>
          <w:tab w:leader="none" w:pos="38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a non-GAAP financial measure, is the Company's selected measure. Refer to our 2022 Annual Report for a reconciliation of Adjusted EBITDA to Net Income, the most directly comparable financial measure calculated and presented in accordance with US GAAP.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shd w:val="clear" w:color="auto" w:fill="02AE90"/>
          </w:tcPr>
          <w:p>
            <w:pPr>
              <w:spacing w:after="0"/>
              <w:rPr>
                <w:sz w:val="15"/>
                <w:szCs w:val="15"/>
                <w:color w:val="auto"/>
              </w:rPr>
            </w:pPr>
          </w:p>
        </w:tc>
        <w:tc>
          <w:tcPr>
            <w:tcW w:w="1680" w:type="dxa"/>
            <w:vAlign w:val="bottom"/>
            <w:gridSpan w:val="3"/>
            <w:shd w:val="clear" w:color="auto" w:fill="02AE90"/>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 xml:space="preserve">2022 </w:t>
            </w:r>
            <w:r>
              <w:rPr>
                <w:rFonts w:ascii="Times New Roman" w:cs="Times New Roman" w:eastAsia="Times New Roman" w:hAnsi="Times New Roman"/>
                <w:sz w:val="14"/>
                <w:szCs w:val="14"/>
                <w:b w:val="1"/>
                <w:bCs w:val="1"/>
                <w:color w:val="02AE90"/>
              </w:rPr>
              <w:t>($)</w:t>
            </w:r>
          </w:p>
        </w:tc>
        <w:tc>
          <w:tcPr>
            <w:tcW w:w="1080" w:type="dxa"/>
            <w:vAlign w:val="bottom"/>
            <w:tcBorders>
              <w:right w:val="single" w:sz="8" w:color="02AE90"/>
            </w:tcBorders>
            <w:shd w:val="clear" w:color="auto" w:fill="02AE90"/>
          </w:tcPr>
          <w:p>
            <w:pPr>
              <w:spacing w:after="0"/>
              <w:rPr>
                <w:sz w:val="15"/>
                <w:szCs w:val="15"/>
                <w:color w:val="auto"/>
              </w:rPr>
            </w:pPr>
          </w:p>
        </w:tc>
        <w:tc>
          <w:tcPr>
            <w:tcW w:w="1140" w:type="dxa"/>
            <w:vAlign w:val="bottom"/>
            <w:tcBorders>
              <w:right w:val="single" w:sz="8" w:color="02AE90"/>
            </w:tcBorders>
            <w:shd w:val="clear" w:color="auto" w:fill="02AE90"/>
          </w:tcPr>
          <w:p>
            <w:pPr>
              <w:jc w:val="right"/>
              <w:ind w:right="349"/>
              <w:spacing w:after="0"/>
              <w:rPr>
                <w:sz w:val="20"/>
                <w:szCs w:val="20"/>
                <w:color w:val="auto"/>
              </w:rPr>
            </w:pPr>
            <w:r>
              <w:rPr>
                <w:rFonts w:ascii="Times New Roman" w:cs="Times New Roman" w:eastAsia="Times New Roman" w:hAnsi="Times New Roman"/>
                <w:sz w:val="14"/>
                <w:szCs w:val="14"/>
                <w:b w:val="1"/>
                <w:bCs w:val="1"/>
                <w:color w:val="FFFFFF"/>
              </w:rPr>
              <w:t xml:space="preserve">2021 </w:t>
            </w:r>
            <w:r>
              <w:rPr>
                <w:rFonts w:ascii="Times New Roman" w:cs="Times New Roman" w:eastAsia="Times New Roman" w:hAnsi="Times New Roman"/>
                <w:sz w:val="14"/>
                <w:szCs w:val="14"/>
                <w:b w:val="1"/>
                <w:bCs w:val="1"/>
                <w:color w:val="02AE90"/>
              </w:rPr>
              <w:t>($)</w:t>
            </w:r>
          </w:p>
        </w:tc>
        <w:tc>
          <w:tcPr>
            <w:tcW w:w="1100" w:type="dxa"/>
            <w:vAlign w:val="bottom"/>
            <w:tcBorders>
              <w:right w:val="single" w:sz="8" w:color="02AE90"/>
            </w:tcBorders>
            <w:shd w:val="clear" w:color="auto" w:fill="02AE90"/>
          </w:tcPr>
          <w:p>
            <w:pPr>
              <w:jc w:val="right"/>
              <w:ind w:right="309"/>
              <w:spacing w:after="0"/>
              <w:rPr>
                <w:sz w:val="20"/>
                <w:szCs w:val="20"/>
                <w:color w:val="auto"/>
              </w:rPr>
            </w:pPr>
            <w:r>
              <w:rPr>
                <w:rFonts w:ascii="Times New Roman" w:cs="Times New Roman" w:eastAsia="Times New Roman" w:hAnsi="Times New Roman"/>
                <w:sz w:val="14"/>
                <w:szCs w:val="14"/>
                <w:b w:val="1"/>
                <w:bCs w:val="1"/>
                <w:color w:val="FFFFFF"/>
              </w:rPr>
              <w:t xml:space="preserve">2020 </w:t>
            </w:r>
            <w:r>
              <w:rPr>
                <w:rFonts w:ascii="Times New Roman" w:cs="Times New Roman" w:eastAsia="Times New Roman" w:hAnsi="Times New Roman"/>
                <w:sz w:val="14"/>
                <w:szCs w:val="14"/>
                <w:b w:val="1"/>
                <w:bCs w:val="1"/>
                <w:color w:val="02AE90"/>
              </w:rPr>
              <w:t>($)</w:t>
            </w:r>
          </w:p>
        </w:tc>
        <w:tc>
          <w:tcPr>
            <w:tcW w:w="0" w:type="dxa"/>
            <w:vAlign w:val="bottom"/>
          </w:tcPr>
          <w:p>
            <w:pPr>
              <w:spacing w:after="0"/>
              <w:rPr>
                <w:sz w:val="1"/>
                <w:szCs w:val="1"/>
                <w:color w:val="auto"/>
              </w:rPr>
            </w:pPr>
          </w:p>
        </w:tc>
      </w:tr>
      <w:tr>
        <w:trPr>
          <w:trHeight w:val="186"/>
        </w:trPr>
        <w:tc>
          <w:tcPr>
            <w:tcW w:w="6240" w:type="dxa"/>
            <w:vAlign w:val="bottom"/>
            <w:shd w:val="clear" w:color="auto" w:fill="02AE90"/>
          </w:tcPr>
          <w:p>
            <w:pPr>
              <w:ind w:left="20"/>
              <w:spacing w:after="0"/>
              <w:rPr>
                <w:sz w:val="20"/>
                <w:szCs w:val="20"/>
                <w:color w:val="auto"/>
              </w:rPr>
            </w:pPr>
            <w:r>
              <w:rPr>
                <w:rFonts w:ascii="Times New Roman" w:cs="Times New Roman" w:eastAsia="Times New Roman" w:hAnsi="Times New Roman"/>
                <w:sz w:val="14"/>
                <w:szCs w:val="14"/>
                <w:b w:val="1"/>
                <w:bCs w:val="1"/>
                <w:color w:val="FFFFFF"/>
              </w:rPr>
              <w:t>Compensation Actually Paid to PEO</w:t>
            </w:r>
          </w:p>
        </w:tc>
        <w:tc>
          <w:tcPr>
            <w:tcW w:w="160" w:type="dxa"/>
            <w:vAlign w:val="bottom"/>
            <w:tcBorders>
              <w:right w:val="single" w:sz="8" w:color="02AE90"/>
            </w:tcBorders>
            <w:shd w:val="clear" w:color="auto" w:fill="02AE90"/>
          </w:tcPr>
          <w:p>
            <w:pPr>
              <w:spacing w:after="0"/>
              <w:rPr>
                <w:sz w:val="16"/>
                <w:szCs w:val="16"/>
                <w:color w:val="auto"/>
              </w:rPr>
            </w:pPr>
          </w:p>
        </w:tc>
        <w:tc>
          <w:tcPr>
            <w:tcW w:w="1520" w:type="dxa"/>
            <w:vAlign w:val="bottom"/>
            <w:gridSpan w:val="2"/>
            <w:shd w:val="clear" w:color="auto" w:fill="02AE90"/>
          </w:tcPr>
          <w:p>
            <w:pPr>
              <w:jc w:val="right"/>
              <w:ind w:right="460"/>
              <w:spacing w:after="0"/>
              <w:rPr>
                <w:sz w:val="20"/>
                <w:szCs w:val="20"/>
                <w:color w:val="auto"/>
              </w:rPr>
            </w:pPr>
            <w:r>
              <w:rPr>
                <w:rFonts w:ascii="Times New Roman" w:cs="Times New Roman" w:eastAsia="Times New Roman" w:hAnsi="Times New Roman"/>
                <w:sz w:val="14"/>
                <w:szCs w:val="14"/>
                <w:b w:val="1"/>
                <w:bCs w:val="1"/>
                <w:color w:val="FFFFFF"/>
              </w:rPr>
              <w:t>Mr. Goldberg</w:t>
            </w:r>
          </w:p>
        </w:tc>
        <w:tc>
          <w:tcPr>
            <w:tcW w:w="1080" w:type="dxa"/>
            <w:vAlign w:val="bottom"/>
            <w:tcBorders>
              <w:right w:val="single" w:sz="8" w:color="02AE90"/>
            </w:tcBorders>
            <w:shd w:val="clear" w:color="auto" w:fill="02AE90"/>
          </w:tcPr>
          <w:p>
            <w:pPr>
              <w:jc w:val="right"/>
              <w:ind w:right="249"/>
              <w:spacing w:after="0"/>
              <w:rPr>
                <w:sz w:val="20"/>
                <w:szCs w:val="20"/>
                <w:color w:val="auto"/>
              </w:rPr>
            </w:pPr>
            <w:r>
              <w:rPr>
                <w:rFonts w:ascii="Times New Roman" w:cs="Times New Roman" w:eastAsia="Times New Roman" w:hAnsi="Times New Roman"/>
                <w:sz w:val="14"/>
                <w:szCs w:val="14"/>
                <w:b w:val="1"/>
                <w:bCs w:val="1"/>
                <w:color w:val="FFFFFF"/>
              </w:rPr>
              <w:t>Mr. Kaufer</w:t>
            </w:r>
          </w:p>
        </w:tc>
        <w:tc>
          <w:tcPr>
            <w:tcW w:w="1140" w:type="dxa"/>
            <w:vAlign w:val="bottom"/>
            <w:tcBorders>
              <w:right w:val="single" w:sz="8" w:color="02AE90"/>
            </w:tcBorders>
            <w:shd w:val="clear" w:color="auto" w:fill="02AE90"/>
          </w:tcPr>
          <w:p>
            <w:pPr>
              <w:jc w:val="right"/>
              <w:ind w:right="249"/>
              <w:spacing w:after="0"/>
              <w:rPr>
                <w:sz w:val="20"/>
                <w:szCs w:val="20"/>
                <w:color w:val="auto"/>
              </w:rPr>
            </w:pPr>
            <w:r>
              <w:rPr>
                <w:rFonts w:ascii="Times New Roman" w:cs="Times New Roman" w:eastAsia="Times New Roman" w:hAnsi="Times New Roman"/>
                <w:sz w:val="14"/>
                <w:szCs w:val="14"/>
                <w:b w:val="1"/>
                <w:bCs w:val="1"/>
                <w:color w:val="FFFFFF"/>
              </w:rPr>
              <w:t>Mr. Kaufer</w:t>
            </w:r>
          </w:p>
        </w:tc>
        <w:tc>
          <w:tcPr>
            <w:tcW w:w="1100" w:type="dxa"/>
            <w:vAlign w:val="bottom"/>
            <w:tcBorders>
              <w:right w:val="single" w:sz="8" w:color="02AE90"/>
            </w:tcBorders>
            <w:shd w:val="clear" w:color="auto" w:fill="02AE90"/>
          </w:tcPr>
          <w:p>
            <w:pPr>
              <w:jc w:val="right"/>
              <w:ind w:right="209"/>
              <w:spacing w:after="0"/>
              <w:rPr>
                <w:sz w:val="20"/>
                <w:szCs w:val="20"/>
                <w:color w:val="auto"/>
              </w:rPr>
            </w:pPr>
            <w:r>
              <w:rPr>
                <w:rFonts w:ascii="Times New Roman" w:cs="Times New Roman" w:eastAsia="Times New Roman" w:hAnsi="Times New Roman"/>
                <w:sz w:val="14"/>
                <w:szCs w:val="14"/>
                <w:b w:val="1"/>
                <w:bCs w:val="1"/>
                <w:color w:val="FFFFFF"/>
              </w:rPr>
              <w:t>Mr. Kaufer</w:t>
            </w:r>
          </w:p>
        </w:tc>
        <w:tc>
          <w:tcPr>
            <w:tcW w:w="0" w:type="dxa"/>
            <w:vAlign w:val="bottom"/>
          </w:tcPr>
          <w:p>
            <w:pPr>
              <w:spacing w:after="0"/>
              <w:rPr>
                <w:sz w:val="1"/>
                <w:szCs w:val="1"/>
                <w:color w:val="auto"/>
              </w:rPr>
            </w:pPr>
          </w:p>
        </w:tc>
      </w:tr>
      <w:tr>
        <w:trPr>
          <w:trHeight w:val="173"/>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60" w:type="dxa"/>
            <w:vAlign w:val="bottom"/>
            <w:tcBorders>
              <w:bottom w:val="single" w:sz="8" w:color="02AE90"/>
              <w:right w:val="single" w:sz="8" w:color="02AE90"/>
            </w:tcBorders>
          </w:tcPr>
          <w:p>
            <w:pPr>
              <w:spacing w:after="0"/>
              <w:rPr>
                <w:sz w:val="15"/>
                <w:szCs w:val="15"/>
                <w:color w:val="auto"/>
              </w:rPr>
            </w:pPr>
          </w:p>
        </w:tc>
        <w:tc>
          <w:tcPr>
            <w:tcW w:w="1440" w:type="dxa"/>
            <w:vAlign w:val="bottom"/>
            <w:tcBorders>
              <w:bottom w:val="single" w:sz="8" w:color="02AE90"/>
              <w:right w:val="single" w:sz="8" w:color="02AE90"/>
            </w:tcBorders>
          </w:tcPr>
          <w:p>
            <w:pPr>
              <w:jc w:val="right"/>
              <w:ind w:right="89"/>
              <w:spacing w:after="0"/>
              <w:rPr>
                <w:sz w:val="20"/>
                <w:szCs w:val="20"/>
                <w:color w:val="auto"/>
              </w:rPr>
            </w:pPr>
            <w:r>
              <w:rPr>
                <w:rFonts w:ascii="Times New Roman" w:cs="Times New Roman" w:eastAsia="Times New Roman" w:hAnsi="Times New Roman"/>
                <w:sz w:val="14"/>
                <w:szCs w:val="14"/>
                <w:color w:val="auto"/>
              </w:rPr>
              <w:t>14,496,745</w:t>
            </w:r>
          </w:p>
        </w:tc>
        <w:tc>
          <w:tcPr>
            <w:tcW w:w="80" w:type="dxa"/>
            <w:vAlign w:val="bottom"/>
            <w:tcBorders>
              <w:bottom w:val="single" w:sz="8" w:color="02AE90"/>
            </w:tcBorders>
          </w:tcPr>
          <w:p>
            <w:pPr>
              <w:spacing w:after="0"/>
              <w:rPr>
                <w:sz w:val="15"/>
                <w:szCs w:val="15"/>
                <w:color w:val="auto"/>
              </w:rPr>
            </w:pPr>
          </w:p>
        </w:tc>
        <w:tc>
          <w:tcPr>
            <w:tcW w:w="108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497,535</w:t>
            </w:r>
          </w:p>
        </w:tc>
        <w:tc>
          <w:tcPr>
            <w:tcW w:w="114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7,676,612</w:t>
            </w:r>
          </w:p>
        </w:tc>
        <w:tc>
          <w:tcPr>
            <w:tcW w:w="1100" w:type="dxa"/>
            <w:vAlign w:val="bottom"/>
            <w:tcBorders>
              <w:bottom w:val="single" w:sz="8" w:color="02AE90"/>
              <w:right w:val="single" w:sz="8" w:color="02AE90"/>
            </w:tcBorders>
          </w:tcPr>
          <w:p>
            <w:pPr>
              <w:jc w:val="right"/>
              <w:ind w:right="69"/>
              <w:spacing w:after="0"/>
              <w:rPr>
                <w:sz w:val="20"/>
                <w:szCs w:val="20"/>
                <w:color w:val="auto"/>
              </w:rPr>
            </w:pPr>
            <w:r>
              <w:rPr>
                <w:rFonts w:ascii="Times New Roman" w:cs="Times New Roman" w:eastAsia="Times New Roman" w:hAnsi="Times New Roman"/>
                <w:sz w:val="14"/>
                <w:szCs w:val="14"/>
                <w:color w:val="auto"/>
              </w:rPr>
              <w:t>919,464</w:t>
            </w:r>
          </w:p>
        </w:tc>
        <w:tc>
          <w:tcPr>
            <w:tcW w:w="0" w:type="dxa"/>
            <w:vAlign w:val="bottom"/>
          </w:tcPr>
          <w:p>
            <w:pPr>
              <w:spacing w:after="0"/>
              <w:rPr>
                <w:sz w:val="1"/>
                <w:szCs w:val="1"/>
                <w:color w:val="auto"/>
              </w:rPr>
            </w:pPr>
          </w:p>
        </w:tc>
      </w:tr>
      <w:tr>
        <w:trPr>
          <w:trHeight w:val="130"/>
        </w:trPr>
        <w:tc>
          <w:tcPr>
            <w:tcW w:w="624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Deductions for Grant Date Fair Value of Stock Awards and Option Awards reported in Summary</w:t>
            </w:r>
          </w:p>
        </w:tc>
        <w:tc>
          <w:tcPr>
            <w:tcW w:w="160" w:type="dxa"/>
            <w:vAlign w:val="bottom"/>
            <w:tcBorders>
              <w:right w:val="single" w:sz="8" w:color="02AE90"/>
            </w:tcBorders>
          </w:tcPr>
          <w:p>
            <w:pPr>
              <w:spacing w:after="0"/>
              <w:rPr>
                <w:sz w:val="11"/>
                <w:szCs w:val="11"/>
                <w:color w:val="auto"/>
              </w:rPr>
            </w:pPr>
          </w:p>
        </w:tc>
        <w:tc>
          <w:tcPr>
            <w:tcW w:w="1440" w:type="dxa"/>
            <w:vAlign w:val="bottom"/>
            <w:tcBorders>
              <w:right w:val="single" w:sz="8" w:color="02AE90"/>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(13,025,860)</w:t>
            </w:r>
          </w:p>
        </w:tc>
        <w:tc>
          <w:tcPr>
            <w:tcW w:w="80" w:type="dxa"/>
            <w:vAlign w:val="bottom"/>
          </w:tcPr>
          <w:p>
            <w:pPr>
              <w:spacing w:after="0"/>
              <w:rPr>
                <w:sz w:val="11"/>
                <w:szCs w:val="11"/>
                <w:color w:val="auto"/>
              </w:rPr>
            </w:pPr>
          </w:p>
        </w:tc>
        <w:tc>
          <w:tcPr>
            <w:tcW w:w="108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(6,402,979)</w:t>
            </w:r>
          </w:p>
        </w:tc>
        <w:tc>
          <w:tcPr>
            <w:tcW w:w="1100" w:type="dxa"/>
            <w:vAlign w:val="bottom"/>
            <w:tcBorders>
              <w:right w:val="single" w:sz="8" w:color="02AE90"/>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Compensation Table</w:t>
            </w:r>
          </w:p>
        </w:tc>
        <w:tc>
          <w:tcPr>
            <w:tcW w:w="160" w:type="dxa"/>
            <w:vAlign w:val="bottom"/>
            <w:tcBorders>
              <w:bottom w:val="single" w:sz="8" w:color="02AE90"/>
              <w:right w:val="single" w:sz="8" w:color="02AE90"/>
            </w:tcBorders>
          </w:tcPr>
          <w:p>
            <w:pPr>
              <w:spacing w:after="0"/>
              <w:rPr>
                <w:sz w:val="15"/>
                <w:szCs w:val="15"/>
                <w:color w:val="auto"/>
              </w:rPr>
            </w:pPr>
          </w:p>
        </w:tc>
        <w:tc>
          <w:tcPr>
            <w:tcW w:w="1440" w:type="dxa"/>
            <w:vAlign w:val="bottom"/>
            <w:tcBorders>
              <w:bottom w:val="single" w:sz="8" w:color="02AE90"/>
              <w:right w:val="single" w:sz="8" w:color="02AE90"/>
            </w:tcBorders>
            <w:vMerge w:val="continue"/>
          </w:tcPr>
          <w:p>
            <w:pPr>
              <w:spacing w:after="0"/>
              <w:rPr>
                <w:sz w:val="15"/>
                <w:szCs w:val="15"/>
                <w:color w:val="auto"/>
              </w:rPr>
            </w:pPr>
          </w:p>
        </w:tc>
        <w:tc>
          <w:tcPr>
            <w:tcW w:w="80" w:type="dxa"/>
            <w:vAlign w:val="bottom"/>
            <w:tcBorders>
              <w:bottom w:val="single" w:sz="8" w:color="02AE90"/>
            </w:tcBorders>
          </w:tcPr>
          <w:p>
            <w:pPr>
              <w:spacing w:after="0"/>
              <w:rPr>
                <w:sz w:val="15"/>
                <w:szCs w:val="15"/>
                <w:color w:val="auto"/>
              </w:rPr>
            </w:pPr>
          </w:p>
        </w:tc>
        <w:tc>
          <w:tcPr>
            <w:tcW w:w="1080" w:type="dxa"/>
            <w:vAlign w:val="bottom"/>
            <w:tcBorders>
              <w:bottom w:val="single" w:sz="8" w:color="02AE90"/>
              <w:right w:val="single" w:sz="8" w:color="02AE90"/>
            </w:tcBorders>
            <w:vMerge w:val="continue"/>
          </w:tcPr>
          <w:p>
            <w:pPr>
              <w:spacing w:after="0"/>
              <w:rPr>
                <w:sz w:val="15"/>
                <w:szCs w:val="15"/>
                <w:color w:val="auto"/>
              </w:rPr>
            </w:pPr>
          </w:p>
        </w:tc>
        <w:tc>
          <w:tcPr>
            <w:tcW w:w="1140" w:type="dxa"/>
            <w:vAlign w:val="bottom"/>
            <w:tcBorders>
              <w:bottom w:val="single" w:sz="8" w:color="02AE90"/>
              <w:right w:val="single" w:sz="8" w:color="02AE90"/>
            </w:tcBorders>
            <w:vMerge w:val="continue"/>
          </w:tcPr>
          <w:p>
            <w:pPr>
              <w:spacing w:after="0"/>
              <w:rPr>
                <w:sz w:val="15"/>
                <w:szCs w:val="15"/>
                <w:color w:val="auto"/>
              </w:rPr>
            </w:pPr>
          </w:p>
        </w:tc>
        <w:tc>
          <w:tcPr>
            <w:tcW w:w="1100" w:type="dxa"/>
            <w:vAlign w:val="bottom"/>
            <w:tcBorders>
              <w:bottom w:val="single" w:sz="8" w:color="02AE90"/>
              <w:right w:val="single" w:sz="8" w:color="02AE9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Addition of Year-End Fair Value Awards Granted in the Applicable Fiscal Year that are Outstanding and</w:t>
            </w:r>
          </w:p>
        </w:tc>
        <w:tc>
          <w:tcPr>
            <w:tcW w:w="160" w:type="dxa"/>
            <w:vAlign w:val="bottom"/>
            <w:tcBorders>
              <w:right w:val="single" w:sz="8" w:color="02AE90"/>
            </w:tcBorders>
          </w:tcPr>
          <w:p>
            <w:pPr>
              <w:spacing w:after="0"/>
              <w:rPr>
                <w:sz w:val="11"/>
                <w:szCs w:val="11"/>
                <w:color w:val="auto"/>
              </w:rPr>
            </w:pPr>
          </w:p>
        </w:tc>
        <w:tc>
          <w:tcPr>
            <w:tcW w:w="1440" w:type="dxa"/>
            <w:vAlign w:val="bottom"/>
            <w:tcBorders>
              <w:right w:val="single" w:sz="8" w:color="02AE90"/>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11,882,765</w:t>
            </w:r>
          </w:p>
        </w:tc>
        <w:tc>
          <w:tcPr>
            <w:tcW w:w="80" w:type="dxa"/>
            <w:vAlign w:val="bottom"/>
          </w:tcPr>
          <w:p>
            <w:pPr>
              <w:spacing w:after="0"/>
              <w:rPr>
                <w:sz w:val="11"/>
                <w:szCs w:val="11"/>
                <w:color w:val="auto"/>
              </w:rPr>
            </w:pPr>
          </w:p>
        </w:tc>
        <w:tc>
          <w:tcPr>
            <w:tcW w:w="108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6,080,847</w:t>
            </w:r>
          </w:p>
        </w:tc>
        <w:tc>
          <w:tcPr>
            <w:tcW w:w="1100" w:type="dxa"/>
            <w:vAlign w:val="bottom"/>
            <w:tcBorders>
              <w:right w:val="single" w:sz="8" w:color="02AE90"/>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Unvested</w:t>
            </w:r>
          </w:p>
        </w:tc>
        <w:tc>
          <w:tcPr>
            <w:tcW w:w="160" w:type="dxa"/>
            <w:vAlign w:val="bottom"/>
            <w:tcBorders>
              <w:bottom w:val="single" w:sz="8" w:color="02AE90"/>
              <w:right w:val="single" w:sz="8" w:color="02AE90"/>
            </w:tcBorders>
          </w:tcPr>
          <w:p>
            <w:pPr>
              <w:spacing w:after="0"/>
              <w:rPr>
                <w:sz w:val="15"/>
                <w:szCs w:val="15"/>
                <w:color w:val="auto"/>
              </w:rPr>
            </w:pPr>
          </w:p>
        </w:tc>
        <w:tc>
          <w:tcPr>
            <w:tcW w:w="1440" w:type="dxa"/>
            <w:vAlign w:val="bottom"/>
            <w:tcBorders>
              <w:bottom w:val="single" w:sz="8" w:color="02AE90"/>
              <w:right w:val="single" w:sz="8" w:color="02AE90"/>
            </w:tcBorders>
            <w:vMerge w:val="continue"/>
          </w:tcPr>
          <w:p>
            <w:pPr>
              <w:spacing w:after="0"/>
              <w:rPr>
                <w:sz w:val="15"/>
                <w:szCs w:val="15"/>
                <w:color w:val="auto"/>
              </w:rPr>
            </w:pPr>
          </w:p>
        </w:tc>
        <w:tc>
          <w:tcPr>
            <w:tcW w:w="80" w:type="dxa"/>
            <w:vAlign w:val="bottom"/>
            <w:tcBorders>
              <w:bottom w:val="single" w:sz="8" w:color="02AE90"/>
            </w:tcBorders>
          </w:tcPr>
          <w:p>
            <w:pPr>
              <w:spacing w:after="0"/>
              <w:rPr>
                <w:sz w:val="15"/>
                <w:szCs w:val="15"/>
                <w:color w:val="auto"/>
              </w:rPr>
            </w:pPr>
          </w:p>
        </w:tc>
        <w:tc>
          <w:tcPr>
            <w:tcW w:w="1080" w:type="dxa"/>
            <w:vAlign w:val="bottom"/>
            <w:tcBorders>
              <w:bottom w:val="single" w:sz="8" w:color="02AE90"/>
              <w:right w:val="single" w:sz="8" w:color="02AE90"/>
            </w:tcBorders>
            <w:vMerge w:val="continue"/>
          </w:tcPr>
          <w:p>
            <w:pPr>
              <w:spacing w:after="0"/>
              <w:rPr>
                <w:sz w:val="15"/>
                <w:szCs w:val="15"/>
                <w:color w:val="auto"/>
              </w:rPr>
            </w:pPr>
          </w:p>
        </w:tc>
        <w:tc>
          <w:tcPr>
            <w:tcW w:w="1140" w:type="dxa"/>
            <w:vAlign w:val="bottom"/>
            <w:tcBorders>
              <w:bottom w:val="single" w:sz="8" w:color="02AE90"/>
              <w:right w:val="single" w:sz="8" w:color="02AE90"/>
            </w:tcBorders>
            <w:vMerge w:val="continue"/>
          </w:tcPr>
          <w:p>
            <w:pPr>
              <w:spacing w:after="0"/>
              <w:rPr>
                <w:sz w:val="15"/>
                <w:szCs w:val="15"/>
                <w:color w:val="auto"/>
              </w:rPr>
            </w:pPr>
          </w:p>
        </w:tc>
        <w:tc>
          <w:tcPr>
            <w:tcW w:w="1100" w:type="dxa"/>
            <w:vAlign w:val="bottom"/>
            <w:tcBorders>
              <w:bottom w:val="single" w:sz="8" w:color="02AE90"/>
              <w:right w:val="single" w:sz="8" w:color="02AE9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624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Additions (Deductions) for Change in Fair Value of Awards Granted in Prior Fiscal Years' That Vested in the</w:t>
            </w:r>
          </w:p>
        </w:tc>
        <w:tc>
          <w:tcPr>
            <w:tcW w:w="160" w:type="dxa"/>
            <w:vAlign w:val="bottom"/>
            <w:tcBorders>
              <w:right w:val="single" w:sz="8" w:color="02AE90"/>
            </w:tcBorders>
          </w:tcPr>
          <w:p>
            <w:pPr>
              <w:spacing w:after="0"/>
              <w:rPr>
                <w:sz w:val="11"/>
                <w:szCs w:val="11"/>
                <w:color w:val="auto"/>
              </w:rPr>
            </w:pPr>
          </w:p>
        </w:tc>
        <w:tc>
          <w:tcPr>
            <w:tcW w:w="1440" w:type="dxa"/>
            <w:vAlign w:val="bottom"/>
            <w:tcBorders>
              <w:right w:val="single" w:sz="8" w:color="02AE90"/>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8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(3,760,236)</w:t>
            </w:r>
          </w:p>
        </w:tc>
        <w:tc>
          <w:tcPr>
            <w:tcW w:w="114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4,048,455</w:t>
            </w:r>
          </w:p>
        </w:tc>
        <w:tc>
          <w:tcPr>
            <w:tcW w:w="1100" w:type="dxa"/>
            <w:vAlign w:val="bottom"/>
            <w:tcBorders>
              <w:right w:val="single" w:sz="8" w:color="02AE90"/>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(90,102)</w:t>
            </w:r>
          </w:p>
        </w:tc>
        <w:tc>
          <w:tcPr>
            <w:tcW w:w="0" w:type="dxa"/>
            <w:vAlign w:val="bottom"/>
          </w:tcPr>
          <w:p>
            <w:pPr>
              <w:spacing w:after="0"/>
              <w:rPr>
                <w:sz w:val="1"/>
                <w:szCs w:val="1"/>
                <w:color w:val="auto"/>
              </w:rPr>
            </w:pPr>
          </w:p>
        </w:tc>
      </w:tr>
      <w:tr>
        <w:trPr>
          <w:trHeight w:val="182"/>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Applicable Fiscal Year</w:t>
            </w:r>
          </w:p>
        </w:tc>
        <w:tc>
          <w:tcPr>
            <w:tcW w:w="160" w:type="dxa"/>
            <w:vAlign w:val="bottom"/>
            <w:tcBorders>
              <w:bottom w:val="single" w:sz="8" w:color="02AE90"/>
              <w:right w:val="single" w:sz="8" w:color="02AE90"/>
            </w:tcBorders>
          </w:tcPr>
          <w:p>
            <w:pPr>
              <w:spacing w:after="0"/>
              <w:rPr>
                <w:sz w:val="15"/>
                <w:szCs w:val="15"/>
                <w:color w:val="auto"/>
              </w:rPr>
            </w:pPr>
          </w:p>
        </w:tc>
        <w:tc>
          <w:tcPr>
            <w:tcW w:w="1440" w:type="dxa"/>
            <w:vAlign w:val="bottom"/>
            <w:tcBorders>
              <w:bottom w:val="single" w:sz="8" w:color="02AE90"/>
              <w:right w:val="single" w:sz="8" w:color="02AE90"/>
            </w:tcBorders>
            <w:vMerge w:val="continue"/>
          </w:tcPr>
          <w:p>
            <w:pPr>
              <w:spacing w:after="0"/>
              <w:rPr>
                <w:sz w:val="15"/>
                <w:szCs w:val="15"/>
                <w:color w:val="auto"/>
              </w:rPr>
            </w:pPr>
          </w:p>
        </w:tc>
        <w:tc>
          <w:tcPr>
            <w:tcW w:w="80" w:type="dxa"/>
            <w:vAlign w:val="bottom"/>
            <w:tcBorders>
              <w:bottom w:val="single" w:sz="8" w:color="02AE90"/>
            </w:tcBorders>
          </w:tcPr>
          <w:p>
            <w:pPr>
              <w:spacing w:after="0"/>
              <w:rPr>
                <w:sz w:val="15"/>
                <w:szCs w:val="15"/>
                <w:color w:val="auto"/>
              </w:rPr>
            </w:pPr>
          </w:p>
        </w:tc>
        <w:tc>
          <w:tcPr>
            <w:tcW w:w="1080" w:type="dxa"/>
            <w:vAlign w:val="bottom"/>
            <w:tcBorders>
              <w:bottom w:val="single" w:sz="8" w:color="02AE90"/>
              <w:right w:val="single" w:sz="8" w:color="02AE90"/>
            </w:tcBorders>
            <w:vMerge w:val="continue"/>
          </w:tcPr>
          <w:p>
            <w:pPr>
              <w:spacing w:after="0"/>
              <w:rPr>
                <w:sz w:val="15"/>
                <w:szCs w:val="15"/>
                <w:color w:val="auto"/>
              </w:rPr>
            </w:pPr>
          </w:p>
        </w:tc>
        <w:tc>
          <w:tcPr>
            <w:tcW w:w="1140" w:type="dxa"/>
            <w:vAlign w:val="bottom"/>
            <w:tcBorders>
              <w:bottom w:val="single" w:sz="8" w:color="02AE90"/>
              <w:right w:val="single" w:sz="8" w:color="02AE90"/>
            </w:tcBorders>
            <w:vMerge w:val="continue"/>
          </w:tcPr>
          <w:p>
            <w:pPr>
              <w:spacing w:after="0"/>
              <w:rPr>
                <w:sz w:val="15"/>
                <w:szCs w:val="15"/>
                <w:color w:val="auto"/>
              </w:rPr>
            </w:pPr>
          </w:p>
        </w:tc>
        <w:tc>
          <w:tcPr>
            <w:tcW w:w="1100" w:type="dxa"/>
            <w:vAlign w:val="bottom"/>
            <w:tcBorders>
              <w:bottom w:val="single" w:sz="8" w:color="02AE90"/>
              <w:right w:val="single" w:sz="8" w:color="02AE9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Deduction of Fair Value of Prior Fiscal Years' Awards Forfeited During the Fiscal Year</w:t>
            </w:r>
          </w:p>
        </w:tc>
        <w:tc>
          <w:tcPr>
            <w:tcW w:w="160" w:type="dxa"/>
            <w:vAlign w:val="bottom"/>
            <w:tcBorders>
              <w:bottom w:val="single" w:sz="8" w:color="02AE90"/>
              <w:right w:val="single" w:sz="8" w:color="02AE90"/>
            </w:tcBorders>
          </w:tcPr>
          <w:p>
            <w:pPr>
              <w:spacing w:after="0"/>
              <w:rPr>
                <w:sz w:val="14"/>
                <w:szCs w:val="14"/>
                <w:color w:val="auto"/>
              </w:rPr>
            </w:pPr>
          </w:p>
        </w:tc>
        <w:tc>
          <w:tcPr>
            <w:tcW w:w="1440" w:type="dxa"/>
            <w:vAlign w:val="bottom"/>
            <w:tcBorders>
              <w:bottom w:val="single" w:sz="8" w:color="02AE90"/>
              <w:right w:val="single" w:sz="8" w:color="02AE90"/>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02AE90"/>
            </w:tcBorders>
          </w:tcPr>
          <w:p>
            <w:pPr>
              <w:spacing w:after="0"/>
              <w:rPr>
                <w:sz w:val="14"/>
                <w:szCs w:val="14"/>
                <w:color w:val="auto"/>
              </w:rPr>
            </w:pPr>
          </w:p>
        </w:tc>
        <w:tc>
          <w:tcPr>
            <w:tcW w:w="108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(871,802)</w:t>
            </w:r>
          </w:p>
        </w:tc>
        <w:tc>
          <w:tcPr>
            <w:tcW w:w="114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(1,720,411)</w:t>
            </w:r>
          </w:p>
        </w:tc>
        <w:tc>
          <w:tcPr>
            <w:tcW w:w="1100" w:type="dxa"/>
            <w:vAlign w:val="bottom"/>
            <w:tcBorders>
              <w:bottom w:val="single" w:sz="8" w:color="02AE90"/>
              <w:right w:val="single" w:sz="8" w:color="02AE90"/>
            </w:tcBorders>
          </w:tcPr>
          <w:p>
            <w:pPr>
              <w:jc w:val="right"/>
              <w:ind w:right="69"/>
              <w:spacing w:after="0"/>
              <w:rPr>
                <w:sz w:val="20"/>
                <w:szCs w:val="20"/>
                <w:color w:val="auto"/>
              </w:rPr>
            </w:pPr>
            <w:r>
              <w:rPr>
                <w:rFonts w:ascii="Times New Roman" w:cs="Times New Roman" w:eastAsia="Times New Roman" w:hAnsi="Times New Roman"/>
                <w:sz w:val="14"/>
                <w:szCs w:val="14"/>
                <w:color w:val="auto"/>
              </w:rPr>
              <w:t>(3,309,310)</w:t>
            </w:r>
          </w:p>
        </w:tc>
        <w:tc>
          <w:tcPr>
            <w:tcW w:w="0" w:type="dxa"/>
            <w:vAlign w:val="bottom"/>
          </w:tcPr>
          <w:p>
            <w:pPr>
              <w:spacing w:after="0"/>
              <w:rPr>
                <w:sz w:val="1"/>
                <w:szCs w:val="1"/>
                <w:color w:val="auto"/>
              </w:rPr>
            </w:pPr>
          </w:p>
        </w:tc>
      </w:tr>
      <w:tr>
        <w:trPr>
          <w:trHeight w:val="166"/>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Additions (Deductions) for Change in Fair Value of Prior Fiscal Years' Awards Unvested at Fiscal Year End</w:t>
            </w:r>
          </w:p>
        </w:tc>
        <w:tc>
          <w:tcPr>
            <w:tcW w:w="160" w:type="dxa"/>
            <w:vAlign w:val="bottom"/>
            <w:tcBorders>
              <w:bottom w:val="single" w:sz="8" w:color="02AE90"/>
              <w:right w:val="single" w:sz="8" w:color="02AE90"/>
            </w:tcBorders>
          </w:tcPr>
          <w:p>
            <w:pPr>
              <w:spacing w:after="0"/>
              <w:rPr>
                <w:sz w:val="14"/>
                <w:szCs w:val="14"/>
                <w:color w:val="auto"/>
              </w:rPr>
            </w:pPr>
          </w:p>
        </w:tc>
        <w:tc>
          <w:tcPr>
            <w:tcW w:w="1440" w:type="dxa"/>
            <w:vAlign w:val="bottom"/>
            <w:tcBorders>
              <w:bottom w:val="single" w:sz="8" w:color="02AE90"/>
              <w:right w:val="single" w:sz="8" w:color="02AE90"/>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02AE90"/>
            </w:tcBorders>
          </w:tcPr>
          <w:p>
            <w:pPr>
              <w:spacing w:after="0"/>
              <w:rPr>
                <w:sz w:val="14"/>
                <w:szCs w:val="14"/>
                <w:color w:val="auto"/>
              </w:rPr>
            </w:pPr>
          </w:p>
        </w:tc>
        <w:tc>
          <w:tcPr>
            <w:tcW w:w="108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(1,815,162)</w:t>
            </w:r>
          </w:p>
        </w:tc>
        <w:tc>
          <w:tcPr>
            <w:tcW w:w="114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(996,413)</w:t>
            </w:r>
          </w:p>
        </w:tc>
        <w:tc>
          <w:tcPr>
            <w:tcW w:w="1100" w:type="dxa"/>
            <w:vAlign w:val="bottom"/>
            <w:tcBorders>
              <w:bottom w:val="single" w:sz="8" w:color="02AE90"/>
              <w:right w:val="single" w:sz="8" w:color="02AE90"/>
            </w:tcBorders>
          </w:tcPr>
          <w:p>
            <w:pPr>
              <w:jc w:val="right"/>
              <w:ind w:right="69"/>
              <w:spacing w:after="0"/>
              <w:rPr>
                <w:sz w:val="20"/>
                <w:szCs w:val="20"/>
                <w:color w:val="auto"/>
              </w:rPr>
            </w:pPr>
            <w:r>
              <w:rPr>
                <w:rFonts w:ascii="Times New Roman" w:cs="Times New Roman" w:eastAsia="Times New Roman" w:hAnsi="Times New Roman"/>
                <w:sz w:val="14"/>
                <w:szCs w:val="14"/>
                <w:color w:val="auto"/>
              </w:rPr>
              <w:t>(1,533,647)</w:t>
            </w:r>
          </w:p>
        </w:tc>
        <w:tc>
          <w:tcPr>
            <w:tcW w:w="0" w:type="dxa"/>
            <w:vAlign w:val="bottom"/>
          </w:tcPr>
          <w:p>
            <w:pPr>
              <w:spacing w:after="0"/>
              <w:rPr>
                <w:sz w:val="1"/>
                <w:szCs w:val="1"/>
                <w:color w:val="auto"/>
              </w:rPr>
            </w:pPr>
          </w:p>
        </w:tc>
      </w:tr>
      <w:tr>
        <w:trPr>
          <w:trHeight w:val="166"/>
        </w:trPr>
        <w:tc>
          <w:tcPr>
            <w:tcW w:w="624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Compensation Actually Paid to PEO</w:t>
            </w:r>
          </w:p>
        </w:tc>
        <w:tc>
          <w:tcPr>
            <w:tcW w:w="160" w:type="dxa"/>
            <w:vAlign w:val="bottom"/>
            <w:tcBorders>
              <w:bottom w:val="single" w:sz="8" w:color="02AE90"/>
              <w:right w:val="single" w:sz="8" w:color="02AE90"/>
            </w:tcBorders>
          </w:tcPr>
          <w:p>
            <w:pPr>
              <w:spacing w:after="0"/>
              <w:rPr>
                <w:sz w:val="14"/>
                <w:szCs w:val="14"/>
                <w:color w:val="auto"/>
              </w:rPr>
            </w:pPr>
          </w:p>
        </w:tc>
        <w:tc>
          <w:tcPr>
            <w:tcW w:w="1440" w:type="dxa"/>
            <w:vAlign w:val="bottom"/>
            <w:tcBorders>
              <w:bottom w:val="single" w:sz="8" w:color="02AE90"/>
              <w:right w:val="single" w:sz="8" w:color="02AE90"/>
            </w:tcBorders>
          </w:tcPr>
          <w:p>
            <w:pPr>
              <w:jc w:val="right"/>
              <w:ind w:right="89"/>
              <w:spacing w:after="0"/>
              <w:rPr>
                <w:sz w:val="20"/>
                <w:szCs w:val="20"/>
                <w:color w:val="auto"/>
              </w:rPr>
            </w:pPr>
            <w:r>
              <w:rPr>
                <w:rFonts w:ascii="Times New Roman" w:cs="Times New Roman" w:eastAsia="Times New Roman" w:hAnsi="Times New Roman"/>
                <w:sz w:val="14"/>
                <w:szCs w:val="14"/>
                <w:color w:val="auto"/>
              </w:rPr>
              <w:t>13,353,650</w:t>
            </w:r>
          </w:p>
        </w:tc>
        <w:tc>
          <w:tcPr>
            <w:tcW w:w="80" w:type="dxa"/>
            <w:vAlign w:val="bottom"/>
            <w:tcBorders>
              <w:bottom w:val="single" w:sz="8" w:color="02AE90"/>
            </w:tcBorders>
          </w:tcPr>
          <w:p>
            <w:pPr>
              <w:spacing w:after="0"/>
              <w:rPr>
                <w:sz w:val="14"/>
                <w:szCs w:val="14"/>
                <w:color w:val="auto"/>
              </w:rPr>
            </w:pPr>
          </w:p>
        </w:tc>
        <w:tc>
          <w:tcPr>
            <w:tcW w:w="108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(5,949,665)</w:t>
            </w:r>
          </w:p>
        </w:tc>
        <w:tc>
          <w:tcPr>
            <w:tcW w:w="114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8,686,111</w:t>
            </w:r>
          </w:p>
        </w:tc>
        <w:tc>
          <w:tcPr>
            <w:tcW w:w="1100" w:type="dxa"/>
            <w:vAlign w:val="bottom"/>
            <w:tcBorders>
              <w:bottom w:val="single" w:sz="8" w:color="02AE90"/>
              <w:right w:val="single" w:sz="8" w:color="02AE90"/>
            </w:tcBorders>
          </w:tcPr>
          <w:p>
            <w:pPr>
              <w:jc w:val="right"/>
              <w:ind w:right="69"/>
              <w:spacing w:after="0"/>
              <w:rPr>
                <w:sz w:val="20"/>
                <w:szCs w:val="20"/>
                <w:color w:val="auto"/>
              </w:rPr>
            </w:pPr>
            <w:r>
              <w:rPr>
                <w:rFonts w:ascii="Times New Roman" w:cs="Times New Roman" w:eastAsia="Times New Roman" w:hAnsi="Times New Roman"/>
                <w:sz w:val="14"/>
                <w:szCs w:val="14"/>
                <w:color w:val="auto"/>
              </w:rPr>
              <w:t>(4,013,595)</w:t>
            </w:r>
          </w:p>
        </w:tc>
        <w:tc>
          <w:tcPr>
            <w:tcW w:w="0" w:type="dxa"/>
            <w:vAlign w:val="bottom"/>
          </w:tcPr>
          <w:p>
            <w:pPr>
              <w:spacing w:after="0"/>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shd w:val="clear" w:color="auto" w:fill="02AE90"/>
          </w:tcPr>
          <w:p>
            <w:pPr>
              <w:ind w:left="20"/>
              <w:spacing w:after="0"/>
              <w:rPr>
                <w:sz w:val="20"/>
                <w:szCs w:val="20"/>
                <w:color w:val="auto"/>
              </w:rPr>
            </w:pPr>
            <w:r>
              <w:rPr>
                <w:rFonts w:ascii="Times New Roman" w:cs="Times New Roman" w:eastAsia="Times New Roman" w:hAnsi="Times New Roman"/>
                <w:sz w:val="14"/>
                <w:szCs w:val="14"/>
                <w:b w:val="1"/>
                <w:bCs w:val="1"/>
                <w:color w:val="FFFFFF"/>
              </w:rPr>
              <w:t>Compensation Actually Paid to Non-PEO NEOs</w:t>
            </w:r>
          </w:p>
        </w:tc>
        <w:tc>
          <w:tcPr>
            <w:tcW w:w="1800" w:type="dxa"/>
            <w:vAlign w:val="bottom"/>
            <w:tcBorders>
              <w:right w:val="single" w:sz="8" w:color="02AE90"/>
            </w:tcBorders>
            <w:gridSpan w:val="2"/>
            <w:shd w:val="clear" w:color="auto" w:fill="02AE90"/>
          </w:tcPr>
          <w:p>
            <w:pPr>
              <w:jc w:val="right"/>
              <w:ind w:right="589"/>
              <w:spacing w:after="0"/>
              <w:rPr>
                <w:sz w:val="20"/>
                <w:szCs w:val="20"/>
                <w:color w:val="auto"/>
              </w:rPr>
            </w:pPr>
            <w:r>
              <w:rPr>
                <w:rFonts w:ascii="Times New Roman" w:cs="Times New Roman" w:eastAsia="Times New Roman" w:hAnsi="Times New Roman"/>
                <w:sz w:val="14"/>
                <w:szCs w:val="14"/>
                <w:b w:val="1"/>
                <w:bCs w:val="1"/>
                <w:color w:val="FFFFFF"/>
              </w:rPr>
              <w:t>2022 ($)</w:t>
            </w:r>
          </w:p>
        </w:tc>
        <w:tc>
          <w:tcPr>
            <w:tcW w:w="1260" w:type="dxa"/>
            <w:vAlign w:val="bottom"/>
            <w:tcBorders>
              <w:right w:val="single" w:sz="8" w:color="02AE90"/>
            </w:tcBorders>
            <w:shd w:val="clear" w:color="auto" w:fill="02AE90"/>
          </w:tcPr>
          <w:p>
            <w:pPr>
              <w:jc w:val="right"/>
              <w:ind w:right="409"/>
              <w:spacing w:after="0"/>
              <w:rPr>
                <w:sz w:val="20"/>
                <w:szCs w:val="20"/>
                <w:color w:val="auto"/>
              </w:rPr>
            </w:pPr>
            <w:r>
              <w:rPr>
                <w:rFonts w:ascii="Times New Roman" w:cs="Times New Roman" w:eastAsia="Times New Roman" w:hAnsi="Times New Roman"/>
                <w:sz w:val="14"/>
                <w:szCs w:val="14"/>
                <w:b w:val="1"/>
                <w:bCs w:val="1"/>
                <w:color w:val="FFFFFF"/>
              </w:rPr>
              <w:t>2021 ($)</w:t>
            </w:r>
          </w:p>
        </w:tc>
        <w:tc>
          <w:tcPr>
            <w:tcW w:w="1260" w:type="dxa"/>
            <w:vAlign w:val="bottom"/>
            <w:tcBorders>
              <w:right w:val="single" w:sz="8" w:color="02AE90"/>
            </w:tcBorders>
            <w:shd w:val="clear" w:color="auto" w:fill="02AE90"/>
          </w:tcPr>
          <w:p>
            <w:pPr>
              <w:jc w:val="right"/>
              <w:ind w:right="409"/>
              <w:spacing w:after="0"/>
              <w:rPr>
                <w:sz w:val="20"/>
                <w:szCs w:val="20"/>
                <w:color w:val="auto"/>
              </w:rPr>
            </w:pPr>
            <w:r>
              <w:rPr>
                <w:rFonts w:ascii="Times New Roman" w:cs="Times New Roman" w:eastAsia="Times New Roman" w:hAnsi="Times New Roman"/>
                <w:sz w:val="14"/>
                <w:szCs w:val="14"/>
                <w:b w:val="1"/>
                <w:bCs w:val="1"/>
                <w:color w:val="FFFFFF"/>
              </w:rPr>
              <w:t>2020 ($)</w:t>
            </w:r>
          </w:p>
        </w:tc>
        <w:tc>
          <w:tcPr>
            <w:tcW w:w="0" w:type="dxa"/>
            <w:vAlign w:val="bottom"/>
          </w:tcPr>
          <w:p>
            <w:pPr>
              <w:spacing w:after="0"/>
              <w:rPr>
                <w:sz w:val="1"/>
                <w:szCs w:val="1"/>
                <w:color w:val="auto"/>
              </w:rPr>
            </w:pPr>
          </w:p>
        </w:tc>
      </w:tr>
      <w:tr>
        <w:trPr>
          <w:trHeight w:val="173"/>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80" w:type="dxa"/>
            <w:vAlign w:val="bottom"/>
            <w:tcBorders>
              <w:bottom w:val="single" w:sz="8" w:color="02AE90"/>
              <w:right w:val="single" w:sz="8" w:color="02AE90"/>
            </w:tcBorders>
          </w:tcPr>
          <w:p>
            <w:pPr>
              <w:spacing w:after="0"/>
              <w:rPr>
                <w:sz w:val="15"/>
                <w:szCs w:val="15"/>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3,009,827</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3,161,228</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3,800,054</w:t>
            </w:r>
          </w:p>
        </w:tc>
        <w:tc>
          <w:tcPr>
            <w:tcW w:w="0" w:type="dxa"/>
            <w:vAlign w:val="bottom"/>
          </w:tcPr>
          <w:p>
            <w:pPr>
              <w:spacing w:after="0"/>
              <w:rPr>
                <w:sz w:val="1"/>
                <w:szCs w:val="1"/>
                <w:color w:val="auto"/>
              </w:rPr>
            </w:pPr>
          </w:p>
        </w:tc>
      </w:tr>
      <w:tr>
        <w:trPr>
          <w:trHeight w:val="166"/>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Deductions for Grant Date Fair Value of Stock Awards and Option Awards reported in Summary Compensation Table</w:t>
            </w:r>
          </w:p>
        </w:tc>
        <w:tc>
          <w:tcPr>
            <w:tcW w:w="180" w:type="dxa"/>
            <w:vAlign w:val="bottom"/>
            <w:tcBorders>
              <w:bottom w:val="single" w:sz="8" w:color="02AE90"/>
              <w:right w:val="single" w:sz="8" w:color="02AE90"/>
            </w:tcBorders>
          </w:tcPr>
          <w:p>
            <w:pPr>
              <w:spacing w:after="0"/>
              <w:rPr>
                <w:sz w:val="14"/>
                <w:szCs w:val="14"/>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(2,049,980)</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(2,299,953)</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(2,959,675)</w:t>
            </w:r>
          </w:p>
        </w:tc>
        <w:tc>
          <w:tcPr>
            <w:tcW w:w="0" w:type="dxa"/>
            <w:vAlign w:val="bottom"/>
          </w:tcPr>
          <w:p>
            <w:pPr>
              <w:spacing w:after="0"/>
              <w:rPr>
                <w:sz w:val="1"/>
                <w:szCs w:val="1"/>
                <w:color w:val="auto"/>
              </w:rPr>
            </w:pPr>
          </w:p>
        </w:tc>
      </w:tr>
      <w:tr>
        <w:trPr>
          <w:trHeight w:val="166"/>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Addition of Year-End Fair Value Awards Granted in the Applicable Fiscal Year that are Outstanding and Unvested</w:t>
            </w:r>
          </w:p>
        </w:tc>
        <w:tc>
          <w:tcPr>
            <w:tcW w:w="180" w:type="dxa"/>
            <w:vAlign w:val="bottom"/>
            <w:tcBorders>
              <w:bottom w:val="single" w:sz="8" w:color="02AE90"/>
              <w:right w:val="single" w:sz="8" w:color="02AE90"/>
            </w:tcBorders>
          </w:tcPr>
          <w:p>
            <w:pPr>
              <w:spacing w:after="0"/>
              <w:rPr>
                <w:sz w:val="14"/>
                <w:szCs w:val="14"/>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966,987</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1,182,594</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3,355,258</w:t>
            </w:r>
          </w:p>
        </w:tc>
        <w:tc>
          <w:tcPr>
            <w:tcW w:w="0" w:type="dxa"/>
            <w:vAlign w:val="bottom"/>
          </w:tcPr>
          <w:p>
            <w:pPr>
              <w:spacing w:after="0"/>
              <w:rPr>
                <w:sz w:val="1"/>
                <w:szCs w:val="1"/>
                <w:color w:val="auto"/>
              </w:rPr>
            </w:pPr>
          </w:p>
        </w:tc>
      </w:tr>
      <w:tr>
        <w:trPr>
          <w:trHeight w:val="130"/>
        </w:trPr>
        <w:tc>
          <w:tcPr>
            <w:tcW w:w="692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Additions (Deductions) for Change in Fair Value of Awards Granted in Prior Fiscal Years' That Vested in the Applicable</w:t>
            </w:r>
          </w:p>
        </w:tc>
        <w:tc>
          <w:tcPr>
            <w:tcW w:w="180" w:type="dxa"/>
            <w:vAlign w:val="bottom"/>
            <w:tcBorders>
              <w:right w:val="single" w:sz="8" w:color="02AE90"/>
            </w:tcBorders>
          </w:tcPr>
          <w:p>
            <w:pPr>
              <w:spacing w:after="0"/>
              <w:rPr>
                <w:sz w:val="11"/>
                <w:szCs w:val="11"/>
                <w:color w:val="auto"/>
              </w:rPr>
            </w:pPr>
          </w:p>
        </w:tc>
        <w:tc>
          <w:tcPr>
            <w:tcW w:w="162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103,337</w:t>
            </w:r>
          </w:p>
        </w:tc>
        <w:tc>
          <w:tcPr>
            <w:tcW w:w="126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749,321</w:t>
            </w:r>
          </w:p>
        </w:tc>
        <w:tc>
          <w:tcPr>
            <w:tcW w:w="1260" w:type="dxa"/>
            <w:vAlign w:val="bottom"/>
            <w:tcBorders>
              <w:right w:val="single" w:sz="8" w:color="02AE90"/>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(331,270)</w:t>
            </w:r>
          </w:p>
        </w:tc>
        <w:tc>
          <w:tcPr>
            <w:tcW w:w="0" w:type="dxa"/>
            <w:vAlign w:val="bottom"/>
          </w:tcPr>
          <w:p>
            <w:pPr>
              <w:spacing w:after="0"/>
              <w:rPr>
                <w:sz w:val="1"/>
                <w:szCs w:val="1"/>
                <w:color w:val="auto"/>
              </w:rPr>
            </w:pPr>
          </w:p>
        </w:tc>
      </w:tr>
      <w:tr>
        <w:trPr>
          <w:trHeight w:val="182"/>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Fiscal Year</w:t>
            </w:r>
          </w:p>
        </w:tc>
        <w:tc>
          <w:tcPr>
            <w:tcW w:w="180" w:type="dxa"/>
            <w:vAlign w:val="bottom"/>
            <w:tcBorders>
              <w:bottom w:val="single" w:sz="8" w:color="02AE90"/>
              <w:right w:val="single" w:sz="8" w:color="02AE90"/>
            </w:tcBorders>
          </w:tcPr>
          <w:p>
            <w:pPr>
              <w:spacing w:after="0"/>
              <w:rPr>
                <w:sz w:val="15"/>
                <w:szCs w:val="15"/>
                <w:color w:val="auto"/>
              </w:rPr>
            </w:pPr>
          </w:p>
        </w:tc>
        <w:tc>
          <w:tcPr>
            <w:tcW w:w="1620" w:type="dxa"/>
            <w:vAlign w:val="bottom"/>
            <w:tcBorders>
              <w:bottom w:val="single" w:sz="8" w:color="02AE90"/>
              <w:right w:val="single" w:sz="8" w:color="02AE90"/>
            </w:tcBorders>
            <w:vMerge w:val="continue"/>
          </w:tcPr>
          <w:p>
            <w:pPr>
              <w:spacing w:after="0"/>
              <w:rPr>
                <w:sz w:val="15"/>
                <w:szCs w:val="15"/>
                <w:color w:val="auto"/>
              </w:rPr>
            </w:pPr>
          </w:p>
        </w:tc>
        <w:tc>
          <w:tcPr>
            <w:tcW w:w="1260" w:type="dxa"/>
            <w:vAlign w:val="bottom"/>
            <w:tcBorders>
              <w:bottom w:val="single" w:sz="8" w:color="02AE90"/>
              <w:right w:val="single" w:sz="8" w:color="02AE90"/>
            </w:tcBorders>
            <w:vMerge w:val="continue"/>
          </w:tcPr>
          <w:p>
            <w:pPr>
              <w:spacing w:after="0"/>
              <w:rPr>
                <w:sz w:val="15"/>
                <w:szCs w:val="15"/>
                <w:color w:val="auto"/>
              </w:rPr>
            </w:pPr>
          </w:p>
        </w:tc>
        <w:tc>
          <w:tcPr>
            <w:tcW w:w="1260" w:type="dxa"/>
            <w:vAlign w:val="bottom"/>
            <w:tcBorders>
              <w:bottom w:val="single" w:sz="8" w:color="02AE90"/>
              <w:right w:val="single" w:sz="8" w:color="02AE9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Deduction of Fair Value of Prior Fiscal Years' Awards Forfeited During the Fiscal Year</w:t>
            </w:r>
          </w:p>
        </w:tc>
        <w:tc>
          <w:tcPr>
            <w:tcW w:w="180" w:type="dxa"/>
            <w:vAlign w:val="bottom"/>
            <w:tcBorders>
              <w:bottom w:val="single" w:sz="8" w:color="02AE90"/>
              <w:right w:val="single" w:sz="8" w:color="02AE90"/>
            </w:tcBorders>
          </w:tcPr>
          <w:p>
            <w:pPr>
              <w:spacing w:after="0"/>
              <w:rPr>
                <w:sz w:val="14"/>
                <w:szCs w:val="14"/>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(106,930)</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(14,848)</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(132,578)</w:t>
            </w:r>
          </w:p>
        </w:tc>
        <w:tc>
          <w:tcPr>
            <w:tcW w:w="0" w:type="dxa"/>
            <w:vAlign w:val="bottom"/>
          </w:tcPr>
          <w:p>
            <w:pPr>
              <w:spacing w:after="0"/>
              <w:rPr>
                <w:sz w:val="1"/>
                <w:szCs w:val="1"/>
                <w:color w:val="auto"/>
              </w:rPr>
            </w:pPr>
          </w:p>
        </w:tc>
      </w:tr>
      <w:tr>
        <w:trPr>
          <w:trHeight w:val="166"/>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Additions (Deductions) for Change in Fair Value of Prior Fiscal Years' Awards Unvested at Fiscal Year End</w:t>
            </w:r>
          </w:p>
        </w:tc>
        <w:tc>
          <w:tcPr>
            <w:tcW w:w="180" w:type="dxa"/>
            <w:vAlign w:val="bottom"/>
            <w:tcBorders>
              <w:bottom w:val="single" w:sz="8" w:color="02AE90"/>
              <w:right w:val="single" w:sz="8" w:color="02AE90"/>
            </w:tcBorders>
          </w:tcPr>
          <w:p>
            <w:pPr>
              <w:spacing w:after="0"/>
              <w:rPr>
                <w:sz w:val="14"/>
                <w:szCs w:val="14"/>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(1,173,486)</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(452,146)</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(203,337)</w:t>
            </w:r>
          </w:p>
        </w:tc>
        <w:tc>
          <w:tcPr>
            <w:tcW w:w="0" w:type="dxa"/>
            <w:vAlign w:val="bottom"/>
          </w:tcPr>
          <w:p>
            <w:pPr>
              <w:spacing w:after="0"/>
              <w:rPr>
                <w:sz w:val="1"/>
                <w:szCs w:val="1"/>
                <w:color w:val="auto"/>
              </w:rPr>
            </w:pPr>
          </w:p>
        </w:tc>
      </w:tr>
      <w:tr>
        <w:trPr>
          <w:trHeight w:val="166"/>
        </w:trPr>
        <w:tc>
          <w:tcPr>
            <w:tcW w:w="6920" w:type="dxa"/>
            <w:vAlign w:val="bottom"/>
            <w:tcBorders>
              <w:bottom w:val="single" w:sz="8" w:color="02AE90"/>
            </w:tcBorders>
          </w:tcPr>
          <w:p>
            <w:pPr>
              <w:ind w:left="20"/>
              <w:spacing w:after="0"/>
              <w:rPr>
                <w:sz w:val="20"/>
                <w:szCs w:val="20"/>
                <w:color w:val="auto"/>
              </w:rPr>
            </w:pPr>
            <w:r>
              <w:rPr>
                <w:rFonts w:ascii="Times New Roman" w:cs="Times New Roman" w:eastAsia="Times New Roman" w:hAnsi="Times New Roman"/>
                <w:sz w:val="14"/>
                <w:szCs w:val="14"/>
                <w:color w:val="auto"/>
              </w:rPr>
              <w:t>Compensation Actually Paid to Non-PEO NEOs</w:t>
            </w:r>
          </w:p>
        </w:tc>
        <w:tc>
          <w:tcPr>
            <w:tcW w:w="180" w:type="dxa"/>
            <w:vAlign w:val="bottom"/>
            <w:tcBorders>
              <w:bottom w:val="single" w:sz="8" w:color="02AE90"/>
              <w:right w:val="single" w:sz="8" w:color="02AE90"/>
            </w:tcBorders>
          </w:tcPr>
          <w:p>
            <w:pPr>
              <w:spacing w:after="0"/>
              <w:rPr>
                <w:sz w:val="14"/>
                <w:szCs w:val="14"/>
                <w:color w:val="auto"/>
              </w:rPr>
            </w:pPr>
          </w:p>
        </w:tc>
        <w:tc>
          <w:tcPr>
            <w:tcW w:w="162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749,754</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2,326,196</w:t>
            </w:r>
          </w:p>
        </w:tc>
        <w:tc>
          <w:tcPr>
            <w:tcW w:w="1260" w:type="dxa"/>
            <w:vAlign w:val="bottom"/>
            <w:tcBorders>
              <w:bottom w:val="single" w:sz="8" w:color="02AE90"/>
              <w:right w:val="single" w:sz="8" w:color="02AE90"/>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3,528,452</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Performance Measures Used to Link Company Performance and Compensation Actually Paid</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following is a list of our most important performance measures used by us to link CAP to our NEOs to company performance for fiscal year 2022. Each metric below is used for purposes of determining payouts under either our annual incentive program or vesting of our performance-based restricted stock units. The performance measures included in this table are not ranked by relative importance.</w:t>
      </w:r>
    </w:p>
    <w:p>
      <w:pPr>
        <w:spacing w:after="0" w:line="7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Revenue</w:t>
      </w:r>
    </w:p>
    <w:p>
      <w:pPr>
        <w:spacing w:after="0" w:line="200" w:lineRule="exact"/>
        <w:rPr>
          <w:sz w:val="20"/>
          <w:szCs w:val="20"/>
          <w:color w:val="auto"/>
        </w:rPr>
      </w:pPr>
    </w:p>
    <w:p>
      <w:pPr>
        <w:spacing w:after="0" w:line="230"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Please see the section "Compensation Discussion and Analysis" for a further description of these metrics and how they are used in the Company's executive compensation program.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Financial Performance</w:t>
      </w:r>
    </w:p>
    <w:p>
      <w:pPr>
        <w:spacing w:after="0" w:line="11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in more detail in the section "Compensation Discussion and Analysis," the Company's executive compensation programs reflect a variable pay for performance philosophy. The Company generally seeks to incentivize long-term performance, and therefore does not specifically align the Company's performance measures with compensation that is actually paid (as computed in accordance with SEC rules) for a particular fiscal year. In accordance with the SEC rules, the Company is providing the following descriptions of the relationships between information presented in the pay versus performance table.</w:t>
      </w:r>
    </w:p>
    <w:p>
      <w:pPr>
        <w:spacing w:after="0" w:line="7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chart below reflects the relationship between the PEO and average non-PEOs CAP and our Net Income for the fiscal years ended December 31,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275590</wp:posOffset>
            </wp:positionV>
            <wp:extent cx="5245735" cy="254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4573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chart below reflects the relationship between our TSR and our Peer Group TSR, as well as the relationship between CAP and our TSR for the PEO and non-PEOs for the fiscal years ended December 31, 2020, 2021 and 2022. TSR amounts reported in graphs assume an initial fixed investment of $[ ] on January 1, 2020, and that all dividends, if any, were reinvested.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1311910</wp:posOffset>
            </wp:positionH>
            <wp:positionV relativeFrom="page">
              <wp:posOffset>156210</wp:posOffset>
            </wp:positionV>
            <wp:extent cx="5228590" cy="2513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228590" cy="251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The chart below reflects the relationship between the PEO and average non-PEO NEOs and the Company's Adjusted EBTIDA for the years ended December 31, 2020,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73025</wp:posOffset>
            </wp:positionV>
            <wp:extent cx="5245735" cy="28422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45735" cy="284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w:t>
      </w:r>
    </w:p>
    <w:p>
      <w:pPr>
        <w:spacing w:after="0" w:line="11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named executive officers referred to herein encompasses: (i) each individual who served as our PEO at any time during Fiscal 2022; (ii) each individual who served as our principal financial officer at any time during Fiscal 2022; (iii) the next three most highly-compensated executive officers (other than any individual who served as our PEO or principal financial officer) who were serving in such capacity as of the last day of Fiscal 2022; and (iv) the two additional individuals for whom disclosure would have been provided pursuant to the foregoing clause (iii) but for the fact that the individual was not serving as an executive officer at the end of 2022. The following table sets forth certain information regarding the compensation earned by, or paid to, each of our named executive officers for services rendered in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4204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4204335"/>
                    </a:xfrm>
                    <a:prstGeom prst="rect">
                      <a:avLst/>
                    </a:prstGeom>
                    <a:noFill/>
                  </pic:spPr>
                </pic:pic>
              </a:graphicData>
            </a:graphic>
          </wp:anchor>
        </w:drawing>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060" w:type="dxa"/>
            <w:vAlign w:val="bottom"/>
            <w:tcBorders>
              <w:left w:val="single" w:sz="8" w:color="02AE90"/>
            </w:tcBorders>
            <w:shd w:val="clear" w:color="auto" w:fill="02AE90"/>
          </w:tcPr>
          <w:p>
            <w:pPr>
              <w:spacing w:after="0"/>
              <w:rPr>
                <w:sz w:val="13"/>
                <w:szCs w:val="13"/>
                <w:color w:val="auto"/>
              </w:rPr>
            </w:pPr>
          </w:p>
        </w:tc>
        <w:tc>
          <w:tcPr>
            <w:tcW w:w="120" w:type="dxa"/>
            <w:vAlign w:val="bottom"/>
            <w:tcBorders>
              <w:right w:val="single" w:sz="8" w:color="02AE90"/>
            </w:tcBorders>
            <w:shd w:val="clear" w:color="auto" w:fill="02AE90"/>
          </w:tcPr>
          <w:p>
            <w:pPr>
              <w:spacing w:after="0"/>
              <w:rPr>
                <w:sz w:val="13"/>
                <w:szCs w:val="13"/>
                <w:color w:val="auto"/>
              </w:rPr>
            </w:pPr>
          </w:p>
        </w:tc>
        <w:tc>
          <w:tcPr>
            <w:tcW w:w="700" w:type="dxa"/>
            <w:vAlign w:val="bottom"/>
            <w:tcBorders>
              <w:right w:val="single" w:sz="8" w:color="02AE90"/>
            </w:tcBorders>
            <w:shd w:val="clear" w:color="auto" w:fill="02AE90"/>
          </w:tcPr>
          <w:p>
            <w:pPr>
              <w:spacing w:after="0"/>
              <w:rPr>
                <w:sz w:val="13"/>
                <w:szCs w:val="13"/>
                <w:color w:val="auto"/>
              </w:rPr>
            </w:pPr>
          </w:p>
        </w:tc>
        <w:tc>
          <w:tcPr>
            <w:tcW w:w="1100" w:type="dxa"/>
            <w:vAlign w:val="bottom"/>
            <w:tcBorders>
              <w:right w:val="single" w:sz="8" w:color="02AE90"/>
            </w:tcBorders>
            <w:shd w:val="clear" w:color="auto" w:fill="02AE90"/>
          </w:tcPr>
          <w:p>
            <w:pPr>
              <w:spacing w:after="0"/>
              <w:rPr>
                <w:sz w:val="13"/>
                <w:szCs w:val="13"/>
                <w:color w:val="auto"/>
              </w:rPr>
            </w:pPr>
          </w:p>
        </w:tc>
        <w:tc>
          <w:tcPr>
            <w:tcW w:w="840" w:type="dxa"/>
            <w:vAlign w:val="bottom"/>
            <w:tcBorders>
              <w:right w:val="single" w:sz="8" w:color="02AE90"/>
            </w:tcBorders>
            <w:shd w:val="clear" w:color="auto" w:fill="02AE90"/>
          </w:tcPr>
          <w:p>
            <w:pPr>
              <w:spacing w:after="0"/>
              <w:rPr>
                <w:sz w:val="13"/>
                <w:szCs w:val="13"/>
                <w:color w:val="auto"/>
              </w:rPr>
            </w:pPr>
          </w:p>
        </w:tc>
        <w:tc>
          <w:tcPr>
            <w:tcW w:w="1100" w:type="dxa"/>
            <w:vAlign w:val="bottom"/>
            <w:tcBorders>
              <w:right w:val="single" w:sz="8" w:color="02AE90"/>
            </w:tcBorders>
            <w:vMerge w:val="restart"/>
            <w:shd w:val="clear" w:color="auto" w:fill="02AE90"/>
          </w:tcPr>
          <w:p>
            <w:pPr>
              <w:jc w:val="center"/>
              <w:ind w:right="74"/>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1100" w:type="dxa"/>
            <w:vAlign w:val="bottom"/>
            <w:tcBorders>
              <w:right w:val="single" w:sz="8" w:color="02AE90"/>
            </w:tcBorders>
            <w:vMerge w:val="restart"/>
            <w:shd w:val="clear" w:color="auto" w:fill="02AE90"/>
          </w:tcPr>
          <w:p>
            <w:pPr>
              <w:jc w:val="center"/>
              <w:ind w:right="74"/>
              <w:spacing w:after="0"/>
              <w:rPr>
                <w:sz w:val="20"/>
                <w:szCs w:val="20"/>
                <w:color w:val="auto"/>
              </w:rPr>
            </w:pPr>
            <w:r>
              <w:rPr>
                <w:rFonts w:ascii="Times New Roman" w:cs="Times New Roman" w:eastAsia="Times New Roman" w:hAnsi="Times New Roman"/>
                <w:sz w:val="14"/>
                <w:szCs w:val="14"/>
                <w:b w:val="1"/>
                <w:bCs w:val="1"/>
                <w:color w:val="FFFFFF"/>
                <w:w w:val="99"/>
              </w:rPr>
              <w:t>Option</w:t>
            </w:r>
          </w:p>
        </w:tc>
        <w:tc>
          <w:tcPr>
            <w:tcW w:w="1080" w:type="dxa"/>
            <w:vAlign w:val="bottom"/>
            <w:tcBorders>
              <w:right w:val="single" w:sz="8" w:color="02AE90"/>
            </w:tcBorders>
            <w:shd w:val="clear" w:color="auto" w:fill="02AE90"/>
          </w:tcPr>
          <w:p>
            <w:pPr>
              <w:jc w:val="center"/>
              <w:ind w:right="54"/>
              <w:spacing w:after="0"/>
              <w:rPr>
                <w:sz w:val="20"/>
                <w:szCs w:val="20"/>
                <w:color w:val="auto"/>
              </w:rPr>
            </w:pPr>
            <w:r>
              <w:rPr>
                <w:rFonts w:ascii="Times New Roman" w:cs="Times New Roman" w:eastAsia="Times New Roman" w:hAnsi="Times New Roman"/>
                <w:sz w:val="14"/>
                <w:szCs w:val="14"/>
                <w:b w:val="1"/>
                <w:bCs w:val="1"/>
                <w:color w:val="FFFFFF"/>
                <w:w w:val="99"/>
              </w:rPr>
              <w:t>Non-Equity</w:t>
            </w:r>
          </w:p>
        </w:tc>
        <w:tc>
          <w:tcPr>
            <w:tcW w:w="1080" w:type="dxa"/>
            <w:vAlign w:val="bottom"/>
            <w:tcBorders>
              <w:right w:val="single" w:sz="8" w:color="02AE90"/>
            </w:tcBorders>
            <w:vMerge w:val="restart"/>
            <w:shd w:val="clear" w:color="auto" w:fill="02AE90"/>
          </w:tcPr>
          <w:p>
            <w:pPr>
              <w:jc w:val="center"/>
              <w:ind w:right="54"/>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1060" w:type="dxa"/>
            <w:vAlign w:val="bottom"/>
            <w:tcBorders>
              <w:right w:val="single" w:sz="8" w:color="02AE90"/>
            </w:tcBorders>
            <w:shd w:val="clear" w:color="auto" w:fill="02AE90"/>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60" w:type="dxa"/>
            <w:vAlign w:val="bottom"/>
            <w:tcBorders>
              <w:left w:val="single" w:sz="8" w:color="02AE90"/>
            </w:tcBorders>
            <w:vMerge w:val="restart"/>
            <w:shd w:val="clear" w:color="auto" w:fill="02AE90"/>
          </w:tcPr>
          <w:p>
            <w:pPr>
              <w:ind w:left="120"/>
              <w:spacing w:after="0"/>
              <w:rPr>
                <w:sz w:val="20"/>
                <w:szCs w:val="20"/>
                <w:color w:val="auto"/>
              </w:rPr>
            </w:pPr>
            <w:r>
              <w:rPr>
                <w:rFonts w:ascii="Times New Roman" w:cs="Times New Roman" w:eastAsia="Times New Roman" w:hAnsi="Times New Roman"/>
                <w:sz w:val="14"/>
                <w:szCs w:val="14"/>
                <w:b w:val="1"/>
                <w:bCs w:val="1"/>
                <w:color w:val="FFFFFF"/>
              </w:rPr>
              <w:t>Name and</w:t>
            </w:r>
          </w:p>
        </w:tc>
        <w:tc>
          <w:tcPr>
            <w:tcW w:w="120" w:type="dxa"/>
            <w:vAlign w:val="bottom"/>
            <w:tcBorders>
              <w:right w:val="single" w:sz="8" w:color="02AE90"/>
            </w:tcBorders>
            <w:shd w:val="clear" w:color="auto" w:fill="02AE90"/>
          </w:tcPr>
          <w:p>
            <w:pPr>
              <w:spacing w:after="0"/>
              <w:rPr>
                <w:sz w:val="12"/>
                <w:szCs w:val="12"/>
                <w:color w:val="auto"/>
              </w:rPr>
            </w:pPr>
          </w:p>
        </w:tc>
        <w:tc>
          <w:tcPr>
            <w:tcW w:w="700" w:type="dxa"/>
            <w:vAlign w:val="bottom"/>
            <w:tcBorders>
              <w:right w:val="single" w:sz="8" w:color="02AE90"/>
            </w:tcBorders>
            <w:shd w:val="clear" w:color="auto" w:fill="02AE90"/>
          </w:tcPr>
          <w:p>
            <w:pPr>
              <w:spacing w:after="0"/>
              <w:rPr>
                <w:sz w:val="12"/>
                <w:szCs w:val="12"/>
                <w:color w:val="auto"/>
              </w:rPr>
            </w:pPr>
          </w:p>
        </w:tc>
        <w:tc>
          <w:tcPr>
            <w:tcW w:w="1100" w:type="dxa"/>
            <w:vAlign w:val="bottom"/>
            <w:tcBorders>
              <w:right w:val="single" w:sz="8" w:color="02AE90"/>
            </w:tcBorders>
            <w:vMerge w:val="restart"/>
            <w:shd w:val="clear" w:color="auto" w:fill="02AE90"/>
          </w:tcPr>
          <w:p>
            <w:pPr>
              <w:jc w:val="right"/>
              <w:ind w:right="333"/>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840" w:type="dxa"/>
            <w:vAlign w:val="bottom"/>
            <w:tcBorders>
              <w:right w:val="single" w:sz="8" w:color="02AE90"/>
            </w:tcBorders>
            <w:vMerge w:val="restart"/>
            <w:shd w:val="clear" w:color="auto" w:fill="02AE90"/>
          </w:tcPr>
          <w:p>
            <w:pPr>
              <w:jc w:val="right"/>
              <w:ind w:right="213"/>
              <w:spacing w:after="0"/>
              <w:rPr>
                <w:sz w:val="20"/>
                <w:szCs w:val="20"/>
                <w:color w:val="auto"/>
              </w:rPr>
            </w:pPr>
            <w:r>
              <w:rPr>
                <w:rFonts w:ascii="Times New Roman" w:cs="Times New Roman" w:eastAsia="Times New Roman" w:hAnsi="Times New Roman"/>
                <w:sz w:val="14"/>
                <w:szCs w:val="14"/>
                <w:b w:val="1"/>
                <w:bCs w:val="1"/>
                <w:color w:val="FFFFFF"/>
              </w:rPr>
              <w:t>Bonus</w:t>
            </w:r>
          </w:p>
        </w:tc>
        <w:tc>
          <w:tcPr>
            <w:tcW w:w="1100" w:type="dxa"/>
            <w:vAlign w:val="bottom"/>
            <w:tcBorders>
              <w:right w:val="single" w:sz="8" w:color="02AE90"/>
            </w:tcBorders>
            <w:vMerge w:val="continue"/>
            <w:shd w:val="clear" w:color="auto" w:fill="02AE90"/>
          </w:tcPr>
          <w:p>
            <w:pPr>
              <w:spacing w:after="0"/>
              <w:rPr>
                <w:sz w:val="12"/>
                <w:szCs w:val="12"/>
                <w:color w:val="auto"/>
              </w:rPr>
            </w:pPr>
          </w:p>
        </w:tc>
        <w:tc>
          <w:tcPr>
            <w:tcW w:w="1100" w:type="dxa"/>
            <w:vAlign w:val="bottom"/>
            <w:tcBorders>
              <w:right w:val="single" w:sz="8" w:color="02AE90"/>
            </w:tcBorders>
            <w:vMerge w:val="continue"/>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FFFFFF"/>
              </w:rPr>
              <w:t>Incentive Plan</w:t>
            </w:r>
          </w:p>
        </w:tc>
        <w:tc>
          <w:tcPr>
            <w:tcW w:w="1080" w:type="dxa"/>
            <w:vAlign w:val="bottom"/>
            <w:tcBorders>
              <w:right w:val="single" w:sz="8" w:color="02AE90"/>
            </w:tcBorders>
            <w:vMerge w:val="continue"/>
            <w:shd w:val="clear" w:color="auto" w:fill="02AE90"/>
          </w:tcPr>
          <w:p>
            <w:pPr>
              <w:spacing w:after="0"/>
              <w:rPr>
                <w:sz w:val="12"/>
                <w:szCs w:val="12"/>
                <w:color w:val="auto"/>
              </w:rPr>
            </w:pPr>
          </w:p>
        </w:tc>
        <w:tc>
          <w:tcPr>
            <w:tcW w:w="1060" w:type="dxa"/>
            <w:vAlign w:val="bottom"/>
            <w:tcBorders>
              <w:right w:val="single" w:sz="8" w:color="02AE90"/>
            </w:tcBorders>
            <w:vMerge w:val="restart"/>
            <w:shd w:val="clear" w:color="auto" w:fill="02AE90"/>
          </w:tcPr>
          <w:p>
            <w:pPr>
              <w:jc w:val="right"/>
              <w:ind w:right="35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3060" w:type="dxa"/>
            <w:vAlign w:val="bottom"/>
            <w:tcBorders>
              <w:left w:val="single" w:sz="8" w:color="02AE90"/>
            </w:tcBorders>
            <w:vMerge w:val="continue"/>
            <w:shd w:val="clear" w:color="auto" w:fill="02AE90"/>
          </w:tcPr>
          <w:p>
            <w:pPr>
              <w:spacing w:after="0"/>
              <w:rPr>
                <w:sz w:val="12"/>
                <w:szCs w:val="12"/>
                <w:color w:val="auto"/>
              </w:rPr>
            </w:pPr>
          </w:p>
        </w:tc>
        <w:tc>
          <w:tcPr>
            <w:tcW w:w="120" w:type="dxa"/>
            <w:vAlign w:val="bottom"/>
            <w:tcBorders>
              <w:right w:val="single" w:sz="8" w:color="02AE90"/>
            </w:tcBorders>
            <w:shd w:val="clear" w:color="auto" w:fill="02AE90"/>
          </w:tcPr>
          <w:p>
            <w:pPr>
              <w:spacing w:after="0"/>
              <w:rPr>
                <w:sz w:val="12"/>
                <w:szCs w:val="12"/>
                <w:color w:val="auto"/>
              </w:rPr>
            </w:pPr>
          </w:p>
        </w:tc>
        <w:tc>
          <w:tcPr>
            <w:tcW w:w="700" w:type="dxa"/>
            <w:vAlign w:val="bottom"/>
            <w:tcBorders>
              <w:right w:val="single" w:sz="8" w:color="02AE90"/>
            </w:tcBorders>
            <w:vMerge w:val="restart"/>
            <w:shd w:val="clear" w:color="auto" w:fill="02AE90"/>
          </w:tcPr>
          <w:p>
            <w:pPr>
              <w:jc w:val="center"/>
              <w:ind w:right="52"/>
              <w:spacing w:after="0"/>
              <w:rPr>
                <w:sz w:val="20"/>
                <w:szCs w:val="20"/>
                <w:color w:val="auto"/>
              </w:rPr>
            </w:pPr>
            <w:r>
              <w:rPr>
                <w:rFonts w:ascii="Times New Roman" w:cs="Times New Roman" w:eastAsia="Times New Roman" w:hAnsi="Times New Roman"/>
                <w:sz w:val="14"/>
                <w:szCs w:val="14"/>
                <w:b w:val="1"/>
                <w:bCs w:val="1"/>
                <w:color w:val="FFFFFF"/>
                <w:w w:val="94"/>
              </w:rPr>
              <w:t>Year</w:t>
            </w:r>
          </w:p>
        </w:tc>
        <w:tc>
          <w:tcPr>
            <w:tcW w:w="1100" w:type="dxa"/>
            <w:vAlign w:val="bottom"/>
            <w:tcBorders>
              <w:right w:val="single" w:sz="8" w:color="02AE90"/>
            </w:tcBorders>
            <w:vMerge w:val="continue"/>
            <w:shd w:val="clear" w:color="auto" w:fill="02AE90"/>
          </w:tcPr>
          <w:p>
            <w:pPr>
              <w:spacing w:after="0"/>
              <w:rPr>
                <w:sz w:val="12"/>
                <w:szCs w:val="12"/>
                <w:color w:val="auto"/>
              </w:rPr>
            </w:pPr>
          </w:p>
        </w:tc>
        <w:tc>
          <w:tcPr>
            <w:tcW w:w="840" w:type="dxa"/>
            <w:vAlign w:val="bottom"/>
            <w:tcBorders>
              <w:right w:val="single" w:sz="8" w:color="02AE90"/>
            </w:tcBorders>
            <w:vMerge w:val="continue"/>
            <w:shd w:val="clear" w:color="auto" w:fill="02AE90"/>
          </w:tcPr>
          <w:p>
            <w:pPr>
              <w:spacing w:after="0"/>
              <w:rPr>
                <w:sz w:val="12"/>
                <w:szCs w:val="12"/>
                <w:color w:val="auto"/>
              </w:rPr>
            </w:pPr>
          </w:p>
        </w:tc>
        <w:tc>
          <w:tcPr>
            <w:tcW w:w="1100" w:type="dxa"/>
            <w:vAlign w:val="bottom"/>
            <w:tcBorders>
              <w:right w:val="single" w:sz="8" w:color="02AE90"/>
            </w:tcBorders>
            <w:shd w:val="clear" w:color="auto" w:fill="02AE90"/>
          </w:tcPr>
          <w:p>
            <w:pPr>
              <w:jc w:val="center"/>
              <w:ind w:right="74"/>
              <w:spacing w:after="0" w:line="144" w:lineRule="exact"/>
              <w:rPr>
                <w:sz w:val="20"/>
                <w:szCs w:val="20"/>
                <w:color w:val="auto"/>
              </w:rPr>
            </w:pPr>
            <w:r>
              <w:rPr>
                <w:rFonts w:ascii="Times New Roman" w:cs="Times New Roman" w:eastAsia="Times New Roman" w:hAnsi="Times New Roman"/>
                <w:sz w:val="14"/>
                <w:szCs w:val="14"/>
                <w:b w:val="1"/>
                <w:bCs w:val="1"/>
                <w:color w:val="FFFFFF"/>
                <w:w w:val="98"/>
              </w:rPr>
              <w:t>Awards</w:t>
            </w:r>
          </w:p>
        </w:tc>
        <w:tc>
          <w:tcPr>
            <w:tcW w:w="1100" w:type="dxa"/>
            <w:vAlign w:val="bottom"/>
            <w:tcBorders>
              <w:right w:val="single" w:sz="8" w:color="02AE90"/>
            </w:tcBorders>
            <w:shd w:val="clear" w:color="auto" w:fill="02AE90"/>
          </w:tcPr>
          <w:p>
            <w:pPr>
              <w:jc w:val="center"/>
              <w:ind w:right="74"/>
              <w:spacing w:after="0" w:line="144" w:lineRule="exact"/>
              <w:rPr>
                <w:sz w:val="20"/>
                <w:szCs w:val="20"/>
                <w:color w:val="auto"/>
              </w:rPr>
            </w:pPr>
            <w:r>
              <w:rPr>
                <w:rFonts w:ascii="Times New Roman" w:cs="Times New Roman" w:eastAsia="Times New Roman" w:hAnsi="Times New Roman"/>
                <w:sz w:val="14"/>
                <w:szCs w:val="14"/>
                <w:b w:val="1"/>
                <w:bCs w:val="1"/>
                <w:color w:val="FFFFFF"/>
                <w:w w:val="98"/>
              </w:rPr>
              <w:t>Awards</w:t>
            </w:r>
          </w:p>
        </w:tc>
        <w:tc>
          <w:tcPr>
            <w:tcW w:w="1080" w:type="dxa"/>
            <w:vAlign w:val="bottom"/>
            <w:tcBorders>
              <w:right w:val="single" w:sz="8" w:color="02AE90"/>
            </w:tcBorders>
            <w:shd w:val="clear" w:color="auto" w:fill="02AE90"/>
          </w:tcPr>
          <w:p>
            <w:pPr>
              <w:jc w:val="center"/>
              <w:ind w:right="54"/>
              <w:spacing w:after="0" w:line="144" w:lineRule="exact"/>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080" w:type="dxa"/>
            <w:vAlign w:val="bottom"/>
            <w:tcBorders>
              <w:right w:val="single" w:sz="8" w:color="02AE90"/>
            </w:tcBorders>
            <w:shd w:val="clear" w:color="auto" w:fill="02AE90"/>
          </w:tcPr>
          <w:p>
            <w:pPr>
              <w:jc w:val="center"/>
              <w:ind w:right="54"/>
              <w:spacing w:after="0" w:line="144" w:lineRule="exact"/>
              <w:rPr>
                <w:sz w:val="20"/>
                <w:szCs w:val="20"/>
                <w:color w:val="auto"/>
              </w:rPr>
            </w:pPr>
            <w:r>
              <w:rPr>
                <w:rFonts w:ascii="Times New Roman" w:cs="Times New Roman" w:eastAsia="Times New Roman" w:hAnsi="Times New Roman"/>
                <w:sz w:val="14"/>
                <w:szCs w:val="14"/>
                <w:b w:val="1"/>
                <w:bCs w:val="1"/>
                <w:color w:val="FFFFFF"/>
                <w:w w:val="99"/>
              </w:rPr>
              <w:t>Compensation</w:t>
            </w:r>
          </w:p>
        </w:tc>
        <w:tc>
          <w:tcPr>
            <w:tcW w:w="1060" w:type="dxa"/>
            <w:vAlign w:val="bottom"/>
            <w:tcBorders>
              <w:right w:val="single" w:sz="8" w:color="02AE90"/>
            </w:tcBorders>
            <w:vMerge w:val="continue"/>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060" w:type="dxa"/>
            <w:vAlign w:val="bottom"/>
            <w:tcBorders>
              <w:left w:val="single" w:sz="8" w:color="02AE90"/>
            </w:tcBorders>
            <w:shd w:val="clear" w:color="auto" w:fill="02AE90"/>
          </w:tcPr>
          <w:p>
            <w:pPr>
              <w:ind w:left="120"/>
              <w:spacing w:after="0"/>
              <w:rPr>
                <w:sz w:val="20"/>
                <w:szCs w:val="20"/>
                <w:color w:val="auto"/>
              </w:rPr>
            </w:pPr>
            <w:r>
              <w:rPr>
                <w:rFonts w:ascii="Times New Roman" w:cs="Times New Roman" w:eastAsia="Times New Roman" w:hAnsi="Times New Roman"/>
                <w:sz w:val="14"/>
                <w:szCs w:val="14"/>
                <w:b w:val="1"/>
                <w:bCs w:val="1"/>
                <w:color w:val="FFFFFF"/>
              </w:rPr>
              <w:t>Principal Position</w:t>
            </w:r>
          </w:p>
        </w:tc>
        <w:tc>
          <w:tcPr>
            <w:tcW w:w="120" w:type="dxa"/>
            <w:vAlign w:val="bottom"/>
            <w:tcBorders>
              <w:right w:val="single" w:sz="8" w:color="02AE90"/>
            </w:tcBorders>
            <w:shd w:val="clear" w:color="auto" w:fill="02AE90"/>
          </w:tcPr>
          <w:p>
            <w:pPr>
              <w:spacing w:after="0"/>
              <w:rPr>
                <w:sz w:val="17"/>
                <w:szCs w:val="17"/>
                <w:color w:val="auto"/>
              </w:rPr>
            </w:pPr>
          </w:p>
        </w:tc>
        <w:tc>
          <w:tcPr>
            <w:tcW w:w="700" w:type="dxa"/>
            <w:vAlign w:val="bottom"/>
            <w:tcBorders>
              <w:right w:val="single" w:sz="8" w:color="02AE90"/>
            </w:tcBorders>
            <w:vMerge w:val="continue"/>
            <w:shd w:val="clear" w:color="auto" w:fill="02AE90"/>
          </w:tcPr>
          <w:p>
            <w:pPr>
              <w:spacing w:after="0"/>
              <w:rPr>
                <w:sz w:val="17"/>
                <w:szCs w:val="17"/>
                <w:color w:val="auto"/>
              </w:rPr>
            </w:pPr>
          </w:p>
        </w:tc>
        <w:tc>
          <w:tcPr>
            <w:tcW w:w="1100" w:type="dxa"/>
            <w:vAlign w:val="bottom"/>
            <w:tcBorders>
              <w:right w:val="single" w:sz="8" w:color="02AE90"/>
            </w:tcBorders>
            <w:shd w:val="clear" w:color="auto" w:fill="02AE90"/>
          </w:tcPr>
          <w:p>
            <w:pPr>
              <w:jc w:val="right"/>
              <w:ind w:right="453"/>
              <w:spacing w:after="0"/>
              <w:rPr>
                <w:sz w:val="20"/>
                <w:szCs w:val="20"/>
                <w:color w:val="auto"/>
              </w:rPr>
            </w:pPr>
            <w:r>
              <w:rPr>
                <w:rFonts w:ascii="Times New Roman" w:cs="Times New Roman" w:eastAsia="Times New Roman" w:hAnsi="Times New Roman"/>
                <w:sz w:val="14"/>
                <w:szCs w:val="14"/>
                <w:b w:val="1"/>
                <w:bCs w:val="1"/>
                <w:color w:val="FFFFFF"/>
              </w:rPr>
              <w:t>($)</w:t>
            </w:r>
          </w:p>
        </w:tc>
        <w:tc>
          <w:tcPr>
            <w:tcW w:w="840" w:type="dxa"/>
            <w:vAlign w:val="bottom"/>
            <w:tcBorders>
              <w:right w:val="single" w:sz="8" w:color="02AE90"/>
            </w:tcBorders>
            <w:shd w:val="clear" w:color="auto" w:fill="02AE90"/>
          </w:tcPr>
          <w:p>
            <w:pPr>
              <w:jc w:val="right"/>
              <w:ind w:right="273"/>
              <w:spacing w:after="0" w:line="182" w:lineRule="exact"/>
              <w:rPr>
                <w:sz w:val="20"/>
                <w:szCs w:val="20"/>
                <w:color w:val="auto"/>
              </w:rPr>
            </w:pPr>
            <w:r>
              <w:rPr>
                <w:rFonts w:ascii="Times New Roman" w:cs="Times New Roman" w:eastAsia="Times New Roman" w:hAnsi="Times New Roman"/>
                <w:sz w:val="14"/>
                <w:szCs w:val="14"/>
                <w:b w:val="1"/>
                <w:bCs w:val="1"/>
                <w:color w:val="FFFFFF"/>
              </w:rPr>
              <w:t>($)</w:t>
            </w:r>
            <w:r>
              <w:rPr>
                <w:rFonts w:ascii="Times New Roman" w:cs="Times New Roman" w:eastAsia="Times New Roman" w:hAnsi="Times New Roman"/>
                <w:sz w:val="18"/>
                <w:szCs w:val="18"/>
                <w:b w:val="1"/>
                <w:bCs w:val="1"/>
                <w:color w:val="FFFFFF"/>
                <w:vertAlign w:val="superscript"/>
              </w:rPr>
              <w:t>(1)</w:t>
            </w:r>
          </w:p>
        </w:tc>
        <w:tc>
          <w:tcPr>
            <w:tcW w:w="1100" w:type="dxa"/>
            <w:vAlign w:val="bottom"/>
            <w:tcBorders>
              <w:right w:val="single" w:sz="8" w:color="02AE90"/>
            </w:tcBorders>
            <w:shd w:val="clear" w:color="auto" w:fill="02AE90"/>
          </w:tcPr>
          <w:p>
            <w:pPr>
              <w:jc w:val="center"/>
              <w:ind w:right="54"/>
              <w:spacing w:after="0" w:line="182" w:lineRule="exact"/>
              <w:rPr>
                <w:sz w:val="20"/>
                <w:szCs w:val="20"/>
                <w:color w:val="auto"/>
              </w:rPr>
            </w:pPr>
            <w:r>
              <w:rPr>
                <w:rFonts w:ascii="Times New Roman" w:cs="Times New Roman" w:eastAsia="Times New Roman" w:hAnsi="Times New Roman"/>
                <w:sz w:val="14"/>
                <w:szCs w:val="14"/>
                <w:b w:val="1"/>
                <w:bCs w:val="1"/>
                <w:color w:val="FFFFFF"/>
                <w:w w:val="92"/>
              </w:rPr>
              <w:t>($)</w:t>
            </w:r>
            <w:r>
              <w:rPr>
                <w:rFonts w:ascii="Times New Roman" w:cs="Times New Roman" w:eastAsia="Times New Roman" w:hAnsi="Times New Roman"/>
                <w:sz w:val="18"/>
                <w:szCs w:val="18"/>
                <w:b w:val="1"/>
                <w:bCs w:val="1"/>
                <w:color w:val="FFFFFF"/>
                <w:w w:val="92"/>
                <w:vertAlign w:val="superscript"/>
              </w:rPr>
              <w:t>(2)</w:t>
            </w:r>
          </w:p>
        </w:tc>
        <w:tc>
          <w:tcPr>
            <w:tcW w:w="1100" w:type="dxa"/>
            <w:vAlign w:val="bottom"/>
            <w:tcBorders>
              <w:right w:val="single" w:sz="8" w:color="02AE90"/>
            </w:tcBorders>
            <w:shd w:val="clear" w:color="auto" w:fill="02AE90"/>
          </w:tcPr>
          <w:p>
            <w:pPr>
              <w:jc w:val="center"/>
              <w:ind w:right="54"/>
              <w:spacing w:after="0" w:line="182" w:lineRule="exact"/>
              <w:rPr>
                <w:sz w:val="20"/>
                <w:szCs w:val="20"/>
                <w:color w:val="auto"/>
              </w:rPr>
            </w:pPr>
            <w:r>
              <w:rPr>
                <w:rFonts w:ascii="Times New Roman" w:cs="Times New Roman" w:eastAsia="Times New Roman" w:hAnsi="Times New Roman"/>
                <w:sz w:val="14"/>
                <w:szCs w:val="14"/>
                <w:b w:val="1"/>
                <w:bCs w:val="1"/>
                <w:color w:val="FFFFFF"/>
                <w:w w:val="92"/>
              </w:rPr>
              <w:t>($)</w:t>
            </w:r>
            <w:r>
              <w:rPr>
                <w:rFonts w:ascii="Times New Roman" w:cs="Times New Roman" w:eastAsia="Times New Roman" w:hAnsi="Times New Roman"/>
                <w:sz w:val="18"/>
                <w:szCs w:val="18"/>
                <w:b w:val="1"/>
                <w:bCs w:val="1"/>
                <w:color w:val="FFFFFF"/>
                <w:w w:val="92"/>
                <w:vertAlign w:val="superscript"/>
              </w:rPr>
              <w:t>(2)</w:t>
            </w:r>
          </w:p>
        </w:tc>
        <w:tc>
          <w:tcPr>
            <w:tcW w:w="1080" w:type="dxa"/>
            <w:vAlign w:val="bottom"/>
            <w:tcBorders>
              <w:right w:val="single" w:sz="8" w:color="02AE90"/>
            </w:tcBorders>
            <w:shd w:val="clear" w:color="auto" w:fill="02AE90"/>
          </w:tcPr>
          <w:p>
            <w:pPr>
              <w:jc w:val="center"/>
              <w:ind w:right="34"/>
              <w:spacing w:after="0" w:line="182" w:lineRule="exact"/>
              <w:rPr>
                <w:sz w:val="20"/>
                <w:szCs w:val="20"/>
                <w:color w:val="auto"/>
              </w:rPr>
            </w:pPr>
            <w:r>
              <w:rPr>
                <w:rFonts w:ascii="Times New Roman" w:cs="Times New Roman" w:eastAsia="Times New Roman" w:hAnsi="Times New Roman"/>
                <w:sz w:val="14"/>
                <w:szCs w:val="14"/>
                <w:b w:val="1"/>
                <w:bCs w:val="1"/>
                <w:color w:val="FFFFFF"/>
                <w:w w:val="92"/>
              </w:rPr>
              <w:t>($)</w:t>
            </w:r>
            <w:r>
              <w:rPr>
                <w:rFonts w:ascii="Times New Roman" w:cs="Times New Roman" w:eastAsia="Times New Roman" w:hAnsi="Times New Roman"/>
                <w:sz w:val="18"/>
                <w:szCs w:val="18"/>
                <w:b w:val="1"/>
                <w:bCs w:val="1"/>
                <w:color w:val="FFFFFF"/>
                <w:w w:val="92"/>
                <w:vertAlign w:val="superscript"/>
              </w:rPr>
              <w:t>(3)</w:t>
            </w:r>
          </w:p>
        </w:tc>
        <w:tc>
          <w:tcPr>
            <w:tcW w:w="1080" w:type="dxa"/>
            <w:vAlign w:val="bottom"/>
            <w:tcBorders>
              <w:right w:val="single" w:sz="8" w:color="02AE90"/>
            </w:tcBorders>
            <w:shd w:val="clear" w:color="auto" w:fill="02AE90"/>
          </w:tcPr>
          <w:p>
            <w:pPr>
              <w:jc w:val="center"/>
              <w:ind w:right="54"/>
              <w:spacing w:after="0" w:line="182" w:lineRule="exact"/>
              <w:rPr>
                <w:sz w:val="20"/>
                <w:szCs w:val="20"/>
                <w:color w:val="auto"/>
              </w:rPr>
            </w:pPr>
            <w:r>
              <w:rPr>
                <w:rFonts w:ascii="Times New Roman" w:cs="Times New Roman" w:eastAsia="Times New Roman" w:hAnsi="Times New Roman"/>
                <w:sz w:val="14"/>
                <w:szCs w:val="14"/>
                <w:b w:val="1"/>
                <w:bCs w:val="1"/>
                <w:color w:val="FFFFFF"/>
                <w:w w:val="85"/>
              </w:rPr>
              <w:t>($)</w:t>
            </w:r>
            <w:r>
              <w:rPr>
                <w:rFonts w:ascii="Times New Roman" w:cs="Times New Roman" w:eastAsia="Times New Roman" w:hAnsi="Times New Roman"/>
                <w:sz w:val="18"/>
                <w:szCs w:val="18"/>
                <w:b w:val="1"/>
                <w:bCs w:val="1"/>
                <w:color w:val="FFFFFF"/>
                <w:w w:val="85"/>
                <w:vertAlign w:val="superscript"/>
              </w:rPr>
              <w:t>(4)</w:t>
            </w:r>
          </w:p>
        </w:tc>
        <w:tc>
          <w:tcPr>
            <w:tcW w:w="1060" w:type="dxa"/>
            <w:vAlign w:val="bottom"/>
            <w:tcBorders>
              <w:right w:val="single" w:sz="8" w:color="02AE90"/>
            </w:tcBorders>
            <w:shd w:val="clear" w:color="auto" w:fill="02AE90"/>
          </w:tcPr>
          <w:p>
            <w:pPr>
              <w:jc w:val="right"/>
              <w:ind w:right="413"/>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14"/>
        </w:trPr>
        <w:tc>
          <w:tcPr>
            <w:tcW w:w="3060" w:type="dxa"/>
            <w:vAlign w:val="bottom"/>
            <w:tcBorders>
              <w:top w:val="single" w:sz="8" w:color="02AE90"/>
              <w:left w:val="single" w:sz="8" w:color="02AE90"/>
            </w:tcBorders>
          </w:tcPr>
          <w:p>
            <w:pPr>
              <w:ind w:left="120"/>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Matt Goldberg </w:t>
            </w:r>
            <w:r>
              <w:rPr>
                <w:rFonts w:ascii="Times New Roman" w:cs="Times New Roman" w:eastAsia="Times New Roman" w:hAnsi="Times New Roman"/>
                <w:sz w:val="23"/>
                <w:szCs w:val="23"/>
                <w:b w:val="1"/>
                <w:bCs w:val="1"/>
                <w:color w:val="auto"/>
                <w:vertAlign w:val="superscript"/>
              </w:rPr>
              <w:t>(5)</w:t>
            </w:r>
          </w:p>
        </w:tc>
        <w:tc>
          <w:tcPr>
            <w:tcW w:w="120" w:type="dxa"/>
            <w:vAlign w:val="bottom"/>
            <w:tcBorders>
              <w:right w:val="single" w:sz="8" w:color="02AE90"/>
            </w:tcBorders>
          </w:tcPr>
          <w:p>
            <w:pPr>
              <w:spacing w:after="0"/>
              <w:rPr>
                <w:sz w:val="18"/>
                <w:szCs w:val="18"/>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387,692</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500,000</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8,263,363</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4,762,497</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480,000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103,193</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14,496,745</w:t>
            </w: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060" w:type="dxa"/>
            <w:vAlign w:val="bottom"/>
            <w:tcBorders>
              <w:left w:val="single" w:sz="8" w:color="02AE90"/>
            </w:tcBorders>
          </w:tcPr>
          <w:p>
            <w:pPr>
              <w:ind w:left="120"/>
              <w:spacing w:after="0" w:line="233" w:lineRule="exact"/>
              <w:rPr>
                <w:sz w:val="20"/>
                <w:szCs w:val="20"/>
                <w:color w:val="auto"/>
              </w:rPr>
            </w:pPr>
            <w:r>
              <w:rPr>
                <w:rFonts w:ascii="Times New Roman" w:cs="Times New Roman" w:eastAsia="Times New Roman" w:hAnsi="Times New Roman"/>
                <w:sz w:val="18"/>
                <w:szCs w:val="18"/>
                <w:b w:val="1"/>
                <w:bCs w:val="1"/>
                <w:color w:val="auto"/>
              </w:rPr>
              <w:t xml:space="preserve">Michael Noonan </w:t>
            </w:r>
            <w:r>
              <w:rPr>
                <w:rFonts w:ascii="Times New Roman" w:cs="Times New Roman" w:eastAsia="Times New Roman" w:hAnsi="Times New Roman"/>
                <w:sz w:val="23"/>
                <w:szCs w:val="23"/>
                <w:b w:val="1"/>
                <w:bCs w:val="1"/>
                <w:color w:val="auto"/>
                <w:vertAlign w:val="superscript"/>
              </w:rPr>
              <w:t>(6)</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80,769</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1,833,283</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916,664</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2,930,716</w:t>
            </w: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Seth J. Kalvert</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511,923</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2,499,976</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475,000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14,900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3,501,799</w:t>
            </w: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494,827</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999,976</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999,984</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364,320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15,050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2,874,157</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481,500</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2,394,394</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449,993</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297,600</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12,131</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3,635,618</w:t>
            </w:r>
          </w:p>
        </w:tc>
        <w:tc>
          <w:tcPr>
            <w:tcW w:w="0" w:type="dxa"/>
            <w:vAlign w:val="bottom"/>
          </w:tcPr>
          <w:p>
            <w:pPr>
              <w:spacing w:after="0"/>
              <w:rPr>
                <w:sz w:val="1"/>
                <w:szCs w:val="1"/>
                <w:color w:val="auto"/>
              </w:rPr>
            </w:pPr>
          </w:p>
        </w:tc>
      </w:tr>
      <w:tr>
        <w:trPr>
          <w:trHeight w:val="233"/>
        </w:trPr>
        <w:tc>
          <w:tcPr>
            <w:tcW w:w="3060" w:type="dxa"/>
            <w:vAlign w:val="bottom"/>
            <w:tcBorders>
              <w:left w:val="single" w:sz="8" w:color="02AE90"/>
            </w:tcBorders>
          </w:tcPr>
          <w:p>
            <w:pPr>
              <w:ind w:left="120"/>
              <w:spacing w:after="0" w:line="233" w:lineRule="exact"/>
              <w:rPr>
                <w:sz w:val="20"/>
                <w:szCs w:val="20"/>
                <w:color w:val="auto"/>
              </w:rPr>
            </w:pPr>
            <w:r>
              <w:rPr>
                <w:rFonts w:ascii="Times New Roman" w:cs="Times New Roman" w:eastAsia="Times New Roman" w:hAnsi="Times New Roman"/>
                <w:sz w:val="18"/>
                <w:szCs w:val="18"/>
                <w:b w:val="1"/>
                <w:bCs w:val="1"/>
                <w:color w:val="auto"/>
              </w:rPr>
              <w:t>Stephen Kaufer</w:t>
            </w:r>
            <w:r>
              <w:rPr>
                <w:rFonts w:ascii="Times New Roman" w:cs="Times New Roman" w:eastAsia="Times New Roman" w:hAnsi="Times New Roman"/>
                <w:sz w:val="23"/>
                <w:szCs w:val="23"/>
                <w:b w:val="1"/>
                <w:bCs w:val="1"/>
                <w:color w:val="auto"/>
                <w:vertAlign w:val="superscript"/>
              </w:rPr>
              <w:t>(7)</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441,346</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56,189</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497,535</w:t>
            </w:r>
          </w:p>
        </w:tc>
        <w:tc>
          <w:tcPr>
            <w:tcW w:w="0" w:type="dxa"/>
            <w:vAlign w:val="bottom"/>
          </w:tcPr>
          <w:p>
            <w:pPr>
              <w:spacing w:after="0"/>
              <w:rPr>
                <w:sz w:val="1"/>
                <w:szCs w:val="1"/>
                <w:color w:val="auto"/>
              </w:rPr>
            </w:pPr>
          </w:p>
        </w:tc>
      </w:tr>
      <w:tr>
        <w:trPr>
          <w:trHeight w:val="21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Former President and Chief Executive</w:t>
            </w:r>
          </w:p>
        </w:tc>
        <w:tc>
          <w:tcPr>
            <w:tcW w:w="120" w:type="dxa"/>
            <w:vAlign w:val="bottom"/>
            <w:tcBorders>
              <w:right w:val="single" w:sz="8" w:color="02AE90"/>
            </w:tcBorders>
          </w:tcPr>
          <w:p>
            <w:pPr>
              <w:spacing w:after="0"/>
              <w:rPr>
                <w:sz w:val="18"/>
                <w:szCs w:val="18"/>
                <w:color w:val="auto"/>
              </w:rPr>
            </w:pPr>
          </w:p>
        </w:tc>
        <w:tc>
          <w:tcPr>
            <w:tcW w:w="70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84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1080" w:type="dxa"/>
            <w:vAlign w:val="bottom"/>
            <w:tcBorders>
              <w:right w:val="single" w:sz="8" w:color="02AE90"/>
            </w:tcBorders>
          </w:tcPr>
          <w:p>
            <w:pPr>
              <w:spacing w:after="0"/>
              <w:rPr>
                <w:sz w:val="18"/>
                <w:szCs w:val="18"/>
                <w:color w:val="auto"/>
              </w:rPr>
            </w:pPr>
          </w:p>
        </w:tc>
        <w:tc>
          <w:tcPr>
            <w:tcW w:w="1080" w:type="dxa"/>
            <w:vAlign w:val="bottom"/>
            <w:tcBorders>
              <w:right w:val="single" w:sz="8" w:color="02AE90"/>
            </w:tcBorders>
          </w:tcPr>
          <w:p>
            <w:pPr>
              <w:spacing w:after="0"/>
              <w:rPr>
                <w:sz w:val="18"/>
                <w:szCs w:val="18"/>
                <w:color w:val="auto"/>
              </w:rPr>
            </w:pPr>
          </w:p>
        </w:tc>
        <w:tc>
          <w:tcPr>
            <w:tcW w:w="106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849,808</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3,502,979</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2,900,000</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410,125</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13,700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7,676,612</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184,039</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721,875</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13,550</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919,464</w:t>
            </w:r>
          </w:p>
        </w:tc>
        <w:tc>
          <w:tcPr>
            <w:tcW w:w="0" w:type="dxa"/>
            <w:vAlign w:val="bottom"/>
          </w:tcPr>
          <w:p>
            <w:pPr>
              <w:spacing w:after="0"/>
              <w:rPr>
                <w:sz w:val="1"/>
                <w:szCs w:val="1"/>
                <w:color w:val="auto"/>
              </w:rPr>
            </w:pPr>
          </w:p>
        </w:tc>
      </w:tr>
      <w:tr>
        <w:trPr>
          <w:trHeight w:val="207"/>
        </w:trPr>
        <w:tc>
          <w:tcPr>
            <w:tcW w:w="3060" w:type="dxa"/>
            <w:vAlign w:val="bottom"/>
            <w:tcBorders>
              <w:left w:val="single" w:sz="8" w:color="02AE90"/>
            </w:tcBorders>
          </w:tcPr>
          <w:p>
            <w:pPr>
              <w:ind w:left="120"/>
              <w:spacing w:after="0" w:line="207" w:lineRule="exact"/>
              <w:rPr>
                <w:sz w:val="20"/>
                <w:szCs w:val="20"/>
                <w:color w:val="auto"/>
              </w:rPr>
            </w:pPr>
            <w:r>
              <w:rPr>
                <w:rFonts w:ascii="Times New Roman" w:cs="Times New Roman" w:eastAsia="Times New Roman" w:hAnsi="Times New Roman"/>
                <w:sz w:val="18"/>
                <w:szCs w:val="18"/>
                <w:b w:val="1"/>
                <w:bCs w:val="1"/>
                <w:color w:val="auto"/>
              </w:rPr>
              <w:t>Ernst Teunissen</w:t>
            </w:r>
            <w:r>
              <w:rPr>
                <w:rFonts w:ascii="Times New Roman" w:cs="Times New Roman" w:eastAsia="Times New Roman" w:hAnsi="Times New Roman"/>
                <w:sz w:val="23"/>
                <w:szCs w:val="23"/>
                <w:b w:val="1"/>
                <w:bCs w:val="1"/>
                <w:color w:val="auto"/>
                <w:vertAlign w:val="superscript"/>
              </w:rPr>
              <w:t>(8)</w:t>
            </w:r>
          </w:p>
        </w:tc>
        <w:tc>
          <w:tcPr>
            <w:tcW w:w="120" w:type="dxa"/>
            <w:vAlign w:val="bottom"/>
            <w:tcBorders>
              <w:right w:val="single" w:sz="8" w:color="02AE90"/>
            </w:tcBorders>
          </w:tcPr>
          <w:p>
            <w:pPr>
              <w:spacing w:after="0"/>
              <w:rPr>
                <w:sz w:val="17"/>
                <w:szCs w:val="17"/>
                <w:color w:val="auto"/>
              </w:rPr>
            </w:pPr>
          </w:p>
        </w:tc>
        <w:tc>
          <w:tcPr>
            <w:tcW w:w="700" w:type="dxa"/>
            <w:vAlign w:val="bottom"/>
            <w:tcBorders>
              <w:right w:val="single" w:sz="8" w:color="02AE90"/>
            </w:tcBorders>
          </w:tcPr>
          <w:p>
            <w:pPr>
              <w:spacing w:after="0"/>
              <w:rPr>
                <w:sz w:val="17"/>
                <w:szCs w:val="17"/>
                <w:color w:val="auto"/>
              </w:rPr>
            </w:pPr>
          </w:p>
        </w:tc>
        <w:tc>
          <w:tcPr>
            <w:tcW w:w="1100" w:type="dxa"/>
            <w:vAlign w:val="bottom"/>
            <w:tcBorders>
              <w:right w:val="single" w:sz="8" w:color="02AE90"/>
            </w:tcBorders>
          </w:tcPr>
          <w:p>
            <w:pPr>
              <w:spacing w:after="0"/>
              <w:rPr>
                <w:sz w:val="17"/>
                <w:szCs w:val="17"/>
                <w:color w:val="auto"/>
              </w:rPr>
            </w:pP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1,071,44</w:t>
            </w:r>
          </w:p>
        </w:tc>
        <w:tc>
          <w:tcPr>
            <w:tcW w:w="1100" w:type="dxa"/>
            <w:vAlign w:val="bottom"/>
            <w:tcBorders>
              <w:right w:val="single" w:sz="8" w:color="02AE90"/>
            </w:tcBorders>
          </w:tcPr>
          <w:p>
            <w:pPr>
              <w:spacing w:after="0"/>
              <w:rPr>
                <w:sz w:val="17"/>
                <w:szCs w:val="17"/>
                <w:color w:val="auto"/>
              </w:rPr>
            </w:pPr>
          </w:p>
        </w:tc>
        <w:tc>
          <w:tcPr>
            <w:tcW w:w="1100" w:type="dxa"/>
            <w:vAlign w:val="bottom"/>
            <w:tcBorders>
              <w:right w:val="single" w:sz="8" w:color="02AE90"/>
            </w:tcBorders>
          </w:tcPr>
          <w:p>
            <w:pPr>
              <w:spacing w:after="0"/>
              <w:rPr>
                <w:sz w:val="17"/>
                <w:szCs w:val="17"/>
                <w:color w:val="auto"/>
              </w:rPr>
            </w:pPr>
          </w:p>
        </w:tc>
        <w:tc>
          <w:tcPr>
            <w:tcW w:w="1080" w:type="dxa"/>
            <w:vAlign w:val="bottom"/>
            <w:tcBorders>
              <w:right w:val="single" w:sz="8" w:color="02AE90"/>
            </w:tcBorders>
          </w:tcPr>
          <w:p>
            <w:pPr>
              <w:spacing w:after="0"/>
              <w:rPr>
                <w:sz w:val="17"/>
                <w:szCs w:val="17"/>
                <w:color w:val="auto"/>
              </w:rPr>
            </w:pPr>
          </w:p>
        </w:tc>
        <w:tc>
          <w:tcPr>
            <w:tcW w:w="1080" w:type="dxa"/>
            <w:vAlign w:val="bottom"/>
            <w:tcBorders>
              <w:right w:val="single" w:sz="8" w:color="02AE90"/>
            </w:tcBorders>
          </w:tcPr>
          <w:p>
            <w:pPr>
              <w:spacing w:after="0"/>
              <w:rPr>
                <w:sz w:val="17"/>
                <w:szCs w:val="17"/>
                <w:color w:val="auto"/>
              </w:rPr>
            </w:pPr>
          </w:p>
        </w:tc>
        <w:tc>
          <w:tcPr>
            <w:tcW w:w="1060" w:type="dxa"/>
            <w:vAlign w:val="bottom"/>
            <w:tcBorders>
              <w:right w:val="single" w:sz="8" w:color="02AE90"/>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spacing w:after="0"/>
              <w:rPr>
                <w:sz w:val="20"/>
                <w:szCs w:val="20"/>
                <w:color w:val="auto"/>
              </w:rPr>
            </w:pP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548,000</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2,999,987</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520,000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9,150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5,148,586</w:t>
            </w:r>
          </w:p>
        </w:tc>
        <w:tc>
          <w:tcPr>
            <w:tcW w:w="0" w:type="dxa"/>
            <w:vAlign w:val="bottom"/>
          </w:tcPr>
          <w:p>
            <w:pPr>
              <w:spacing w:after="0"/>
              <w:rPr>
                <w:sz w:val="1"/>
                <w:szCs w:val="1"/>
                <w:color w:val="auto"/>
              </w:rPr>
            </w:pPr>
          </w:p>
        </w:tc>
      </w:tr>
      <w:tr>
        <w:trPr>
          <w:trHeight w:val="239"/>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Former Chief Financial Officer and</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525,808</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1,499,987</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1,499,975</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429,216</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8,700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3,963,686</w:t>
            </w:r>
          </w:p>
        </w:tc>
        <w:tc>
          <w:tcPr>
            <w:tcW w:w="0" w:type="dxa"/>
            <w:vAlign w:val="bottom"/>
          </w:tcPr>
          <w:p>
            <w:pPr>
              <w:spacing w:after="0"/>
              <w:rPr>
                <w:sz w:val="1"/>
                <w:szCs w:val="1"/>
                <w:color w:val="auto"/>
              </w:rPr>
            </w:pPr>
          </w:p>
        </w:tc>
      </w:tr>
      <w:tr>
        <w:trPr>
          <w:trHeight w:val="220"/>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Former Chief Executive—Viator,</w:t>
            </w:r>
          </w:p>
        </w:tc>
        <w:tc>
          <w:tcPr>
            <w:tcW w:w="120" w:type="dxa"/>
            <w:vAlign w:val="bottom"/>
            <w:tcBorders>
              <w:right w:val="single" w:sz="8" w:color="02AE90"/>
            </w:tcBorders>
          </w:tcPr>
          <w:p>
            <w:pPr>
              <w:spacing w:after="0"/>
              <w:rPr>
                <w:sz w:val="19"/>
                <w:szCs w:val="19"/>
                <w:color w:val="auto"/>
              </w:rPr>
            </w:pPr>
          </w:p>
        </w:tc>
        <w:tc>
          <w:tcPr>
            <w:tcW w:w="700" w:type="dxa"/>
            <w:vAlign w:val="bottom"/>
            <w:tcBorders>
              <w:right w:val="single" w:sz="8" w:color="02AE90"/>
            </w:tcBorders>
          </w:tcPr>
          <w:p>
            <w:pPr>
              <w:spacing w:after="0"/>
              <w:rPr>
                <w:sz w:val="19"/>
                <w:szCs w:val="19"/>
                <w:color w:val="auto"/>
              </w:rPr>
            </w:pPr>
          </w:p>
        </w:tc>
        <w:tc>
          <w:tcPr>
            <w:tcW w:w="1100" w:type="dxa"/>
            <w:vAlign w:val="bottom"/>
            <w:tcBorders>
              <w:right w:val="single" w:sz="8" w:color="02AE90"/>
            </w:tcBorders>
          </w:tcPr>
          <w:p>
            <w:pPr>
              <w:spacing w:after="0"/>
              <w:rPr>
                <w:sz w:val="19"/>
                <w:szCs w:val="19"/>
                <w:color w:val="auto"/>
              </w:rPr>
            </w:pPr>
          </w:p>
        </w:tc>
        <w:tc>
          <w:tcPr>
            <w:tcW w:w="840" w:type="dxa"/>
            <w:vAlign w:val="bottom"/>
            <w:tcBorders>
              <w:right w:val="single" w:sz="8" w:color="02AE90"/>
            </w:tcBorders>
          </w:tcPr>
          <w:p>
            <w:pPr>
              <w:spacing w:after="0"/>
              <w:rPr>
                <w:sz w:val="19"/>
                <w:szCs w:val="19"/>
                <w:color w:val="auto"/>
              </w:rPr>
            </w:pPr>
          </w:p>
        </w:tc>
        <w:tc>
          <w:tcPr>
            <w:tcW w:w="1100" w:type="dxa"/>
            <w:vAlign w:val="bottom"/>
            <w:tcBorders>
              <w:right w:val="single" w:sz="8" w:color="02AE90"/>
            </w:tcBorders>
          </w:tcPr>
          <w:p>
            <w:pPr>
              <w:spacing w:after="0"/>
              <w:rPr>
                <w:sz w:val="19"/>
                <w:szCs w:val="19"/>
                <w:color w:val="auto"/>
              </w:rPr>
            </w:pPr>
          </w:p>
        </w:tc>
        <w:tc>
          <w:tcPr>
            <w:tcW w:w="1100" w:type="dxa"/>
            <w:vAlign w:val="bottom"/>
            <w:tcBorders>
              <w:right w:val="single" w:sz="8" w:color="02AE90"/>
            </w:tcBorders>
          </w:tcPr>
          <w:p>
            <w:pPr>
              <w:spacing w:after="0"/>
              <w:rPr>
                <w:sz w:val="19"/>
                <w:szCs w:val="19"/>
                <w:color w:val="auto"/>
              </w:rPr>
            </w:pPr>
          </w:p>
        </w:tc>
        <w:tc>
          <w:tcPr>
            <w:tcW w:w="1080" w:type="dxa"/>
            <w:vAlign w:val="bottom"/>
            <w:tcBorders>
              <w:right w:val="single" w:sz="8" w:color="02AE90"/>
            </w:tcBorders>
          </w:tcPr>
          <w:p>
            <w:pPr>
              <w:spacing w:after="0"/>
              <w:rPr>
                <w:sz w:val="19"/>
                <w:szCs w:val="19"/>
                <w:color w:val="auto"/>
              </w:rPr>
            </w:pPr>
          </w:p>
        </w:tc>
        <w:tc>
          <w:tcPr>
            <w:tcW w:w="1080" w:type="dxa"/>
            <w:vAlign w:val="bottom"/>
            <w:tcBorders>
              <w:right w:val="single" w:sz="8" w:color="02AE90"/>
            </w:tcBorders>
          </w:tcPr>
          <w:p>
            <w:pPr>
              <w:spacing w:after="0"/>
              <w:rPr>
                <w:sz w:val="19"/>
                <w:szCs w:val="19"/>
                <w:color w:val="auto"/>
              </w:rPr>
            </w:pPr>
          </w:p>
        </w:tc>
        <w:tc>
          <w:tcPr>
            <w:tcW w:w="1060" w:type="dxa"/>
            <w:vAlign w:val="bottom"/>
            <w:tcBorders>
              <w:right w:val="single" w:sz="8" w:color="02AE90"/>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TheFork and CruiseCritic</w:t>
            </w:r>
          </w:p>
        </w:tc>
        <w:tc>
          <w:tcPr>
            <w:tcW w:w="120" w:type="dxa"/>
            <w:vAlign w:val="bottom"/>
            <w:tcBorders>
              <w:bottom w:val="single" w:sz="8" w:color="02AE90"/>
              <w:right w:val="single" w:sz="8" w:color="02AE90"/>
            </w:tcBorders>
          </w:tcPr>
          <w:p>
            <w:pPr>
              <w:spacing w:after="0"/>
              <w:rPr>
                <w:sz w:val="20"/>
                <w:szCs w:val="20"/>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511,000</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1,743,033</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562,496</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348,840</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8,337</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3,173,706</w:t>
            </w:r>
          </w:p>
        </w:tc>
        <w:tc>
          <w:tcPr>
            <w:tcW w:w="0" w:type="dxa"/>
            <w:vAlign w:val="bottom"/>
          </w:tcPr>
          <w:p>
            <w:pPr>
              <w:spacing w:after="0"/>
              <w:rPr>
                <w:sz w:val="1"/>
                <w:szCs w:val="1"/>
                <w:color w:val="auto"/>
              </w:rPr>
            </w:pPr>
          </w:p>
        </w:tc>
      </w:tr>
      <w:tr>
        <w:trPr>
          <w:trHeight w:val="233"/>
        </w:trPr>
        <w:tc>
          <w:tcPr>
            <w:tcW w:w="3060" w:type="dxa"/>
            <w:vAlign w:val="bottom"/>
            <w:tcBorders>
              <w:left w:val="single" w:sz="8" w:color="02AE90"/>
            </w:tcBorders>
          </w:tcPr>
          <w:p>
            <w:pPr>
              <w:ind w:left="120"/>
              <w:spacing w:after="0" w:line="233" w:lineRule="exact"/>
              <w:rPr>
                <w:sz w:val="20"/>
                <w:szCs w:val="20"/>
                <w:color w:val="auto"/>
              </w:rPr>
            </w:pPr>
            <w:r>
              <w:rPr>
                <w:rFonts w:ascii="Times New Roman" w:cs="Times New Roman" w:eastAsia="Times New Roman" w:hAnsi="Times New Roman"/>
                <w:sz w:val="18"/>
                <w:szCs w:val="18"/>
                <w:b w:val="1"/>
                <w:bCs w:val="1"/>
                <w:color w:val="auto"/>
              </w:rPr>
              <w:t>Kanika Soni</w:t>
            </w:r>
            <w:r>
              <w:rPr>
                <w:rFonts w:ascii="Times New Roman" w:cs="Times New Roman" w:eastAsia="Times New Roman" w:hAnsi="Times New Roman"/>
                <w:sz w:val="23"/>
                <w:szCs w:val="23"/>
                <w:b w:val="1"/>
                <w:bCs w:val="1"/>
                <w:color w:val="auto"/>
                <w:vertAlign w:val="superscript"/>
              </w:rPr>
              <w:t>(9)</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526,923</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1,999,992</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430,000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57,062</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3,013,977</w:t>
            </w: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Former Chief Commercial Officer</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509,885</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899,955</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899,969</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376,380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9,550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2,695,739</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496,616</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2,644,397</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449,993</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327,443</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8,800</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3,927,249</w:t>
            </w:r>
          </w:p>
        </w:tc>
        <w:tc>
          <w:tcPr>
            <w:tcW w:w="0" w:type="dxa"/>
            <w:vAlign w:val="bottom"/>
          </w:tcPr>
          <w:p>
            <w:pPr>
              <w:spacing w:after="0"/>
              <w:rPr>
                <w:sz w:val="1"/>
                <w:szCs w:val="1"/>
                <w:color w:val="auto"/>
              </w:rPr>
            </w:pPr>
          </w:p>
        </w:tc>
      </w:tr>
      <w:tr>
        <w:trPr>
          <w:trHeight w:val="233"/>
        </w:trPr>
        <w:tc>
          <w:tcPr>
            <w:tcW w:w="3060" w:type="dxa"/>
            <w:vAlign w:val="bottom"/>
            <w:tcBorders>
              <w:left w:val="single" w:sz="8" w:color="02AE90"/>
            </w:tcBorders>
          </w:tcPr>
          <w:p>
            <w:pPr>
              <w:ind w:left="120"/>
              <w:spacing w:after="0" w:line="233" w:lineRule="exact"/>
              <w:rPr>
                <w:sz w:val="20"/>
                <w:szCs w:val="20"/>
                <w:color w:val="auto"/>
              </w:rPr>
            </w:pPr>
            <w:r>
              <w:rPr>
                <w:rFonts w:ascii="Times New Roman" w:cs="Times New Roman" w:eastAsia="Times New Roman" w:hAnsi="Times New Roman"/>
                <w:sz w:val="18"/>
                <w:szCs w:val="18"/>
                <w:b w:val="1"/>
                <w:bCs w:val="1"/>
                <w:color w:val="auto"/>
              </w:rPr>
              <w:t>Lindsay Nelson</w:t>
            </w:r>
            <w:r>
              <w:rPr>
                <w:rFonts w:ascii="Times New Roman" w:cs="Times New Roman" w:eastAsia="Times New Roman" w:hAnsi="Times New Roman"/>
                <w:sz w:val="23"/>
                <w:szCs w:val="23"/>
                <w:b w:val="1"/>
                <w:bCs w:val="1"/>
                <w:color w:val="auto"/>
                <w:vertAlign w:val="superscript"/>
              </w:rPr>
              <w:t>(10)</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2022</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26,815</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427,240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454,055</w:t>
            </w:r>
          </w:p>
        </w:tc>
        <w:tc>
          <w:tcPr>
            <w:tcW w:w="0" w:type="dxa"/>
            <w:vAlign w:val="bottom"/>
          </w:tcPr>
          <w:p>
            <w:pPr>
              <w:spacing w:after="0"/>
              <w:rPr>
                <w:sz w:val="1"/>
                <w:szCs w:val="1"/>
                <w:color w:val="auto"/>
              </w:rPr>
            </w:pPr>
          </w:p>
        </w:tc>
      </w:tr>
      <w:tr>
        <w:trPr>
          <w:trHeight w:val="21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Former Chief Experience and Brand</w:t>
            </w:r>
          </w:p>
        </w:tc>
        <w:tc>
          <w:tcPr>
            <w:tcW w:w="120" w:type="dxa"/>
            <w:vAlign w:val="bottom"/>
            <w:tcBorders>
              <w:right w:val="single" w:sz="8" w:color="02AE90"/>
            </w:tcBorders>
          </w:tcPr>
          <w:p>
            <w:pPr>
              <w:spacing w:after="0"/>
              <w:rPr>
                <w:sz w:val="18"/>
                <w:szCs w:val="18"/>
                <w:color w:val="auto"/>
              </w:rPr>
            </w:pPr>
          </w:p>
        </w:tc>
        <w:tc>
          <w:tcPr>
            <w:tcW w:w="70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84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1100" w:type="dxa"/>
            <w:vAlign w:val="bottom"/>
            <w:tcBorders>
              <w:right w:val="single" w:sz="8" w:color="02AE90"/>
            </w:tcBorders>
          </w:tcPr>
          <w:p>
            <w:pPr>
              <w:spacing w:after="0"/>
              <w:rPr>
                <w:sz w:val="18"/>
                <w:szCs w:val="18"/>
                <w:color w:val="auto"/>
              </w:rPr>
            </w:pPr>
          </w:p>
        </w:tc>
        <w:tc>
          <w:tcPr>
            <w:tcW w:w="1080" w:type="dxa"/>
            <w:vAlign w:val="bottom"/>
            <w:tcBorders>
              <w:right w:val="single" w:sz="8" w:color="02AE90"/>
            </w:tcBorders>
          </w:tcPr>
          <w:p>
            <w:pPr>
              <w:spacing w:after="0"/>
              <w:rPr>
                <w:sz w:val="18"/>
                <w:szCs w:val="18"/>
                <w:color w:val="auto"/>
              </w:rPr>
            </w:pPr>
          </w:p>
        </w:tc>
        <w:tc>
          <w:tcPr>
            <w:tcW w:w="1080" w:type="dxa"/>
            <w:vAlign w:val="bottom"/>
            <w:tcBorders>
              <w:right w:val="single" w:sz="8" w:color="02AE90"/>
            </w:tcBorders>
          </w:tcPr>
          <w:p>
            <w:pPr>
              <w:spacing w:after="0"/>
              <w:rPr>
                <w:sz w:val="18"/>
                <w:szCs w:val="18"/>
                <w:color w:val="auto"/>
              </w:rPr>
            </w:pPr>
          </w:p>
        </w:tc>
        <w:tc>
          <w:tcPr>
            <w:tcW w:w="1060" w:type="dxa"/>
            <w:vAlign w:val="bottom"/>
            <w:tcBorders>
              <w:right w:val="single" w:sz="8" w:color="02AE90"/>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Borders>
              <w:right w:val="single" w:sz="8" w:color="02AE90"/>
            </w:tcBorders>
          </w:tcPr>
          <w:p>
            <w:pPr>
              <w:spacing w:after="0"/>
              <w:rPr>
                <w:sz w:val="20"/>
                <w:szCs w:val="20"/>
                <w:color w:val="auto"/>
              </w:rPr>
            </w:pPr>
          </w:p>
        </w:tc>
        <w:tc>
          <w:tcPr>
            <w:tcW w:w="700" w:type="dxa"/>
            <w:vAlign w:val="bottom"/>
            <w:tcBorders>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2021</w:t>
            </w:r>
          </w:p>
        </w:tc>
        <w:tc>
          <w:tcPr>
            <w:tcW w:w="110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509,885</w:t>
            </w:r>
          </w:p>
        </w:tc>
        <w:tc>
          <w:tcPr>
            <w:tcW w:w="840" w:type="dxa"/>
            <w:vAlign w:val="bottom"/>
            <w:tcBorders>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1,199,971</w:t>
            </w:r>
          </w:p>
        </w:tc>
        <w:tc>
          <w:tcPr>
            <w:tcW w:w="110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1,199,993</w:t>
            </w:r>
          </w:p>
        </w:tc>
        <w:tc>
          <w:tcPr>
            <w:tcW w:w="1080" w:type="dxa"/>
            <w:vAlign w:val="bottom"/>
            <w:tcBorders>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192,780</w:t>
            </w:r>
          </w:p>
        </w:tc>
        <w:tc>
          <w:tcPr>
            <w:tcW w:w="108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8,700</w:t>
            </w:r>
          </w:p>
        </w:tc>
        <w:tc>
          <w:tcPr>
            <w:tcW w:w="1060" w:type="dxa"/>
            <w:vAlign w:val="bottom"/>
            <w:tcBorders>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3,111,329</w:t>
            </w:r>
          </w:p>
        </w:tc>
        <w:tc>
          <w:tcPr>
            <w:tcW w:w="0" w:type="dxa"/>
            <w:vAlign w:val="bottom"/>
          </w:tcPr>
          <w:p>
            <w:pPr>
              <w:spacing w:after="0"/>
              <w:rPr>
                <w:sz w:val="1"/>
                <w:szCs w:val="1"/>
                <w:color w:val="auto"/>
              </w:rPr>
            </w:pPr>
          </w:p>
        </w:tc>
      </w:tr>
      <w:tr>
        <w:trPr>
          <w:trHeight w:val="245"/>
        </w:trPr>
        <w:tc>
          <w:tcPr>
            <w:tcW w:w="3060" w:type="dxa"/>
            <w:vAlign w:val="bottom"/>
            <w:tcBorders>
              <w:left w:val="single" w:sz="8" w:color="02AE90"/>
              <w:bottom w:val="single" w:sz="8" w:color="02AE90"/>
            </w:tcBorders>
          </w:tcPr>
          <w:p>
            <w:pPr>
              <w:spacing w:after="0"/>
              <w:rPr>
                <w:sz w:val="21"/>
                <w:szCs w:val="21"/>
                <w:color w:val="auto"/>
              </w:rPr>
            </w:pPr>
          </w:p>
        </w:tc>
        <w:tc>
          <w:tcPr>
            <w:tcW w:w="120" w:type="dxa"/>
            <w:vAlign w:val="bottom"/>
            <w:tcBorders>
              <w:bottom w:val="single" w:sz="8" w:color="02AE90"/>
              <w:right w:val="single" w:sz="8" w:color="02AE90"/>
            </w:tcBorders>
          </w:tcPr>
          <w:p>
            <w:pPr>
              <w:spacing w:after="0"/>
              <w:rPr>
                <w:sz w:val="21"/>
                <w:szCs w:val="21"/>
                <w:color w:val="auto"/>
              </w:rPr>
            </w:pPr>
          </w:p>
        </w:tc>
        <w:tc>
          <w:tcPr>
            <w:tcW w:w="700" w:type="dxa"/>
            <w:vAlign w:val="bottom"/>
            <w:tcBorders>
              <w:bottom w:val="single" w:sz="8" w:color="02AE90"/>
              <w:right w:val="single" w:sz="8" w:color="02AE90"/>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2020</w:t>
            </w:r>
          </w:p>
        </w:tc>
        <w:tc>
          <w:tcPr>
            <w:tcW w:w="11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496,616</w:t>
            </w:r>
          </w:p>
        </w:tc>
        <w:tc>
          <w:tcPr>
            <w:tcW w:w="84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3,144,402</w:t>
            </w:r>
          </w:p>
        </w:tc>
        <w:tc>
          <w:tcPr>
            <w:tcW w:w="110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449,993</w:t>
            </w:r>
          </w:p>
        </w:tc>
        <w:tc>
          <w:tcPr>
            <w:tcW w:w="1080" w:type="dxa"/>
            <w:vAlign w:val="bottom"/>
            <w:tcBorders>
              <w:bottom w:val="single" w:sz="8" w:color="02AE90"/>
              <w:right w:val="single" w:sz="8" w:color="02AE90"/>
            </w:tcBorders>
          </w:tcPr>
          <w:p>
            <w:pPr>
              <w:jc w:val="right"/>
              <w:ind w:right="34"/>
              <w:spacing w:after="0"/>
              <w:rPr>
                <w:sz w:val="20"/>
                <w:szCs w:val="20"/>
                <w:color w:val="auto"/>
              </w:rPr>
            </w:pPr>
            <w:r>
              <w:rPr>
                <w:rFonts w:ascii="Times New Roman" w:cs="Times New Roman" w:eastAsia="Times New Roman" w:hAnsi="Times New Roman"/>
                <w:sz w:val="18"/>
                <w:szCs w:val="18"/>
                <w:color w:val="auto"/>
              </w:rPr>
              <w:t>363,083</w:t>
            </w:r>
          </w:p>
        </w:tc>
        <w:tc>
          <w:tcPr>
            <w:tcW w:w="108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9,550</w:t>
            </w:r>
          </w:p>
        </w:tc>
        <w:tc>
          <w:tcPr>
            <w:tcW w:w="106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4,463,644</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380" w:hanging="374"/>
        <w:spacing w:after="0" w:line="225"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for annual bonus awards paid to the NEOs pursuant to the Company’s incentive plan are reflected in the “Non-Equity Incentive Plan Compensation” column. The amounts reflected for Mr. Goldberg, represent a one-time signing bonus, and for Mr. Teunissen, the amount represents a payout of a bonus award contemplated by the Amended Employment Agreement entered into with Mr. Teunissen on May 8, 2020.</w:t>
      </w:r>
    </w:p>
    <w:p>
      <w:pPr>
        <w:spacing w:after="0" w:line="1" w:lineRule="exact"/>
        <w:rPr>
          <w:rFonts w:ascii="Times New Roman" w:cs="Times New Roman" w:eastAsia="Times New Roman" w:hAnsi="Times New Roman"/>
          <w:sz w:val="14"/>
          <w:szCs w:val="14"/>
          <w:color w:val="auto"/>
        </w:rPr>
      </w:pPr>
    </w:p>
    <w:p>
      <w:pPr>
        <w:jc w:val="both"/>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awards granted in the year indicated, calculated in accordance with Financial Accounting Standards Board (“FASB”) Accounting Standards Codification (“ASC”) Topic 718. See “Grants of Plan-Based Awards” below for information regarding the individual awards and the determination of the grant date fair value of these awards.</w:t>
      </w:r>
    </w:p>
    <w:p>
      <w:pPr>
        <w:spacing w:after="0" w:line="1" w:lineRule="exact"/>
        <w:rPr>
          <w:rFonts w:ascii="Times New Roman" w:cs="Times New Roman" w:eastAsia="Times New Roman" w:hAnsi="Times New Roman"/>
          <w:sz w:val="14"/>
          <w:szCs w:val="14"/>
          <w:color w:val="auto"/>
        </w:rPr>
      </w:pP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the annual cash bonus program, please see “Annual Bonus” in Compensation, Discussion and Analysis.</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the “2022 All Other Compensation” table below for information regarding the 2022 amounts reported.</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joined the Company as President and Chief Executive Officer on July 1, 2022.</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Noonan joined the Company as Chief Financial Officer on October 31, 2022.</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Kaufer resigned from the Company effective July 1, 2022.</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Teunissen resigned from the Company effective January 1, 2023.</w:t>
      </w:r>
    </w:p>
    <w:p>
      <w:pPr>
        <w:ind w:left="380" w:hanging="374"/>
        <w:spacing w:after="0" w:line="217" w:lineRule="auto"/>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Soni resigned from the Company effective April 1, 2023.</w:t>
      </w:r>
    </w:p>
    <w:p>
      <w:pPr>
        <w:ind w:left="380" w:hanging="374"/>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Nelson resigned from the Company effective February 28, 2022.</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2022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155575</wp:posOffset>
            </wp:positionV>
            <wp:extent cx="6417945" cy="1564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17945" cy="1564640"/>
                    </a:xfrm>
                    <a:prstGeom prst="rect">
                      <a:avLst/>
                    </a:prstGeom>
                    <a:noFill/>
                  </pic:spPr>
                </pic:pic>
              </a:graphicData>
            </a:graphic>
          </wp:anchor>
        </w:drawing>
      </w:r>
    </w:p>
    <w:p>
      <w:pPr>
        <w:spacing w:after="0" w:line="245" w:lineRule="exact"/>
        <w:rPr>
          <w:sz w:val="20"/>
          <w:szCs w:val="20"/>
          <w:color w:val="auto"/>
        </w:rPr>
      </w:pPr>
    </w:p>
    <w:tbl>
      <w:tblPr>
        <w:tblLayout w:type="fixed"/>
        <w:tblInd w:w="590" w:type="dxa"/>
        <w:tblCellMar>
          <w:top w:w="0" w:type="dxa"/>
          <w:left w:w="0" w:type="dxa"/>
          <w:bottom w:w="0" w:type="dxa"/>
          <w:right w:w="0" w:type="dxa"/>
        </w:tblCellMar>
      </w:tblPr>
      <w:tr>
        <w:trPr>
          <w:trHeight w:val="212"/>
        </w:trPr>
        <w:tc>
          <w:tcPr>
            <w:tcW w:w="4860" w:type="dxa"/>
            <w:vAlign w:val="bottom"/>
            <w:tcBorders>
              <w:left w:val="single" w:sz="8" w:color="02AE90"/>
              <w:right w:val="single" w:sz="8" w:color="02AE90"/>
            </w:tcBorders>
            <w:shd w:val="clear" w:color="auto" w:fill="02AE90"/>
          </w:tcPr>
          <w:p>
            <w:pPr>
              <w:spacing w:after="0"/>
              <w:rPr>
                <w:sz w:val="18"/>
                <w:szCs w:val="18"/>
                <w:color w:val="auto"/>
              </w:rPr>
            </w:pPr>
          </w:p>
        </w:tc>
        <w:tc>
          <w:tcPr>
            <w:tcW w:w="10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Housing</w:t>
            </w:r>
          </w:p>
        </w:tc>
        <w:tc>
          <w:tcPr>
            <w:tcW w:w="104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Severance</w:t>
            </w:r>
          </w:p>
        </w:tc>
        <w:tc>
          <w:tcPr>
            <w:tcW w:w="10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Heath and</w:t>
            </w:r>
          </w:p>
        </w:tc>
        <w:tc>
          <w:tcPr>
            <w:tcW w:w="1040" w:type="dxa"/>
            <w:vAlign w:val="bottom"/>
            <w:tcBorders>
              <w:right w:val="single" w:sz="8" w:color="02AE90"/>
            </w:tcBorders>
            <w:shd w:val="clear" w:color="auto" w:fill="02AE90"/>
          </w:tcPr>
          <w:p>
            <w:pPr>
              <w:jc w:val="right"/>
              <w:ind w:right="195"/>
              <w:spacing w:after="0"/>
              <w:rPr>
                <w:sz w:val="20"/>
                <w:szCs w:val="20"/>
                <w:color w:val="auto"/>
              </w:rPr>
            </w:pPr>
            <w:r>
              <w:rPr>
                <w:rFonts w:ascii="Times New Roman" w:cs="Times New Roman" w:eastAsia="Times New Roman" w:hAnsi="Times New Roman"/>
                <w:sz w:val="14"/>
                <w:szCs w:val="14"/>
                <w:b w:val="1"/>
                <w:bCs w:val="1"/>
                <w:color w:val="FFFFFF"/>
              </w:rPr>
              <w:t xml:space="preserve">Other </w:t>
            </w:r>
            <w:r>
              <w:rPr>
                <w:rFonts w:ascii="Times New Roman" w:cs="Times New Roman" w:eastAsia="Times New Roman" w:hAnsi="Times New Roman"/>
                <w:sz w:val="18"/>
                <w:szCs w:val="18"/>
                <w:b w:val="1"/>
                <w:bCs w:val="1"/>
                <w:color w:val="FFFFFF"/>
                <w:vertAlign w:val="superscript"/>
              </w:rPr>
              <w:t>(a)</w:t>
            </w:r>
          </w:p>
        </w:tc>
        <w:tc>
          <w:tcPr>
            <w:tcW w:w="1040" w:type="dxa"/>
            <w:vAlign w:val="bottom"/>
            <w:shd w:val="clear" w:color="auto" w:fill="02AE90"/>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860" w:type="dxa"/>
            <w:vAlign w:val="bottom"/>
            <w:tcBorders>
              <w:left w:val="single" w:sz="8" w:color="02AE90"/>
              <w:right w:val="single" w:sz="8" w:color="02AE90"/>
            </w:tcBorders>
            <w:shd w:val="clear" w:color="auto" w:fill="02AE90"/>
          </w:tcPr>
          <w:p>
            <w:pPr>
              <w:spacing w:after="0"/>
              <w:rPr>
                <w:sz w:val="7"/>
                <w:szCs w:val="7"/>
                <w:color w:val="auto"/>
              </w:rPr>
            </w:pPr>
          </w:p>
        </w:tc>
        <w:tc>
          <w:tcPr>
            <w:tcW w:w="1060" w:type="dxa"/>
            <w:vAlign w:val="bottom"/>
            <w:tcBorders>
              <w:right w:val="single" w:sz="8" w:color="02AE90"/>
            </w:tcBorders>
            <w:shd w:val="clear" w:color="auto" w:fill="02AE90"/>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FFFFFF"/>
              </w:rPr>
              <w:t>Relocation</w:t>
            </w:r>
          </w:p>
        </w:tc>
        <w:tc>
          <w:tcPr>
            <w:tcW w:w="1040" w:type="dxa"/>
            <w:vAlign w:val="bottom"/>
            <w:tcBorders>
              <w:right w:val="single" w:sz="8" w:color="02AE90"/>
            </w:tcBorders>
            <w:shd w:val="clear" w:color="auto" w:fill="02AE90"/>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FFFFFF"/>
              </w:rPr>
              <w:t>Benefits</w:t>
            </w:r>
          </w:p>
        </w:tc>
        <w:tc>
          <w:tcPr>
            <w:tcW w:w="1060" w:type="dxa"/>
            <w:vAlign w:val="bottom"/>
            <w:tcBorders>
              <w:right w:val="single" w:sz="8" w:color="02AE90"/>
            </w:tcBorders>
            <w:shd w:val="clear" w:color="auto" w:fill="02AE90"/>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FFFFFF"/>
              </w:rPr>
              <w:t>Family Benefit</w:t>
            </w:r>
          </w:p>
        </w:tc>
        <w:tc>
          <w:tcPr>
            <w:tcW w:w="1040" w:type="dxa"/>
            <w:vAlign w:val="bottom"/>
            <w:tcBorders>
              <w:right w:val="single" w:sz="8" w:color="02AE90"/>
            </w:tcBorders>
            <w:vMerge w:val="restart"/>
            <w:shd w:val="clear" w:color="auto" w:fill="02AE90"/>
          </w:tcPr>
          <w:p>
            <w:pPr>
              <w:jc w:val="right"/>
              <w:ind w:right="375"/>
              <w:spacing w:after="0"/>
              <w:rPr>
                <w:sz w:val="20"/>
                <w:szCs w:val="20"/>
                <w:color w:val="auto"/>
              </w:rPr>
            </w:pPr>
            <w:r>
              <w:rPr>
                <w:rFonts w:ascii="Times New Roman" w:cs="Times New Roman" w:eastAsia="Times New Roman" w:hAnsi="Times New Roman"/>
                <w:sz w:val="14"/>
                <w:szCs w:val="14"/>
                <w:b w:val="1"/>
                <w:bCs w:val="1"/>
                <w:color w:val="FFFFFF"/>
              </w:rPr>
              <w:t>($)</w:t>
            </w:r>
          </w:p>
        </w:tc>
        <w:tc>
          <w:tcPr>
            <w:tcW w:w="1040" w:type="dxa"/>
            <w:vAlign w:val="bottom"/>
            <w:shd w:val="clear" w:color="auto" w:fill="02AE90"/>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86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060" w:type="dxa"/>
            <w:vAlign w:val="bottom"/>
            <w:tcBorders>
              <w:right w:val="single" w:sz="8" w:color="02AE90"/>
            </w:tcBorders>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1040" w:type="dxa"/>
            <w:vAlign w:val="bottom"/>
            <w:tcBorders>
              <w:right w:val="single" w:sz="8" w:color="02AE90"/>
            </w:tcBorders>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1060" w:type="dxa"/>
            <w:vAlign w:val="bottom"/>
            <w:tcBorders>
              <w:right w:val="single" w:sz="8" w:color="02AE90"/>
            </w:tcBorders>
            <w:vMerge w:val="restart"/>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1040" w:type="dxa"/>
            <w:vAlign w:val="bottom"/>
            <w:tcBorders>
              <w:right w:val="single" w:sz="8" w:color="02AE90"/>
            </w:tcBorders>
            <w:vMerge w:val="continue"/>
            <w:shd w:val="clear" w:color="auto" w:fill="02AE90"/>
          </w:tcPr>
          <w:p>
            <w:pPr>
              <w:spacing w:after="0"/>
              <w:rPr>
                <w:sz w:val="9"/>
                <w:szCs w:val="9"/>
                <w:color w:val="auto"/>
              </w:rPr>
            </w:pPr>
          </w:p>
        </w:tc>
        <w:tc>
          <w:tcPr>
            <w:tcW w:w="1040" w:type="dxa"/>
            <w:vAlign w:val="bottom"/>
            <w:vMerge w:val="restart"/>
            <w:shd w:val="clear" w:color="auto" w:fill="02AE90"/>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Total ($)</w:t>
            </w:r>
          </w:p>
        </w:tc>
        <w:tc>
          <w:tcPr>
            <w:tcW w:w="0" w:type="dxa"/>
            <w:vAlign w:val="bottom"/>
          </w:tcPr>
          <w:p>
            <w:pPr>
              <w:spacing w:after="0"/>
              <w:rPr>
                <w:sz w:val="1"/>
                <w:szCs w:val="1"/>
                <w:color w:val="auto"/>
              </w:rPr>
            </w:pPr>
          </w:p>
        </w:tc>
      </w:tr>
      <w:tr>
        <w:trPr>
          <w:trHeight w:val="91"/>
        </w:trPr>
        <w:tc>
          <w:tcPr>
            <w:tcW w:w="4860" w:type="dxa"/>
            <w:vAlign w:val="bottom"/>
            <w:tcBorders>
              <w:left w:val="single" w:sz="8" w:color="02AE90"/>
              <w:right w:val="single" w:sz="8" w:color="02AE90"/>
            </w:tcBorders>
            <w:vMerge w:val="continue"/>
            <w:shd w:val="clear" w:color="auto" w:fill="02AE90"/>
          </w:tcPr>
          <w:p>
            <w:pPr>
              <w:spacing w:after="0"/>
              <w:rPr>
                <w:sz w:val="7"/>
                <w:szCs w:val="7"/>
                <w:color w:val="auto"/>
              </w:rPr>
            </w:pPr>
          </w:p>
        </w:tc>
        <w:tc>
          <w:tcPr>
            <w:tcW w:w="1060" w:type="dxa"/>
            <w:vAlign w:val="bottom"/>
            <w:tcBorders>
              <w:right w:val="single" w:sz="8" w:color="02AE90"/>
            </w:tcBorders>
            <w:vMerge w:val="continue"/>
            <w:shd w:val="clear" w:color="auto" w:fill="02AE90"/>
          </w:tcPr>
          <w:p>
            <w:pPr>
              <w:spacing w:after="0"/>
              <w:rPr>
                <w:sz w:val="7"/>
                <w:szCs w:val="7"/>
                <w:color w:val="auto"/>
              </w:rPr>
            </w:pPr>
          </w:p>
        </w:tc>
        <w:tc>
          <w:tcPr>
            <w:tcW w:w="1040" w:type="dxa"/>
            <w:vAlign w:val="bottom"/>
            <w:tcBorders>
              <w:right w:val="single" w:sz="8" w:color="02AE90"/>
            </w:tcBorders>
            <w:vMerge w:val="continue"/>
            <w:shd w:val="clear" w:color="auto" w:fill="02AE90"/>
          </w:tcPr>
          <w:p>
            <w:pPr>
              <w:spacing w:after="0"/>
              <w:rPr>
                <w:sz w:val="7"/>
                <w:szCs w:val="7"/>
                <w:color w:val="auto"/>
              </w:rPr>
            </w:pPr>
          </w:p>
        </w:tc>
        <w:tc>
          <w:tcPr>
            <w:tcW w:w="1060" w:type="dxa"/>
            <w:vAlign w:val="bottom"/>
            <w:tcBorders>
              <w:right w:val="single" w:sz="8" w:color="02AE90"/>
            </w:tcBorders>
            <w:vMerge w:val="continue"/>
            <w:shd w:val="clear" w:color="auto" w:fill="02AE90"/>
          </w:tcPr>
          <w:p>
            <w:pPr>
              <w:spacing w:after="0"/>
              <w:rPr>
                <w:sz w:val="7"/>
                <w:szCs w:val="7"/>
                <w:color w:val="auto"/>
              </w:rPr>
            </w:pPr>
          </w:p>
        </w:tc>
        <w:tc>
          <w:tcPr>
            <w:tcW w:w="1040" w:type="dxa"/>
            <w:vAlign w:val="bottom"/>
            <w:tcBorders>
              <w:right w:val="single" w:sz="8" w:color="02AE90"/>
            </w:tcBorders>
            <w:shd w:val="clear" w:color="auto" w:fill="02AE90"/>
          </w:tcPr>
          <w:p>
            <w:pPr>
              <w:spacing w:after="0"/>
              <w:rPr>
                <w:sz w:val="7"/>
                <w:szCs w:val="7"/>
                <w:color w:val="auto"/>
              </w:rPr>
            </w:pPr>
          </w:p>
        </w:tc>
        <w:tc>
          <w:tcPr>
            <w:tcW w:w="1040" w:type="dxa"/>
            <w:vAlign w:val="bottom"/>
            <w:vMerge w:val="continue"/>
            <w:shd w:val="clear" w:color="auto" w:fill="02AE90"/>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Matt Goldberg</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84,259</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103,193</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Michael Noonan</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Seth J. Kalvert</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Stephen Kaufer</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42,039</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Ernst Teunissen</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Kanika Soni</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0" w:type="dxa"/>
            <w:vAlign w:val="bottom"/>
          </w:tcPr>
          <w:p>
            <w:pPr>
              <w:spacing w:after="0"/>
              <w:rPr>
                <w:sz w:val="1"/>
                <w:szCs w:val="1"/>
                <w:color w:val="auto"/>
              </w:rPr>
            </w:pPr>
          </w:p>
        </w:tc>
      </w:tr>
      <w:tr>
        <w:trPr>
          <w:trHeight w:val="259"/>
        </w:trPr>
        <w:tc>
          <w:tcPr>
            <w:tcW w:w="486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Lindsay Nelson</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419,769</w:t>
            </w:r>
          </w:p>
        </w:tc>
        <w:tc>
          <w:tcPr>
            <w:tcW w:w="106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4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427,240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900" w:hanging="384"/>
        <w:spacing w:after="0" w:line="236" w:lineRule="auto"/>
        <w:tabs>
          <w:tab w:leader="none" w:pos="9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matching charitable contributions made by the Company on behalf of the named executive officers and represents matching contributions under the Tripadvisor Retirement Savings Plan as in effect through December 31, 2022, pursuant to which Tripadvisor matches $0.50 for each dollar a participant contributes, up to the first 6% of eligible compensation, subject to certain limits.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14"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7"/>
          <w:szCs w:val="17"/>
          <w:color w:val="auto"/>
        </w:rPr>
        <w:t>The following table provides information as of December 31, 2022 regarding shares of common stock that may be issued under Tripadvisor’s equity compensation plans consisting of the 2018 Plan, the Viator, Inc. 2010 Stock Incentive Plan and the 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105410</wp:posOffset>
            </wp:positionV>
            <wp:extent cx="6430645" cy="1783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30645" cy="1783715"/>
                    </a:xfrm>
                    <a:prstGeom prst="rect">
                      <a:avLst/>
                    </a:prstGeom>
                    <a:noFill/>
                  </pic:spPr>
                </pic:pic>
              </a:graphicData>
            </a:graphic>
          </wp:anchor>
        </w:drawing>
      </w:r>
    </w:p>
    <w:p>
      <w:pPr>
        <w:spacing w:after="0" w:line="166" w:lineRule="exact"/>
        <w:rPr>
          <w:sz w:val="20"/>
          <w:szCs w:val="20"/>
          <w:color w:val="auto"/>
        </w:rPr>
      </w:pPr>
    </w:p>
    <w:tbl>
      <w:tblPr>
        <w:tblLayout w:type="fixed"/>
        <w:tblInd w:w="590" w:type="dxa"/>
        <w:tblCellMar>
          <w:top w:w="0" w:type="dxa"/>
          <w:left w:w="0" w:type="dxa"/>
          <w:bottom w:w="0" w:type="dxa"/>
          <w:right w:w="0" w:type="dxa"/>
        </w:tblCellMar>
      </w:tblPr>
      <w:tr>
        <w:trPr>
          <w:trHeight w:val="186"/>
        </w:trPr>
        <w:tc>
          <w:tcPr>
            <w:tcW w:w="5500" w:type="dxa"/>
            <w:vAlign w:val="bottom"/>
            <w:tcBorders>
              <w:left w:val="single" w:sz="8" w:color="02AE90"/>
            </w:tcBorders>
            <w:shd w:val="clear" w:color="auto" w:fill="02AE90"/>
          </w:tcPr>
          <w:p>
            <w:pPr>
              <w:spacing w:after="0"/>
              <w:rPr>
                <w:sz w:val="16"/>
                <w:szCs w:val="16"/>
                <w:color w:val="auto"/>
              </w:rPr>
            </w:pPr>
          </w:p>
        </w:tc>
        <w:tc>
          <w:tcPr>
            <w:tcW w:w="140" w:type="dxa"/>
            <w:vAlign w:val="bottom"/>
            <w:tcBorders>
              <w:right w:val="single" w:sz="8" w:color="02AE90"/>
            </w:tcBorders>
            <w:shd w:val="clear" w:color="auto" w:fill="02AE90"/>
          </w:tcPr>
          <w:p>
            <w:pPr>
              <w:spacing w:after="0"/>
              <w:rPr>
                <w:sz w:val="16"/>
                <w:szCs w:val="16"/>
                <w:color w:val="auto"/>
              </w:rPr>
            </w:pPr>
          </w:p>
        </w:tc>
        <w:tc>
          <w:tcPr>
            <w:tcW w:w="4480" w:type="dxa"/>
            <w:vAlign w:val="bottom"/>
            <w:tcBorders>
              <w:right w:val="single" w:sz="8" w:color="02AE90"/>
            </w:tcBorders>
            <w:gridSpan w:val="3"/>
            <w:shd w:val="clear" w:color="auto" w:fill="02AE90"/>
          </w:tcPr>
          <w:p>
            <w:pPr>
              <w:jc w:val="right"/>
              <w:ind w:right="986"/>
              <w:spacing w:after="0"/>
              <w:rPr>
                <w:sz w:val="20"/>
                <w:szCs w:val="20"/>
                <w:color w:val="auto"/>
              </w:rPr>
            </w:pPr>
            <w:r>
              <w:rPr>
                <w:rFonts w:ascii="Times New Roman" w:cs="Times New Roman" w:eastAsia="Times New Roman" w:hAnsi="Times New Roman"/>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148"/>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spacing w:after="0"/>
              <w:rPr>
                <w:sz w:val="12"/>
                <w:szCs w:val="12"/>
                <w:color w:val="auto"/>
              </w:rPr>
            </w:pPr>
          </w:p>
        </w:tc>
        <w:tc>
          <w:tcPr>
            <w:tcW w:w="1540" w:type="dxa"/>
            <w:vAlign w:val="bottom"/>
            <w:tcBorders>
              <w:right w:val="single" w:sz="8" w:color="02AE90"/>
            </w:tcBorders>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106"/>
              <w:spacing w:after="0" w:line="148" w:lineRule="exact"/>
              <w:rPr>
                <w:sz w:val="20"/>
                <w:szCs w:val="20"/>
                <w:color w:val="auto"/>
              </w:rPr>
            </w:pPr>
            <w:r>
              <w:rPr>
                <w:rFonts w:ascii="Times New Roman" w:cs="Times New Roman" w:eastAsia="Times New Roman" w:hAnsi="Times New Roman"/>
                <w:sz w:val="14"/>
                <w:szCs w:val="14"/>
                <w:b w:val="1"/>
                <w:bCs w:val="1"/>
                <w:color w:val="FFFFFF"/>
              </w:rPr>
              <w:t>Number of</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spacing w:after="0"/>
              <w:rPr>
                <w:sz w:val="12"/>
                <w:szCs w:val="12"/>
                <w:color w:val="auto"/>
              </w:rPr>
            </w:pPr>
          </w:p>
        </w:tc>
        <w:tc>
          <w:tcPr>
            <w:tcW w:w="1540" w:type="dxa"/>
            <w:vAlign w:val="bottom"/>
            <w:tcBorders>
              <w:right w:val="single" w:sz="8" w:color="02AE90"/>
            </w:tcBorders>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spacing w:after="0"/>
              <w:rPr>
                <w:sz w:val="12"/>
                <w:szCs w:val="12"/>
                <w:color w:val="auto"/>
              </w:rPr>
            </w:pPr>
          </w:p>
        </w:tc>
        <w:tc>
          <w:tcPr>
            <w:tcW w:w="1540" w:type="dxa"/>
            <w:vAlign w:val="bottom"/>
            <w:tcBorders>
              <w:right w:val="single" w:sz="8" w:color="02AE90"/>
            </w:tcBorders>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106"/>
              <w:spacing w:after="0" w:line="146" w:lineRule="exact"/>
              <w:rPr>
                <w:sz w:val="20"/>
                <w:szCs w:val="20"/>
                <w:color w:val="auto"/>
              </w:rPr>
            </w:pPr>
            <w:r>
              <w:rPr>
                <w:rFonts w:ascii="Times New Roman" w:cs="Times New Roman" w:eastAsia="Times New Roman" w:hAnsi="Times New Roman"/>
                <w:sz w:val="14"/>
                <w:szCs w:val="14"/>
                <w:b w:val="1"/>
                <w:bCs w:val="1"/>
                <w:color w:val="FFFFFF"/>
              </w:rPr>
              <w:t>remaining</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vMerge w:val="restart"/>
            <w:shd w:val="clear" w:color="auto" w:fill="02AE90"/>
          </w:tcPr>
          <w:p>
            <w:pPr>
              <w:jc w:val="center"/>
              <w:ind w:right="285"/>
              <w:spacing w:after="0"/>
              <w:rPr>
                <w:sz w:val="20"/>
                <w:szCs w:val="20"/>
                <w:color w:val="auto"/>
              </w:rPr>
            </w:pPr>
            <w:r>
              <w:rPr>
                <w:rFonts w:ascii="Times New Roman" w:cs="Times New Roman" w:eastAsia="Times New Roman" w:hAnsi="Times New Roman"/>
                <w:sz w:val="14"/>
                <w:szCs w:val="14"/>
                <w:b w:val="1"/>
                <w:bCs w:val="1"/>
                <w:color w:val="FFFFFF"/>
              </w:rPr>
              <w:t>Number of</w:t>
            </w:r>
          </w:p>
        </w:tc>
        <w:tc>
          <w:tcPr>
            <w:tcW w:w="1540" w:type="dxa"/>
            <w:vAlign w:val="bottom"/>
            <w:tcBorders>
              <w:right w:val="single" w:sz="8" w:color="02AE90"/>
            </w:tcBorders>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rPr>
              <w:t>available</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vMerge w:val="continue"/>
            <w:shd w:val="clear" w:color="auto" w:fill="02AE90"/>
          </w:tcPr>
          <w:p>
            <w:pPr>
              <w:spacing w:after="0"/>
              <w:rPr>
                <w:sz w:val="12"/>
                <w:szCs w:val="12"/>
                <w:color w:val="auto"/>
              </w:rPr>
            </w:pPr>
          </w:p>
        </w:tc>
        <w:tc>
          <w:tcPr>
            <w:tcW w:w="1540" w:type="dxa"/>
            <w:vAlign w:val="bottom"/>
            <w:tcBorders>
              <w:right w:val="single" w:sz="8" w:color="02AE90"/>
            </w:tcBorders>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for future issuance</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jc w:val="center"/>
              <w:ind w:right="285"/>
              <w:spacing w:after="0" w:line="146" w:lineRule="exact"/>
              <w:rPr>
                <w:sz w:val="20"/>
                <w:szCs w:val="20"/>
                <w:color w:val="auto"/>
              </w:rPr>
            </w:pPr>
            <w:r>
              <w:rPr>
                <w:rFonts w:ascii="Times New Roman" w:cs="Times New Roman" w:eastAsia="Times New Roman" w:hAnsi="Times New Roman"/>
                <w:sz w:val="14"/>
                <w:szCs w:val="14"/>
                <w:b w:val="1"/>
                <w:bCs w:val="1"/>
                <w:color w:val="FFFFFF"/>
              </w:rPr>
              <w:t>securities to be</w:t>
            </w:r>
          </w:p>
        </w:tc>
        <w:tc>
          <w:tcPr>
            <w:tcW w:w="1540" w:type="dxa"/>
            <w:vAlign w:val="bottom"/>
            <w:tcBorders>
              <w:right w:val="single" w:sz="8" w:color="02AE90"/>
            </w:tcBorders>
            <w:vMerge w:val="restart"/>
            <w:shd w:val="clear" w:color="auto" w:fill="02AE90"/>
          </w:tcPr>
          <w:p>
            <w:pPr>
              <w:jc w:val="center"/>
              <w:ind w:right="263"/>
              <w:spacing w:after="0"/>
              <w:rPr>
                <w:sz w:val="20"/>
                <w:szCs w:val="20"/>
                <w:color w:val="auto"/>
              </w:rPr>
            </w:pPr>
            <w:r>
              <w:rPr>
                <w:rFonts w:ascii="Times New Roman" w:cs="Times New Roman" w:eastAsia="Times New Roman" w:hAnsi="Times New Roman"/>
                <w:sz w:val="14"/>
                <w:szCs w:val="14"/>
                <w:b w:val="1"/>
                <w:bCs w:val="1"/>
                <w:color w:val="FFFFFF"/>
              </w:rPr>
              <w:t>Weighted Average</w:t>
            </w: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under equity</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jc w:val="center"/>
              <w:ind w:right="285"/>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issued upon</w:t>
            </w:r>
          </w:p>
        </w:tc>
        <w:tc>
          <w:tcPr>
            <w:tcW w:w="1540" w:type="dxa"/>
            <w:vAlign w:val="bottom"/>
            <w:tcBorders>
              <w:right w:val="single" w:sz="8" w:color="02AE90"/>
            </w:tcBorders>
            <w:vMerge w:val="continue"/>
            <w:shd w:val="clear" w:color="auto" w:fill="02AE90"/>
          </w:tcPr>
          <w:p>
            <w:pPr>
              <w:spacing w:after="0"/>
              <w:rPr>
                <w:sz w:val="12"/>
                <w:szCs w:val="12"/>
                <w:color w:val="auto"/>
              </w:rPr>
            </w:pP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compensation plan</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jc w:val="center"/>
              <w:ind w:right="285"/>
              <w:spacing w:after="0" w:line="146" w:lineRule="exact"/>
              <w:rPr>
                <w:sz w:val="20"/>
                <w:szCs w:val="20"/>
                <w:color w:val="auto"/>
              </w:rPr>
            </w:pPr>
            <w:r>
              <w:rPr>
                <w:rFonts w:ascii="Times New Roman" w:cs="Times New Roman" w:eastAsia="Times New Roman" w:hAnsi="Times New Roman"/>
                <w:sz w:val="14"/>
                <w:szCs w:val="14"/>
                <w:b w:val="1"/>
                <w:bCs w:val="1"/>
                <w:color w:val="FFFFFF"/>
                <w:w w:val="98"/>
              </w:rPr>
              <w:t>exercise of</w:t>
            </w:r>
          </w:p>
        </w:tc>
        <w:tc>
          <w:tcPr>
            <w:tcW w:w="1540" w:type="dxa"/>
            <w:vAlign w:val="bottom"/>
            <w:tcBorders>
              <w:right w:val="single" w:sz="8" w:color="02AE90"/>
            </w:tcBorders>
            <w:shd w:val="clear" w:color="auto" w:fill="02AE90"/>
          </w:tcPr>
          <w:p>
            <w:pPr>
              <w:jc w:val="center"/>
              <w:ind w:right="263"/>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exercise price of</w:t>
            </w:r>
          </w:p>
        </w:tc>
        <w:tc>
          <w:tcPr>
            <w:tcW w:w="1360" w:type="dxa"/>
            <w:vAlign w:val="bottom"/>
            <w:tcBorders>
              <w:right w:val="single" w:sz="8" w:color="02AE90"/>
            </w:tcBorders>
            <w:shd w:val="clear" w:color="auto" w:fill="02AE90"/>
          </w:tcPr>
          <w:p>
            <w:pPr>
              <w:jc w:val="center"/>
              <w:ind w:right="126"/>
              <w:spacing w:after="0" w:line="146" w:lineRule="exact"/>
              <w:rPr>
                <w:sz w:val="20"/>
                <w:szCs w:val="20"/>
                <w:color w:val="auto"/>
              </w:rPr>
            </w:pPr>
            <w:r>
              <w:rPr>
                <w:rFonts w:ascii="Times New Roman" w:cs="Times New Roman" w:eastAsia="Times New Roman" w:hAnsi="Times New Roman"/>
                <w:sz w:val="14"/>
                <w:szCs w:val="14"/>
                <w:b w:val="1"/>
                <w:bCs w:val="1"/>
                <w:color w:val="FFFFFF"/>
              </w:rPr>
              <w:t>(excluding</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shd w:val="clear" w:color="auto" w:fill="02AE90"/>
          </w:tcPr>
          <w:p>
            <w:pPr>
              <w:spacing w:after="0"/>
              <w:rPr>
                <w:sz w:val="12"/>
                <w:szCs w:val="12"/>
                <w:color w:val="auto"/>
              </w:rPr>
            </w:pP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jc w:val="center"/>
              <w:ind w:right="305"/>
              <w:spacing w:after="0" w:line="146" w:lineRule="exact"/>
              <w:rPr>
                <w:sz w:val="20"/>
                <w:szCs w:val="20"/>
                <w:color w:val="auto"/>
              </w:rPr>
            </w:pPr>
            <w:r>
              <w:rPr>
                <w:rFonts w:ascii="Times New Roman" w:cs="Times New Roman" w:eastAsia="Times New Roman" w:hAnsi="Times New Roman"/>
                <w:sz w:val="14"/>
                <w:szCs w:val="14"/>
                <w:b w:val="1"/>
                <w:bCs w:val="1"/>
                <w:color w:val="FFFFFF"/>
              </w:rPr>
              <w:t>outstanding</w:t>
            </w:r>
          </w:p>
        </w:tc>
        <w:tc>
          <w:tcPr>
            <w:tcW w:w="1540" w:type="dxa"/>
            <w:vAlign w:val="bottom"/>
            <w:tcBorders>
              <w:right w:val="single" w:sz="8" w:color="02AE90"/>
            </w:tcBorders>
            <w:shd w:val="clear" w:color="auto" w:fill="02AE90"/>
          </w:tcPr>
          <w:p>
            <w:pPr>
              <w:jc w:val="center"/>
              <w:ind w:right="263"/>
              <w:spacing w:after="0" w:line="146" w:lineRule="exact"/>
              <w:rPr>
                <w:sz w:val="20"/>
                <w:szCs w:val="20"/>
                <w:color w:val="auto"/>
              </w:rPr>
            </w:pPr>
            <w:r>
              <w:rPr>
                <w:rFonts w:ascii="Times New Roman" w:cs="Times New Roman" w:eastAsia="Times New Roman" w:hAnsi="Times New Roman"/>
                <w:sz w:val="14"/>
                <w:szCs w:val="14"/>
                <w:b w:val="1"/>
                <w:bCs w:val="1"/>
                <w:color w:val="FFFFFF"/>
              </w:rPr>
              <w:t>outstanding</w:t>
            </w: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0" w:type="dxa"/>
            <w:vAlign w:val="bottom"/>
          </w:tcPr>
          <w:p>
            <w:pPr>
              <w:spacing w:after="0"/>
              <w:rPr>
                <w:sz w:val="1"/>
                <w:szCs w:val="1"/>
                <w:color w:val="auto"/>
              </w:rPr>
            </w:pPr>
          </w:p>
        </w:tc>
      </w:tr>
      <w:tr>
        <w:trPr>
          <w:trHeight w:val="146"/>
        </w:trPr>
        <w:tc>
          <w:tcPr>
            <w:tcW w:w="5500" w:type="dxa"/>
            <w:vAlign w:val="bottom"/>
            <w:tcBorders>
              <w:lef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Plan category</w:t>
            </w:r>
          </w:p>
        </w:tc>
        <w:tc>
          <w:tcPr>
            <w:tcW w:w="140" w:type="dxa"/>
            <w:vAlign w:val="bottom"/>
            <w:tcBorders>
              <w:right w:val="single" w:sz="8" w:color="02AE90"/>
            </w:tcBorders>
            <w:shd w:val="clear" w:color="auto" w:fill="02AE90"/>
          </w:tcPr>
          <w:p>
            <w:pPr>
              <w:spacing w:after="0"/>
              <w:rPr>
                <w:sz w:val="12"/>
                <w:szCs w:val="12"/>
                <w:color w:val="auto"/>
              </w:rPr>
            </w:pPr>
          </w:p>
        </w:tc>
        <w:tc>
          <w:tcPr>
            <w:tcW w:w="1580" w:type="dxa"/>
            <w:vAlign w:val="bottom"/>
            <w:tcBorders>
              <w:right w:val="single" w:sz="8" w:color="02AE90"/>
            </w:tcBorders>
            <w:shd w:val="clear" w:color="auto" w:fill="02AE90"/>
          </w:tcPr>
          <w:p>
            <w:pPr>
              <w:jc w:val="center"/>
              <w:ind w:right="285"/>
              <w:spacing w:after="0" w:line="146" w:lineRule="exact"/>
              <w:rPr>
                <w:sz w:val="20"/>
                <w:szCs w:val="20"/>
                <w:color w:val="auto"/>
              </w:rPr>
            </w:pPr>
            <w:r>
              <w:rPr>
                <w:rFonts w:ascii="Times New Roman" w:cs="Times New Roman" w:eastAsia="Times New Roman" w:hAnsi="Times New Roman"/>
                <w:sz w:val="14"/>
                <w:szCs w:val="14"/>
                <w:b w:val="1"/>
                <w:bCs w:val="1"/>
                <w:color w:val="FFFFFF"/>
              </w:rPr>
              <w:t>options, warrants</w:t>
            </w:r>
          </w:p>
        </w:tc>
        <w:tc>
          <w:tcPr>
            <w:tcW w:w="1540" w:type="dxa"/>
            <w:vAlign w:val="bottom"/>
            <w:tcBorders>
              <w:right w:val="single" w:sz="8" w:color="02AE90"/>
            </w:tcBorders>
            <w:shd w:val="clear" w:color="auto" w:fill="02AE90"/>
          </w:tcPr>
          <w:p>
            <w:pPr>
              <w:jc w:val="center"/>
              <w:ind w:right="263"/>
              <w:spacing w:after="0" w:line="146" w:lineRule="exact"/>
              <w:rPr>
                <w:sz w:val="20"/>
                <w:szCs w:val="20"/>
                <w:color w:val="auto"/>
              </w:rPr>
            </w:pPr>
            <w:r>
              <w:rPr>
                <w:rFonts w:ascii="Times New Roman" w:cs="Times New Roman" w:eastAsia="Times New Roman" w:hAnsi="Times New Roman"/>
                <w:sz w:val="14"/>
                <w:szCs w:val="14"/>
                <w:b w:val="1"/>
                <w:bCs w:val="1"/>
                <w:color w:val="FFFFFF"/>
              </w:rPr>
              <w:t>options, warrants</w:t>
            </w:r>
          </w:p>
        </w:tc>
        <w:tc>
          <w:tcPr>
            <w:tcW w:w="1360" w:type="dxa"/>
            <w:vAlign w:val="bottom"/>
            <w:tcBorders>
              <w:right w:val="single" w:sz="8" w:color="02AE90"/>
            </w:tcBorders>
            <w:shd w:val="clear" w:color="auto" w:fill="02AE90"/>
          </w:tcPr>
          <w:p>
            <w:pPr>
              <w:jc w:val="center"/>
              <w:ind w:right="86"/>
              <w:spacing w:after="0" w:line="146" w:lineRule="exact"/>
              <w:rPr>
                <w:sz w:val="20"/>
                <w:szCs w:val="20"/>
                <w:color w:val="auto"/>
              </w:rPr>
            </w:pPr>
            <w:r>
              <w:rPr>
                <w:rFonts w:ascii="Times New Roman" w:cs="Times New Roman" w:eastAsia="Times New Roman" w:hAnsi="Times New Roman"/>
                <w:sz w:val="14"/>
                <w:szCs w:val="14"/>
                <w:b w:val="1"/>
                <w:bCs w:val="1"/>
                <w:color w:val="FFFFFF"/>
              </w:rPr>
              <w:t>reflected in column</w:t>
            </w:r>
          </w:p>
        </w:tc>
        <w:tc>
          <w:tcPr>
            <w:tcW w:w="0" w:type="dxa"/>
            <w:vAlign w:val="bottom"/>
          </w:tcPr>
          <w:p>
            <w:pPr>
              <w:spacing w:after="0"/>
              <w:rPr>
                <w:sz w:val="1"/>
                <w:szCs w:val="1"/>
                <w:color w:val="auto"/>
              </w:rPr>
            </w:pPr>
          </w:p>
        </w:tc>
      </w:tr>
      <w:tr>
        <w:trPr>
          <w:trHeight w:val="186"/>
        </w:trPr>
        <w:tc>
          <w:tcPr>
            <w:tcW w:w="5500" w:type="dxa"/>
            <w:vAlign w:val="bottom"/>
            <w:tcBorders>
              <w:left w:val="single" w:sz="8" w:color="02AE90"/>
            </w:tcBorders>
            <w:vMerge w:val="continue"/>
            <w:shd w:val="clear" w:color="auto" w:fill="02AE90"/>
          </w:tcPr>
          <w:p>
            <w:pPr>
              <w:spacing w:after="0"/>
              <w:rPr>
                <w:sz w:val="16"/>
                <w:szCs w:val="16"/>
                <w:color w:val="auto"/>
              </w:rPr>
            </w:pPr>
          </w:p>
        </w:tc>
        <w:tc>
          <w:tcPr>
            <w:tcW w:w="140" w:type="dxa"/>
            <w:vAlign w:val="bottom"/>
            <w:tcBorders>
              <w:right w:val="single" w:sz="8" w:color="02AE90"/>
            </w:tcBorders>
            <w:shd w:val="clear" w:color="auto" w:fill="02AE90"/>
          </w:tcPr>
          <w:p>
            <w:pPr>
              <w:spacing w:after="0"/>
              <w:rPr>
                <w:sz w:val="16"/>
                <w:szCs w:val="16"/>
                <w:color w:val="auto"/>
              </w:rPr>
            </w:pPr>
          </w:p>
        </w:tc>
        <w:tc>
          <w:tcPr>
            <w:tcW w:w="1580" w:type="dxa"/>
            <w:vAlign w:val="bottom"/>
            <w:tcBorders>
              <w:right w:val="single" w:sz="8" w:color="02AE90"/>
            </w:tcBorders>
            <w:shd w:val="clear" w:color="auto" w:fill="02AE90"/>
          </w:tcPr>
          <w:p>
            <w:pPr>
              <w:jc w:val="center"/>
              <w:ind w:right="285"/>
              <w:spacing w:after="0"/>
              <w:rPr>
                <w:sz w:val="20"/>
                <w:szCs w:val="20"/>
                <w:color w:val="auto"/>
              </w:rPr>
            </w:pPr>
            <w:r>
              <w:rPr>
                <w:rFonts w:ascii="Times New Roman" w:cs="Times New Roman" w:eastAsia="Times New Roman" w:hAnsi="Times New Roman"/>
                <w:sz w:val="14"/>
                <w:szCs w:val="14"/>
                <w:b w:val="1"/>
                <w:bCs w:val="1"/>
                <w:color w:val="FFFFFF"/>
              </w:rPr>
              <w:t>and rights</w:t>
            </w:r>
          </w:p>
        </w:tc>
        <w:tc>
          <w:tcPr>
            <w:tcW w:w="1540" w:type="dxa"/>
            <w:vAlign w:val="bottom"/>
            <w:tcBorders>
              <w:right w:val="single" w:sz="8" w:color="02AE90"/>
            </w:tcBorders>
            <w:shd w:val="clear" w:color="auto" w:fill="02AE90"/>
          </w:tcPr>
          <w:p>
            <w:pPr>
              <w:jc w:val="center"/>
              <w:ind w:right="263"/>
              <w:spacing w:after="0"/>
              <w:rPr>
                <w:sz w:val="20"/>
                <w:szCs w:val="20"/>
                <w:color w:val="auto"/>
              </w:rPr>
            </w:pPr>
            <w:r>
              <w:rPr>
                <w:rFonts w:ascii="Times New Roman" w:cs="Times New Roman" w:eastAsia="Times New Roman" w:hAnsi="Times New Roman"/>
                <w:sz w:val="14"/>
                <w:szCs w:val="14"/>
                <w:b w:val="1"/>
                <w:bCs w:val="1"/>
                <w:color w:val="FFFFFF"/>
                <w:w w:val="98"/>
              </w:rPr>
              <w:t>and rights</w:t>
            </w:r>
          </w:p>
        </w:tc>
        <w:tc>
          <w:tcPr>
            <w:tcW w:w="1360" w:type="dxa"/>
            <w:vAlign w:val="bottom"/>
            <w:tcBorders>
              <w:right w:val="single" w:sz="8" w:color="02AE90"/>
            </w:tcBorders>
            <w:shd w:val="clear" w:color="auto" w:fill="02AE90"/>
          </w:tcPr>
          <w:p>
            <w:pPr>
              <w:jc w:val="center"/>
              <w:ind w:right="86"/>
              <w:spacing w:after="0"/>
              <w:rPr>
                <w:sz w:val="20"/>
                <w:szCs w:val="20"/>
                <w:color w:val="auto"/>
              </w:rPr>
            </w:pPr>
            <w:r>
              <w:rPr>
                <w:rFonts w:ascii="Times New Roman" w:cs="Times New Roman" w:eastAsia="Times New Roman" w:hAnsi="Times New Roman"/>
                <w:sz w:val="14"/>
                <w:szCs w:val="14"/>
                <w:b w:val="1"/>
                <w:bCs w:val="1"/>
                <w:color w:val="FFFFFF"/>
                <w:w w:val="95"/>
              </w:rPr>
              <w:t>(a))</w:t>
            </w:r>
          </w:p>
        </w:tc>
        <w:tc>
          <w:tcPr>
            <w:tcW w:w="0" w:type="dxa"/>
            <w:vAlign w:val="bottom"/>
          </w:tcPr>
          <w:p>
            <w:pPr>
              <w:spacing w:after="0"/>
              <w:rPr>
                <w:sz w:val="1"/>
                <w:szCs w:val="1"/>
                <w:color w:val="auto"/>
              </w:rPr>
            </w:pPr>
          </w:p>
        </w:tc>
      </w:tr>
      <w:tr>
        <w:trPr>
          <w:trHeight w:val="197"/>
        </w:trPr>
        <w:tc>
          <w:tcPr>
            <w:tcW w:w="5500" w:type="dxa"/>
            <w:vAlign w:val="bottom"/>
            <w:tcBorders>
              <w:left w:val="single" w:sz="8" w:color="02AE90"/>
            </w:tcBorders>
            <w:shd w:val="clear" w:color="auto" w:fill="02AE90"/>
          </w:tcPr>
          <w:p>
            <w:pPr>
              <w:spacing w:after="0"/>
              <w:rPr>
                <w:sz w:val="17"/>
                <w:szCs w:val="17"/>
                <w:color w:val="auto"/>
              </w:rPr>
            </w:pPr>
          </w:p>
        </w:tc>
        <w:tc>
          <w:tcPr>
            <w:tcW w:w="140" w:type="dxa"/>
            <w:vAlign w:val="bottom"/>
            <w:tcBorders>
              <w:right w:val="single" w:sz="8" w:color="02AE90"/>
            </w:tcBorders>
            <w:shd w:val="clear" w:color="auto" w:fill="02AE90"/>
          </w:tcPr>
          <w:p>
            <w:pPr>
              <w:spacing w:after="0"/>
              <w:rPr>
                <w:sz w:val="17"/>
                <w:szCs w:val="17"/>
                <w:color w:val="auto"/>
              </w:rPr>
            </w:pPr>
          </w:p>
        </w:tc>
        <w:tc>
          <w:tcPr>
            <w:tcW w:w="1580" w:type="dxa"/>
            <w:vAlign w:val="bottom"/>
            <w:tcBorders>
              <w:right w:val="single" w:sz="8" w:color="02AE90"/>
            </w:tcBorders>
            <w:shd w:val="clear" w:color="auto" w:fill="02AE90"/>
          </w:tcPr>
          <w:p>
            <w:pPr>
              <w:jc w:val="center"/>
              <w:ind w:right="305"/>
              <w:spacing w:after="0"/>
              <w:rPr>
                <w:sz w:val="20"/>
                <w:szCs w:val="20"/>
                <w:color w:val="auto"/>
              </w:rPr>
            </w:pPr>
            <w:r>
              <w:rPr>
                <w:rFonts w:ascii="Times New Roman" w:cs="Times New Roman" w:eastAsia="Times New Roman" w:hAnsi="Times New Roman"/>
                <w:sz w:val="14"/>
                <w:szCs w:val="14"/>
                <w:b w:val="1"/>
                <w:bCs w:val="1"/>
                <w:color w:val="FFFFFF"/>
                <w:w w:val="97"/>
              </w:rPr>
              <w:t>(a)</w:t>
            </w:r>
          </w:p>
        </w:tc>
        <w:tc>
          <w:tcPr>
            <w:tcW w:w="1540" w:type="dxa"/>
            <w:vAlign w:val="bottom"/>
            <w:tcBorders>
              <w:right w:val="single" w:sz="8" w:color="02AE90"/>
            </w:tcBorders>
            <w:shd w:val="clear" w:color="auto" w:fill="02AE90"/>
          </w:tcPr>
          <w:p>
            <w:pPr>
              <w:jc w:val="center"/>
              <w:ind w:right="263"/>
              <w:spacing w:after="0"/>
              <w:rPr>
                <w:sz w:val="20"/>
                <w:szCs w:val="20"/>
                <w:color w:val="auto"/>
              </w:rPr>
            </w:pPr>
            <w:r>
              <w:rPr>
                <w:rFonts w:ascii="Times New Roman" w:cs="Times New Roman" w:eastAsia="Times New Roman" w:hAnsi="Times New Roman"/>
                <w:sz w:val="14"/>
                <w:szCs w:val="14"/>
                <w:b w:val="1"/>
                <w:bCs w:val="1"/>
                <w:color w:val="FFFFFF"/>
                <w:w w:val="93"/>
              </w:rPr>
              <w:t>(b)</w:t>
            </w:r>
          </w:p>
        </w:tc>
        <w:tc>
          <w:tcPr>
            <w:tcW w:w="1360" w:type="dxa"/>
            <w:vAlign w:val="bottom"/>
            <w:tcBorders>
              <w:right w:val="single" w:sz="8" w:color="02AE90"/>
            </w:tcBorders>
            <w:shd w:val="clear" w:color="auto" w:fill="02AE90"/>
          </w:tcPr>
          <w:p>
            <w:pPr>
              <w:jc w:val="center"/>
              <w:ind w:right="86"/>
              <w:spacing w:after="0"/>
              <w:rPr>
                <w:sz w:val="20"/>
                <w:szCs w:val="20"/>
                <w:color w:val="auto"/>
              </w:rPr>
            </w:pPr>
            <w:r>
              <w:rPr>
                <w:rFonts w:ascii="Times New Roman" w:cs="Times New Roman" w:eastAsia="Times New Roman" w:hAnsi="Times New Roman"/>
                <w:sz w:val="14"/>
                <w:szCs w:val="14"/>
                <w:b w:val="1"/>
                <w:bCs w:val="1"/>
                <w:color w:val="FFFFFF"/>
              </w:rPr>
              <w:t>(c)</w:t>
            </w:r>
          </w:p>
        </w:tc>
        <w:tc>
          <w:tcPr>
            <w:tcW w:w="0" w:type="dxa"/>
            <w:vAlign w:val="bottom"/>
          </w:tcPr>
          <w:p>
            <w:pPr>
              <w:spacing w:after="0"/>
              <w:rPr>
                <w:sz w:val="1"/>
                <w:szCs w:val="1"/>
                <w:color w:val="auto"/>
              </w:rPr>
            </w:pPr>
          </w:p>
        </w:tc>
      </w:tr>
      <w:tr>
        <w:trPr>
          <w:trHeight w:val="239"/>
        </w:trPr>
        <w:tc>
          <w:tcPr>
            <w:tcW w:w="5500" w:type="dxa"/>
            <w:vAlign w:val="bottom"/>
            <w:tcBorders>
              <w:left w:val="single" w:sz="8" w:color="02AE90"/>
              <w:bottom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0" w:type="dxa"/>
            <w:vAlign w:val="bottom"/>
            <w:tcBorders>
              <w:bottom w:val="single" w:sz="8" w:color="02AE90"/>
              <w:right w:val="single" w:sz="8" w:color="02AE90"/>
            </w:tcBorders>
          </w:tcPr>
          <w:p>
            <w:pPr>
              <w:spacing w:after="0"/>
              <w:rPr>
                <w:sz w:val="20"/>
                <w:szCs w:val="20"/>
                <w:color w:val="auto"/>
              </w:rPr>
            </w:pPr>
          </w:p>
        </w:tc>
        <w:tc>
          <w:tcPr>
            <w:tcW w:w="1580" w:type="dxa"/>
            <w:vAlign w:val="bottom"/>
            <w:tcBorders>
              <w:bottom w:val="single" w:sz="8" w:color="02AE90"/>
              <w:right w:val="single" w:sz="8" w:color="02AE90"/>
            </w:tcBorders>
          </w:tcPr>
          <w:p>
            <w:pPr>
              <w:ind w:left="400"/>
              <w:spacing w:after="0" w:line="239" w:lineRule="exact"/>
              <w:rPr>
                <w:sz w:val="20"/>
                <w:szCs w:val="20"/>
                <w:color w:val="auto"/>
              </w:rPr>
            </w:pPr>
            <w:r>
              <w:rPr>
                <w:rFonts w:ascii="Times New Roman" w:cs="Times New Roman" w:eastAsia="Times New Roman" w:hAnsi="Times New Roman"/>
                <w:sz w:val="18"/>
                <w:szCs w:val="18"/>
                <w:color w:val="auto"/>
              </w:rPr>
              <w:t xml:space="preserve">14,625,890 </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02AE90"/>
              <w:right w:val="single" w:sz="8" w:color="02AE90"/>
            </w:tcBorders>
          </w:tcPr>
          <w:p>
            <w:pPr>
              <w:jc w:val="right"/>
              <w:ind w:right="103"/>
              <w:spacing w:after="0" w:line="239" w:lineRule="exact"/>
              <w:rPr>
                <w:sz w:val="20"/>
                <w:szCs w:val="20"/>
                <w:color w:val="auto"/>
              </w:rPr>
            </w:pPr>
            <w:r>
              <w:rPr>
                <w:rFonts w:ascii="Times New Roman" w:cs="Times New Roman" w:eastAsia="Times New Roman" w:hAnsi="Times New Roman"/>
                <w:sz w:val="18"/>
                <w:szCs w:val="18"/>
                <w:color w:val="auto"/>
              </w:rPr>
              <w:t xml:space="preserve">$43.48 </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02AE90"/>
              <w:right w:val="single" w:sz="8" w:color="02AE90"/>
            </w:tcBorders>
          </w:tcPr>
          <w:p>
            <w:pPr>
              <w:jc w:val="right"/>
              <w:ind w:right="86"/>
              <w:spacing w:after="0"/>
              <w:rPr>
                <w:sz w:val="20"/>
                <w:szCs w:val="20"/>
                <w:color w:val="auto"/>
              </w:rPr>
            </w:pPr>
            <w:r>
              <w:rPr>
                <w:rFonts w:ascii="Times New Roman" w:cs="Times New Roman" w:eastAsia="Times New Roman" w:hAnsi="Times New Roman"/>
                <w:sz w:val="18"/>
                <w:szCs w:val="18"/>
                <w:color w:val="auto"/>
              </w:rPr>
              <w:t>11,474,300</w:t>
            </w:r>
          </w:p>
        </w:tc>
        <w:tc>
          <w:tcPr>
            <w:tcW w:w="0" w:type="dxa"/>
            <w:vAlign w:val="bottom"/>
          </w:tcPr>
          <w:p>
            <w:pPr>
              <w:spacing w:after="0"/>
              <w:rPr>
                <w:sz w:val="1"/>
                <w:szCs w:val="1"/>
                <w:color w:val="auto"/>
              </w:rPr>
            </w:pPr>
          </w:p>
        </w:tc>
      </w:tr>
      <w:tr>
        <w:trPr>
          <w:trHeight w:val="229"/>
        </w:trPr>
        <w:tc>
          <w:tcPr>
            <w:tcW w:w="564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80" w:type="dxa"/>
            <w:vAlign w:val="bottom"/>
            <w:tcBorders>
              <w:bottom w:val="single" w:sz="8" w:color="02AE90"/>
              <w:right w:val="single" w:sz="8" w:color="02AE90"/>
            </w:tcBorders>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bottom w:val="single" w:sz="8" w:color="02AE90"/>
              <w:right w:val="single" w:sz="8" w:color="02AE90"/>
            </w:tcBorders>
          </w:tcPr>
          <w:p>
            <w:pPr>
              <w:jc w:val="right"/>
              <w:ind w:right="263"/>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bottom w:val="single" w:sz="8" w:color="02AE90"/>
              <w:right w:val="single" w:sz="8" w:color="02AE90"/>
            </w:tcBorders>
          </w:tcPr>
          <w:p>
            <w:pPr>
              <w:jc w:val="right"/>
              <w:ind w:right="8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2"/>
        </w:trPr>
        <w:tc>
          <w:tcPr>
            <w:tcW w:w="5640" w:type="dxa"/>
            <w:vAlign w:val="bottom"/>
            <w:tcBorders>
              <w:left w:val="single" w:sz="8" w:color="02AE90"/>
              <w:bottom w:val="single" w:sz="8" w:color="02AE90"/>
              <w:right w:val="single" w:sz="8" w:color="02AE9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02AE90"/>
              <w:right w:val="single" w:sz="8" w:color="02AE90"/>
            </w:tcBorders>
          </w:tcPr>
          <w:p>
            <w:pPr>
              <w:ind w:left="400"/>
              <w:spacing w:after="0"/>
              <w:rPr>
                <w:sz w:val="20"/>
                <w:szCs w:val="20"/>
                <w:color w:val="auto"/>
              </w:rPr>
            </w:pPr>
            <w:r>
              <w:rPr>
                <w:rFonts w:ascii="Times New Roman" w:cs="Times New Roman" w:eastAsia="Times New Roman" w:hAnsi="Times New Roman"/>
                <w:sz w:val="18"/>
                <w:szCs w:val="18"/>
                <w:color w:val="auto"/>
              </w:rPr>
              <w:t>14,625,890</w:t>
            </w:r>
          </w:p>
        </w:tc>
        <w:tc>
          <w:tcPr>
            <w:tcW w:w="1540" w:type="dxa"/>
            <w:vAlign w:val="bottom"/>
            <w:tcBorders>
              <w:bottom w:val="single" w:sz="8" w:color="02AE90"/>
              <w:right w:val="single" w:sz="8" w:color="02AE90"/>
            </w:tcBorders>
          </w:tcPr>
          <w:p>
            <w:pPr>
              <w:jc w:val="right"/>
              <w:ind w:right="26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02AE90"/>
              <w:right w:val="single" w:sz="8" w:color="02AE90"/>
            </w:tcBorders>
          </w:tcPr>
          <w:p>
            <w:pPr>
              <w:jc w:val="right"/>
              <w:ind w:right="86"/>
              <w:spacing w:after="0"/>
              <w:rPr>
                <w:sz w:val="20"/>
                <w:szCs w:val="20"/>
                <w:color w:val="auto"/>
              </w:rPr>
            </w:pPr>
            <w:r>
              <w:rPr>
                <w:rFonts w:ascii="Times New Roman" w:cs="Times New Roman" w:eastAsia="Times New Roman" w:hAnsi="Times New Roman"/>
                <w:sz w:val="18"/>
                <w:szCs w:val="18"/>
                <w:color w:val="auto"/>
              </w:rPr>
              <w:t>11,474,300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900" w:right="20" w:hanging="384"/>
        <w:spacing w:after="0" w:line="236" w:lineRule="auto"/>
        <w:tabs>
          <w:tab w:leader="none" w:pos="9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5,462,315 shares of common stock issuable upon the exercise of outstanding options, of which 1,382 shares were granted pursuant to options under the Viator, Inc. 2010 Stock Incentive Plan, (ii) 8,571,663 shares of common stock issuable upon the vesting of RSUs, (iii) 591,912 shares of common stock issuable upon the vesting of MSUs (assuming target performance is achieved).</w:t>
      </w:r>
    </w:p>
    <w:p>
      <w:pPr>
        <w:spacing w:after="0" w:line="69" w:lineRule="exact"/>
        <w:rPr>
          <w:rFonts w:ascii="Times New Roman" w:cs="Times New Roman" w:eastAsia="Times New Roman" w:hAnsi="Times New Roman"/>
          <w:sz w:val="14"/>
          <w:szCs w:val="14"/>
          <w:color w:val="auto"/>
        </w:rPr>
      </w:pPr>
    </w:p>
    <w:p>
      <w:pPr>
        <w:ind w:left="900" w:hanging="384"/>
        <w:spacing w:after="0"/>
        <w:tabs>
          <w:tab w:leader="none" w:pos="9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RSUs and MSUs do not have an exercise price, such units are not included in the weighted average exercise price calculation.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information regarding the plan-based awards granted in 2022 to our NEOs under our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134860" cy="3938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3938270"/>
                    </a:xfrm>
                    <a:prstGeom prst="rect">
                      <a:avLst/>
                    </a:prstGeom>
                    <a:noFill/>
                  </pic:spPr>
                </pic:pic>
              </a:graphicData>
            </a:graphic>
          </wp:anchor>
        </w:drawing>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300" w:type="dxa"/>
            <w:vAlign w:val="bottom"/>
            <w:tcBorders>
              <w:left w:val="single" w:sz="8" w:color="02AE90"/>
              <w:right w:val="single" w:sz="8" w:color="02AE90"/>
            </w:tcBorders>
            <w:shd w:val="clear" w:color="auto" w:fill="02AE90"/>
          </w:tcPr>
          <w:p>
            <w:pPr>
              <w:spacing w:after="0"/>
              <w:rPr>
                <w:sz w:val="13"/>
                <w:szCs w:val="13"/>
                <w:color w:val="auto"/>
              </w:rPr>
            </w:pPr>
          </w:p>
        </w:tc>
        <w:tc>
          <w:tcPr>
            <w:tcW w:w="980" w:type="dxa"/>
            <w:vAlign w:val="bottom"/>
            <w:tcBorders>
              <w:right w:val="single" w:sz="8" w:color="02AE90"/>
            </w:tcBorders>
            <w:shd w:val="clear" w:color="auto" w:fill="02AE90"/>
          </w:tcPr>
          <w:p>
            <w:pPr>
              <w:spacing w:after="0"/>
              <w:rPr>
                <w:sz w:val="13"/>
                <w:szCs w:val="13"/>
                <w:color w:val="auto"/>
              </w:rPr>
            </w:pPr>
          </w:p>
        </w:tc>
        <w:tc>
          <w:tcPr>
            <w:tcW w:w="920" w:type="dxa"/>
            <w:vAlign w:val="bottom"/>
            <w:shd w:val="clear" w:color="auto" w:fill="02AE90"/>
          </w:tcPr>
          <w:p>
            <w:pPr>
              <w:spacing w:after="0"/>
              <w:rPr>
                <w:sz w:val="13"/>
                <w:szCs w:val="13"/>
                <w:color w:val="auto"/>
              </w:rPr>
            </w:pPr>
          </w:p>
        </w:tc>
        <w:tc>
          <w:tcPr>
            <w:tcW w:w="80" w:type="dxa"/>
            <w:vAlign w:val="bottom"/>
            <w:tcBorders>
              <w:right w:val="single" w:sz="8" w:color="02AE90"/>
            </w:tcBorders>
            <w:shd w:val="clear" w:color="auto" w:fill="02AE90"/>
          </w:tcPr>
          <w:p>
            <w:pPr>
              <w:spacing w:after="0"/>
              <w:rPr>
                <w:sz w:val="13"/>
                <w:szCs w:val="13"/>
                <w:color w:val="auto"/>
              </w:rPr>
            </w:pPr>
          </w:p>
        </w:tc>
        <w:tc>
          <w:tcPr>
            <w:tcW w:w="1000" w:type="dxa"/>
            <w:vAlign w:val="bottom"/>
            <w:tcBorders>
              <w:right w:val="single" w:sz="8" w:color="02AE90"/>
            </w:tcBorders>
            <w:shd w:val="clear" w:color="auto" w:fill="02AE90"/>
          </w:tcPr>
          <w:p>
            <w:pPr>
              <w:spacing w:after="0"/>
              <w:rPr>
                <w:sz w:val="13"/>
                <w:szCs w:val="13"/>
                <w:color w:val="auto"/>
              </w:rPr>
            </w:pPr>
          </w:p>
        </w:tc>
        <w:tc>
          <w:tcPr>
            <w:tcW w:w="1000" w:type="dxa"/>
            <w:vAlign w:val="bottom"/>
            <w:tcBorders>
              <w:right w:val="single" w:sz="8" w:color="02AE90"/>
            </w:tcBorders>
            <w:shd w:val="clear" w:color="auto" w:fill="02AE90"/>
          </w:tcPr>
          <w:p>
            <w:pPr>
              <w:spacing w:after="0"/>
              <w:rPr>
                <w:sz w:val="13"/>
                <w:szCs w:val="13"/>
                <w:color w:val="auto"/>
              </w:rPr>
            </w:pPr>
          </w:p>
        </w:tc>
        <w:tc>
          <w:tcPr>
            <w:tcW w:w="1000" w:type="dxa"/>
            <w:vAlign w:val="bottom"/>
            <w:tcBorders>
              <w:right w:val="single" w:sz="8" w:color="02AE90"/>
            </w:tcBorders>
            <w:shd w:val="clear" w:color="auto" w:fill="02AE90"/>
          </w:tcPr>
          <w:p>
            <w:pPr>
              <w:jc w:val="center"/>
              <w:ind w:right="57"/>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980" w:type="dxa"/>
            <w:vAlign w:val="bottom"/>
            <w:tcBorders>
              <w:right w:val="single" w:sz="8" w:color="02AE90"/>
            </w:tcBorders>
            <w:shd w:val="clear" w:color="auto" w:fill="02AE90"/>
          </w:tcPr>
          <w:p>
            <w:pPr>
              <w:jc w:val="center"/>
              <w:ind w:right="37"/>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1000" w:type="dxa"/>
            <w:vAlign w:val="bottom"/>
            <w:tcBorders>
              <w:right w:val="single" w:sz="8" w:color="02AE90"/>
            </w:tcBorders>
            <w:vMerge w:val="restart"/>
            <w:shd w:val="clear" w:color="auto" w:fill="02AE90"/>
          </w:tcPr>
          <w:p>
            <w:pPr>
              <w:jc w:val="center"/>
              <w:ind w:right="37"/>
              <w:spacing w:after="0"/>
              <w:rPr>
                <w:sz w:val="20"/>
                <w:szCs w:val="20"/>
                <w:color w:val="auto"/>
              </w:rPr>
            </w:pPr>
            <w:r>
              <w:rPr>
                <w:rFonts w:ascii="Times New Roman" w:cs="Times New Roman" w:eastAsia="Times New Roman" w:hAnsi="Times New Roman"/>
                <w:sz w:val="14"/>
                <w:szCs w:val="14"/>
                <w:b w:val="1"/>
                <w:bCs w:val="1"/>
                <w:color w:val="FFFFFF"/>
              </w:rPr>
              <w:t>Exercise</w:t>
            </w:r>
          </w:p>
        </w:tc>
        <w:tc>
          <w:tcPr>
            <w:tcW w:w="980" w:type="dxa"/>
            <w:vAlign w:val="bottom"/>
            <w:tcBorders>
              <w:right w:val="single" w:sz="8" w:color="02AE90"/>
            </w:tcBorders>
            <w:vMerge w:val="restart"/>
            <w:shd w:val="clear" w:color="auto" w:fill="02AE90"/>
          </w:tcPr>
          <w:p>
            <w:pPr>
              <w:jc w:val="center"/>
              <w:ind w:right="17"/>
              <w:spacing w:after="0"/>
              <w:rPr>
                <w:sz w:val="20"/>
                <w:szCs w:val="20"/>
                <w:color w:val="auto"/>
              </w:rPr>
            </w:pPr>
            <w:r>
              <w:rPr>
                <w:rFonts w:ascii="Times New Roman" w:cs="Times New Roman" w:eastAsia="Times New Roman" w:hAnsi="Times New Roman"/>
                <w:sz w:val="14"/>
                <w:szCs w:val="14"/>
                <w:b w:val="1"/>
                <w:bCs w:val="1"/>
                <w:color w:val="FFFFFF"/>
                <w:w w:val="99"/>
              </w:rPr>
              <w:t>Grant Date</w:t>
            </w:r>
          </w:p>
        </w:tc>
        <w:tc>
          <w:tcPr>
            <w:tcW w:w="0" w:type="dxa"/>
            <w:vAlign w:val="bottom"/>
          </w:tcPr>
          <w:p>
            <w:pPr>
              <w:spacing w:after="0"/>
              <w:rPr>
                <w:sz w:val="1"/>
                <w:szCs w:val="1"/>
                <w:color w:val="auto"/>
              </w:rPr>
            </w:pPr>
          </w:p>
        </w:tc>
      </w:tr>
      <w:tr>
        <w:trPr>
          <w:trHeight w:val="146"/>
        </w:trPr>
        <w:tc>
          <w:tcPr>
            <w:tcW w:w="3300" w:type="dxa"/>
            <w:vAlign w:val="bottom"/>
            <w:tcBorders>
              <w:left w:val="single" w:sz="8" w:color="02AE90"/>
              <w:right w:val="single" w:sz="8" w:color="02AE90"/>
            </w:tcBorders>
            <w:shd w:val="clear" w:color="auto" w:fill="02AE90"/>
          </w:tcPr>
          <w:p>
            <w:pPr>
              <w:spacing w:after="0"/>
              <w:rPr>
                <w:sz w:val="12"/>
                <w:szCs w:val="12"/>
                <w:color w:val="auto"/>
              </w:rPr>
            </w:pPr>
          </w:p>
        </w:tc>
        <w:tc>
          <w:tcPr>
            <w:tcW w:w="980" w:type="dxa"/>
            <w:vAlign w:val="bottom"/>
            <w:tcBorders>
              <w:right w:val="single" w:sz="8" w:color="02AE90"/>
            </w:tcBorders>
            <w:shd w:val="clear" w:color="auto" w:fill="02AE90"/>
          </w:tcPr>
          <w:p>
            <w:pPr>
              <w:spacing w:after="0"/>
              <w:rPr>
                <w:sz w:val="12"/>
                <w:szCs w:val="12"/>
                <w:color w:val="auto"/>
              </w:rPr>
            </w:pPr>
          </w:p>
        </w:tc>
        <w:tc>
          <w:tcPr>
            <w:tcW w:w="920" w:type="dxa"/>
            <w:vAlign w:val="bottom"/>
            <w:shd w:val="clear" w:color="auto" w:fill="02AE90"/>
          </w:tcPr>
          <w:p>
            <w:pPr>
              <w:spacing w:after="0"/>
              <w:rPr>
                <w:sz w:val="12"/>
                <w:szCs w:val="12"/>
                <w:color w:val="auto"/>
              </w:rPr>
            </w:pPr>
          </w:p>
        </w:tc>
        <w:tc>
          <w:tcPr>
            <w:tcW w:w="80" w:type="dxa"/>
            <w:vAlign w:val="bottom"/>
            <w:tcBorders>
              <w:right w:val="single" w:sz="8" w:color="02AE90"/>
            </w:tcBorders>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FFFFFF"/>
              </w:rPr>
              <w:t>Stock</w:t>
            </w:r>
          </w:p>
        </w:tc>
        <w:tc>
          <w:tcPr>
            <w:tcW w:w="98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Option</w:t>
            </w:r>
          </w:p>
        </w:tc>
        <w:tc>
          <w:tcPr>
            <w:tcW w:w="1000" w:type="dxa"/>
            <w:vAlign w:val="bottom"/>
            <w:tcBorders>
              <w:right w:val="single" w:sz="8" w:color="02AE90"/>
            </w:tcBorders>
            <w:vMerge w:val="continue"/>
            <w:shd w:val="clear" w:color="auto" w:fill="02AE90"/>
          </w:tcPr>
          <w:p>
            <w:pPr>
              <w:spacing w:after="0"/>
              <w:rPr>
                <w:sz w:val="12"/>
                <w:szCs w:val="12"/>
                <w:color w:val="auto"/>
              </w:rPr>
            </w:pPr>
          </w:p>
        </w:tc>
        <w:tc>
          <w:tcPr>
            <w:tcW w:w="980" w:type="dxa"/>
            <w:vAlign w:val="bottom"/>
            <w:tcBorders>
              <w:right w:val="single" w:sz="8" w:color="02AE90"/>
            </w:tcBorders>
            <w:vMerge w:val="continue"/>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00" w:type="dxa"/>
            <w:vAlign w:val="bottom"/>
            <w:tcBorders>
              <w:left w:val="single" w:sz="8" w:color="02AE90"/>
              <w:right w:val="single" w:sz="8" w:color="02AE90"/>
            </w:tcBorders>
            <w:shd w:val="clear" w:color="auto" w:fill="02AE90"/>
          </w:tcPr>
          <w:p>
            <w:pPr>
              <w:spacing w:after="0"/>
              <w:rPr>
                <w:sz w:val="12"/>
                <w:szCs w:val="12"/>
                <w:color w:val="auto"/>
              </w:rPr>
            </w:pPr>
          </w:p>
        </w:tc>
        <w:tc>
          <w:tcPr>
            <w:tcW w:w="980" w:type="dxa"/>
            <w:vAlign w:val="bottom"/>
            <w:tcBorders>
              <w:right w:val="single" w:sz="8" w:color="02AE90"/>
            </w:tcBorders>
            <w:shd w:val="clear" w:color="auto" w:fill="02AE90"/>
          </w:tcPr>
          <w:p>
            <w:pPr>
              <w:spacing w:after="0"/>
              <w:rPr>
                <w:sz w:val="12"/>
                <w:szCs w:val="12"/>
                <w:color w:val="auto"/>
              </w:rPr>
            </w:pPr>
          </w:p>
        </w:tc>
        <w:tc>
          <w:tcPr>
            <w:tcW w:w="3000" w:type="dxa"/>
            <w:vAlign w:val="bottom"/>
            <w:tcBorders>
              <w:right w:val="single" w:sz="8" w:color="02AE90"/>
            </w:tcBorders>
            <w:gridSpan w:val="4"/>
            <w:vMerge w:val="restart"/>
            <w:shd w:val="clear" w:color="auto" w:fill="02AE90"/>
          </w:tcPr>
          <w:p>
            <w:pPr>
              <w:jc w:val="center"/>
              <w:ind w:right="53"/>
              <w:spacing w:after="0"/>
              <w:rPr>
                <w:sz w:val="20"/>
                <w:szCs w:val="20"/>
                <w:color w:val="auto"/>
              </w:rPr>
            </w:pPr>
            <w:r>
              <w:rPr>
                <w:rFonts w:ascii="Times New Roman" w:cs="Times New Roman" w:eastAsia="Times New Roman" w:hAnsi="Times New Roman"/>
                <w:sz w:val="14"/>
                <w:szCs w:val="14"/>
                <w:b w:val="1"/>
                <w:bCs w:val="1"/>
                <w:color w:val="FFFFFF"/>
              </w:rPr>
              <w:t>Estimated Future Payouts</w:t>
            </w:r>
          </w:p>
        </w:tc>
        <w:tc>
          <w:tcPr>
            <w:tcW w:w="1000" w:type="dxa"/>
            <w:vAlign w:val="bottom"/>
            <w:tcBorders>
              <w:right w:val="single" w:sz="8" w:color="02AE90"/>
            </w:tcBorders>
            <w:shd w:val="clear" w:color="auto" w:fill="02AE90"/>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FFFFFF"/>
                <w:w w:val="97"/>
              </w:rPr>
              <w:t>Awards:</w:t>
            </w:r>
          </w:p>
        </w:tc>
        <w:tc>
          <w:tcPr>
            <w:tcW w:w="98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w w:val="97"/>
              </w:rPr>
              <w:t>Awards:</w:t>
            </w:r>
          </w:p>
        </w:tc>
        <w:tc>
          <w:tcPr>
            <w:tcW w:w="100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rPr>
              <w:t>Price or</w:t>
            </w:r>
          </w:p>
        </w:tc>
        <w:tc>
          <w:tcPr>
            <w:tcW w:w="980" w:type="dxa"/>
            <w:vAlign w:val="bottom"/>
            <w:tcBorders>
              <w:right w:val="single" w:sz="8" w:color="02AE90"/>
            </w:tcBorders>
            <w:shd w:val="clear" w:color="auto" w:fill="02AE90"/>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FFFFFF"/>
              </w:rPr>
              <w:t>Fair Value of</w:t>
            </w:r>
          </w:p>
        </w:tc>
        <w:tc>
          <w:tcPr>
            <w:tcW w:w="0" w:type="dxa"/>
            <w:vAlign w:val="bottom"/>
          </w:tcPr>
          <w:p>
            <w:pPr>
              <w:spacing w:after="0"/>
              <w:rPr>
                <w:sz w:val="1"/>
                <w:szCs w:val="1"/>
                <w:color w:val="auto"/>
              </w:rPr>
            </w:pPr>
          </w:p>
        </w:tc>
      </w:tr>
      <w:tr>
        <w:trPr>
          <w:trHeight w:val="146"/>
        </w:trPr>
        <w:tc>
          <w:tcPr>
            <w:tcW w:w="3300" w:type="dxa"/>
            <w:vAlign w:val="bottom"/>
            <w:tcBorders>
              <w:left w:val="single" w:sz="8" w:color="02AE90"/>
              <w:right w:val="single" w:sz="8" w:color="02AE90"/>
            </w:tcBorders>
            <w:shd w:val="clear" w:color="auto" w:fill="02AE90"/>
          </w:tcPr>
          <w:p>
            <w:pPr>
              <w:spacing w:after="0"/>
              <w:rPr>
                <w:sz w:val="12"/>
                <w:szCs w:val="12"/>
                <w:color w:val="auto"/>
              </w:rPr>
            </w:pPr>
          </w:p>
        </w:tc>
        <w:tc>
          <w:tcPr>
            <w:tcW w:w="980" w:type="dxa"/>
            <w:vAlign w:val="bottom"/>
            <w:tcBorders>
              <w:right w:val="single" w:sz="8" w:color="02AE90"/>
            </w:tcBorders>
            <w:shd w:val="clear" w:color="auto" w:fill="02AE90"/>
          </w:tcPr>
          <w:p>
            <w:pPr>
              <w:spacing w:after="0"/>
              <w:rPr>
                <w:sz w:val="12"/>
                <w:szCs w:val="12"/>
                <w:color w:val="auto"/>
              </w:rPr>
            </w:pPr>
          </w:p>
        </w:tc>
        <w:tc>
          <w:tcPr>
            <w:tcW w:w="3000" w:type="dxa"/>
            <w:vAlign w:val="bottom"/>
            <w:tcBorders>
              <w:right w:val="single" w:sz="8" w:color="02AE90"/>
            </w:tcBorders>
            <w:gridSpan w:val="4"/>
            <w:vMerge w:val="continue"/>
            <w:shd w:val="clear" w:color="auto" w:fill="02AE90"/>
          </w:tcPr>
          <w:p>
            <w:pPr>
              <w:spacing w:after="0"/>
              <w:rPr>
                <w:sz w:val="12"/>
                <w:szCs w:val="12"/>
                <w:color w:val="auto"/>
              </w:rPr>
            </w:pPr>
          </w:p>
        </w:tc>
        <w:tc>
          <w:tcPr>
            <w:tcW w:w="1000" w:type="dxa"/>
            <w:vAlign w:val="bottom"/>
            <w:tcBorders>
              <w:right w:val="single" w:sz="8" w:color="02AE90"/>
            </w:tcBorders>
            <w:shd w:val="clear" w:color="auto" w:fill="02AE90"/>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FFFFFF"/>
              </w:rPr>
              <w:t>Number of</w:t>
            </w:r>
          </w:p>
        </w:tc>
        <w:tc>
          <w:tcPr>
            <w:tcW w:w="98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rPr>
              <w:t>Number of</w:t>
            </w:r>
          </w:p>
        </w:tc>
        <w:tc>
          <w:tcPr>
            <w:tcW w:w="100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rPr>
              <w:t>Base Price</w:t>
            </w:r>
          </w:p>
        </w:tc>
        <w:tc>
          <w:tcPr>
            <w:tcW w:w="980" w:type="dxa"/>
            <w:vAlign w:val="bottom"/>
            <w:tcBorders>
              <w:right w:val="single" w:sz="8" w:color="02AE90"/>
            </w:tcBorders>
            <w:shd w:val="clear" w:color="auto" w:fill="02AE90"/>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FFFFFF"/>
              </w:rPr>
              <w:t>Stock and</w:t>
            </w:r>
          </w:p>
        </w:tc>
        <w:tc>
          <w:tcPr>
            <w:tcW w:w="0" w:type="dxa"/>
            <w:vAlign w:val="bottom"/>
          </w:tcPr>
          <w:p>
            <w:pPr>
              <w:spacing w:after="0"/>
              <w:rPr>
                <w:sz w:val="1"/>
                <w:szCs w:val="1"/>
                <w:color w:val="auto"/>
              </w:rPr>
            </w:pPr>
          </w:p>
        </w:tc>
      </w:tr>
      <w:tr>
        <w:trPr>
          <w:trHeight w:val="146"/>
        </w:trPr>
        <w:tc>
          <w:tcPr>
            <w:tcW w:w="3300" w:type="dxa"/>
            <w:vAlign w:val="bottom"/>
            <w:tcBorders>
              <w:left w:val="single" w:sz="8" w:color="02AE90"/>
              <w:right w:val="single" w:sz="8" w:color="02AE90"/>
            </w:tcBorders>
            <w:shd w:val="clear" w:color="auto" w:fill="02AE90"/>
          </w:tcPr>
          <w:p>
            <w:pPr>
              <w:spacing w:after="0"/>
              <w:rPr>
                <w:sz w:val="12"/>
                <w:szCs w:val="12"/>
                <w:color w:val="auto"/>
              </w:rPr>
            </w:pPr>
          </w:p>
        </w:tc>
        <w:tc>
          <w:tcPr>
            <w:tcW w:w="980" w:type="dxa"/>
            <w:vAlign w:val="bottom"/>
            <w:tcBorders>
              <w:right w:val="single" w:sz="8" w:color="02AE90"/>
            </w:tcBorders>
            <w:shd w:val="clear" w:color="auto" w:fill="02AE90"/>
          </w:tcPr>
          <w:p>
            <w:pPr>
              <w:spacing w:after="0"/>
              <w:rPr>
                <w:sz w:val="12"/>
                <w:szCs w:val="12"/>
                <w:color w:val="auto"/>
              </w:rPr>
            </w:pPr>
          </w:p>
        </w:tc>
        <w:tc>
          <w:tcPr>
            <w:tcW w:w="3000" w:type="dxa"/>
            <w:vAlign w:val="bottom"/>
            <w:tcBorders>
              <w:right w:val="single" w:sz="8" w:color="02AE90"/>
            </w:tcBorders>
            <w:gridSpan w:val="4"/>
            <w:shd w:val="clear" w:color="auto" w:fill="02AE90"/>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FFFFFF"/>
              </w:rPr>
              <w:t>Under Non-Equity Incentive</w:t>
            </w:r>
          </w:p>
        </w:tc>
        <w:tc>
          <w:tcPr>
            <w:tcW w:w="1000" w:type="dxa"/>
            <w:vAlign w:val="bottom"/>
            <w:tcBorders>
              <w:right w:val="single" w:sz="8" w:color="02AE90"/>
            </w:tcBorders>
            <w:shd w:val="clear" w:color="auto" w:fill="02AE90"/>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FFFFFF"/>
              </w:rPr>
              <w:t>Shares of</w:t>
            </w:r>
          </w:p>
        </w:tc>
        <w:tc>
          <w:tcPr>
            <w:tcW w:w="98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1000" w:type="dxa"/>
            <w:vAlign w:val="bottom"/>
            <w:tcBorders>
              <w:right w:val="single" w:sz="8" w:color="02AE90"/>
            </w:tcBorders>
            <w:shd w:val="clear" w:color="auto" w:fill="02AE90"/>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FFFFFF"/>
              </w:rPr>
              <w:t>of Option</w:t>
            </w:r>
          </w:p>
        </w:tc>
        <w:tc>
          <w:tcPr>
            <w:tcW w:w="980" w:type="dxa"/>
            <w:vAlign w:val="bottom"/>
            <w:tcBorders>
              <w:right w:val="single" w:sz="8" w:color="02AE90"/>
            </w:tcBorders>
            <w:shd w:val="clear" w:color="auto" w:fill="02AE90"/>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Option</w:t>
            </w:r>
          </w:p>
        </w:tc>
        <w:tc>
          <w:tcPr>
            <w:tcW w:w="0" w:type="dxa"/>
            <w:vAlign w:val="bottom"/>
          </w:tcPr>
          <w:p>
            <w:pPr>
              <w:spacing w:after="0"/>
              <w:rPr>
                <w:sz w:val="1"/>
                <w:szCs w:val="1"/>
                <w:color w:val="auto"/>
              </w:rPr>
            </w:pPr>
          </w:p>
        </w:tc>
      </w:tr>
      <w:tr>
        <w:trPr>
          <w:trHeight w:val="156"/>
        </w:trPr>
        <w:tc>
          <w:tcPr>
            <w:tcW w:w="3300" w:type="dxa"/>
            <w:vAlign w:val="bottom"/>
            <w:tcBorders>
              <w:left w:val="single" w:sz="8" w:color="02AE90"/>
              <w:right w:val="single" w:sz="8" w:color="02AE90"/>
            </w:tcBorders>
            <w:shd w:val="clear" w:color="auto" w:fill="02AE90"/>
          </w:tcPr>
          <w:p>
            <w:pPr>
              <w:spacing w:after="0"/>
              <w:rPr>
                <w:sz w:val="13"/>
                <w:szCs w:val="13"/>
                <w:color w:val="auto"/>
              </w:rPr>
            </w:pPr>
          </w:p>
        </w:tc>
        <w:tc>
          <w:tcPr>
            <w:tcW w:w="980" w:type="dxa"/>
            <w:vAlign w:val="bottom"/>
            <w:tcBorders>
              <w:right w:val="single" w:sz="8" w:color="02AE90"/>
            </w:tcBorders>
            <w:shd w:val="clear" w:color="auto" w:fill="02AE90"/>
          </w:tcPr>
          <w:p>
            <w:pPr>
              <w:spacing w:after="0"/>
              <w:rPr>
                <w:sz w:val="13"/>
                <w:szCs w:val="13"/>
                <w:color w:val="auto"/>
              </w:rPr>
            </w:pPr>
          </w:p>
        </w:tc>
        <w:tc>
          <w:tcPr>
            <w:tcW w:w="920" w:type="dxa"/>
            <w:vAlign w:val="bottom"/>
            <w:shd w:val="clear" w:color="auto" w:fill="02AE90"/>
          </w:tcPr>
          <w:p>
            <w:pPr>
              <w:spacing w:after="0"/>
              <w:rPr>
                <w:sz w:val="13"/>
                <w:szCs w:val="13"/>
                <w:color w:val="auto"/>
              </w:rPr>
            </w:pPr>
          </w:p>
        </w:tc>
        <w:tc>
          <w:tcPr>
            <w:tcW w:w="1080" w:type="dxa"/>
            <w:vAlign w:val="bottom"/>
            <w:tcBorders>
              <w:right w:val="single" w:sz="8" w:color="02AE90"/>
            </w:tcBorders>
            <w:gridSpan w:val="2"/>
            <w:shd w:val="clear" w:color="auto" w:fill="02AE90"/>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FFFFFF"/>
              </w:rPr>
              <w:t>Plan Awards($)</w:t>
            </w:r>
          </w:p>
        </w:tc>
        <w:tc>
          <w:tcPr>
            <w:tcW w:w="1000" w:type="dxa"/>
            <w:vAlign w:val="bottom"/>
            <w:tcBorders>
              <w:right w:val="single" w:sz="8" w:color="02AE90"/>
            </w:tcBorders>
            <w:shd w:val="clear" w:color="auto" w:fill="02AE90"/>
          </w:tcPr>
          <w:p>
            <w:pPr>
              <w:spacing w:after="0"/>
              <w:rPr>
                <w:sz w:val="13"/>
                <w:szCs w:val="13"/>
                <w:color w:val="auto"/>
              </w:rPr>
            </w:pPr>
          </w:p>
        </w:tc>
        <w:tc>
          <w:tcPr>
            <w:tcW w:w="1000" w:type="dxa"/>
            <w:vAlign w:val="bottom"/>
            <w:tcBorders>
              <w:right w:val="single" w:sz="8" w:color="02AE90"/>
            </w:tcBorders>
            <w:shd w:val="clear" w:color="auto" w:fill="02AE90"/>
          </w:tcPr>
          <w:p>
            <w:pPr>
              <w:jc w:val="center"/>
              <w:ind w:right="57"/>
              <w:spacing w:after="0" w:line="156" w:lineRule="exact"/>
              <w:rPr>
                <w:sz w:val="20"/>
                <w:szCs w:val="20"/>
                <w:color w:val="auto"/>
              </w:rPr>
            </w:pPr>
            <w:r>
              <w:rPr>
                <w:rFonts w:ascii="Times New Roman" w:cs="Times New Roman" w:eastAsia="Times New Roman" w:hAnsi="Times New Roman"/>
                <w:sz w:val="14"/>
                <w:szCs w:val="14"/>
                <w:b w:val="1"/>
                <w:bCs w:val="1"/>
                <w:color w:val="FFFFFF"/>
                <w:w w:val="99"/>
              </w:rPr>
              <w:t>Stock or</w:t>
            </w:r>
          </w:p>
        </w:tc>
        <w:tc>
          <w:tcPr>
            <w:tcW w:w="980" w:type="dxa"/>
            <w:vAlign w:val="bottom"/>
            <w:tcBorders>
              <w:right w:val="single" w:sz="8" w:color="02AE90"/>
            </w:tcBorders>
            <w:shd w:val="clear" w:color="auto" w:fill="02AE90"/>
          </w:tcPr>
          <w:p>
            <w:pPr>
              <w:jc w:val="center"/>
              <w:ind w:right="57"/>
              <w:spacing w:after="0" w:line="156" w:lineRule="exact"/>
              <w:rPr>
                <w:sz w:val="20"/>
                <w:szCs w:val="20"/>
                <w:color w:val="auto"/>
              </w:rPr>
            </w:pPr>
            <w:r>
              <w:rPr>
                <w:rFonts w:ascii="Times New Roman" w:cs="Times New Roman" w:eastAsia="Times New Roman" w:hAnsi="Times New Roman"/>
                <w:sz w:val="14"/>
                <w:szCs w:val="14"/>
                <w:b w:val="1"/>
                <w:bCs w:val="1"/>
                <w:color w:val="FFFFFF"/>
              </w:rPr>
              <w:t>Underlying</w:t>
            </w:r>
          </w:p>
        </w:tc>
        <w:tc>
          <w:tcPr>
            <w:tcW w:w="1000" w:type="dxa"/>
            <w:vAlign w:val="bottom"/>
            <w:tcBorders>
              <w:right w:val="single" w:sz="8" w:color="02AE90"/>
            </w:tcBorders>
            <w:shd w:val="clear" w:color="auto" w:fill="02AE90"/>
          </w:tcPr>
          <w:p>
            <w:pPr>
              <w:jc w:val="center"/>
              <w:ind w:right="17"/>
              <w:spacing w:after="0" w:line="156" w:lineRule="exact"/>
              <w:rPr>
                <w:sz w:val="20"/>
                <w:szCs w:val="20"/>
                <w:color w:val="auto"/>
              </w:rPr>
            </w:pPr>
            <w:r>
              <w:rPr>
                <w:rFonts w:ascii="Times New Roman" w:cs="Times New Roman" w:eastAsia="Times New Roman" w:hAnsi="Times New Roman"/>
                <w:sz w:val="14"/>
                <w:szCs w:val="14"/>
                <w:b w:val="1"/>
                <w:bCs w:val="1"/>
                <w:color w:val="FFFFFF"/>
                <w:w w:val="98"/>
              </w:rPr>
              <w:t>Awards</w:t>
            </w:r>
          </w:p>
        </w:tc>
        <w:tc>
          <w:tcPr>
            <w:tcW w:w="980" w:type="dxa"/>
            <w:vAlign w:val="bottom"/>
            <w:tcBorders>
              <w:right w:val="single" w:sz="8" w:color="02AE90"/>
            </w:tcBorders>
            <w:shd w:val="clear" w:color="auto" w:fill="02AE90"/>
          </w:tcPr>
          <w:p>
            <w:pPr>
              <w:jc w:val="center"/>
              <w:ind w:right="37"/>
              <w:spacing w:after="0" w:line="156" w:lineRule="exact"/>
              <w:rPr>
                <w:sz w:val="20"/>
                <w:szCs w:val="20"/>
                <w:color w:val="auto"/>
              </w:rPr>
            </w:pPr>
            <w:r>
              <w:rPr>
                <w:rFonts w:ascii="Times New Roman" w:cs="Times New Roman" w:eastAsia="Times New Roman" w:hAnsi="Times New Roman"/>
                <w:sz w:val="14"/>
                <w:szCs w:val="14"/>
                <w:b w:val="1"/>
                <w:bCs w:val="1"/>
                <w:color w:val="FFFFFF"/>
                <w:w w:val="98"/>
              </w:rPr>
              <w:t>Awards</w:t>
            </w:r>
          </w:p>
        </w:tc>
        <w:tc>
          <w:tcPr>
            <w:tcW w:w="0" w:type="dxa"/>
            <w:vAlign w:val="bottom"/>
          </w:tcPr>
          <w:p>
            <w:pPr>
              <w:spacing w:after="0"/>
              <w:rPr>
                <w:sz w:val="1"/>
                <w:szCs w:val="1"/>
                <w:color w:val="auto"/>
              </w:rPr>
            </w:pPr>
          </w:p>
        </w:tc>
      </w:tr>
      <w:tr>
        <w:trPr>
          <w:trHeight w:val="216"/>
        </w:trPr>
        <w:tc>
          <w:tcPr>
            <w:tcW w:w="3300" w:type="dxa"/>
            <w:vAlign w:val="bottom"/>
            <w:tcBorders>
              <w:left w:val="single" w:sz="8" w:color="02AE90"/>
              <w:right w:val="single" w:sz="8" w:color="02AE90"/>
            </w:tcBorders>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980" w:type="dxa"/>
            <w:vAlign w:val="bottom"/>
            <w:tcBorders>
              <w:right w:val="single" w:sz="8" w:color="02AE90"/>
            </w:tcBorders>
            <w:shd w:val="clear" w:color="auto" w:fill="02AE90"/>
          </w:tcPr>
          <w:p>
            <w:pPr>
              <w:ind w:left="80"/>
              <w:spacing w:after="0"/>
              <w:rPr>
                <w:sz w:val="20"/>
                <w:szCs w:val="20"/>
                <w:color w:val="auto"/>
              </w:rPr>
            </w:pPr>
            <w:r>
              <w:rPr>
                <w:rFonts w:ascii="Times New Roman" w:cs="Times New Roman" w:eastAsia="Times New Roman" w:hAnsi="Times New Roman"/>
                <w:sz w:val="14"/>
                <w:szCs w:val="14"/>
                <w:b w:val="1"/>
                <w:bCs w:val="1"/>
                <w:color w:val="FFFFFF"/>
              </w:rPr>
              <w:t>Grant Date</w:t>
            </w:r>
          </w:p>
        </w:tc>
        <w:tc>
          <w:tcPr>
            <w:tcW w:w="920" w:type="dxa"/>
            <w:vAlign w:val="bottom"/>
            <w:shd w:val="clear" w:color="auto" w:fill="02AE90"/>
          </w:tcPr>
          <w:p>
            <w:pPr>
              <w:jc w:val="right"/>
              <w:ind w:right="75"/>
              <w:spacing w:after="0"/>
              <w:rPr>
                <w:sz w:val="20"/>
                <w:szCs w:val="20"/>
                <w:color w:val="auto"/>
              </w:rPr>
            </w:pPr>
            <w:r>
              <w:rPr>
                <w:rFonts w:ascii="Times New Roman" w:cs="Times New Roman" w:eastAsia="Times New Roman" w:hAnsi="Times New Roman"/>
                <w:sz w:val="14"/>
                <w:szCs w:val="14"/>
                <w:b w:val="1"/>
                <w:bCs w:val="1"/>
                <w:color w:val="FFFFFF"/>
              </w:rPr>
              <w:t>Threshold</w:t>
            </w:r>
          </w:p>
        </w:tc>
        <w:tc>
          <w:tcPr>
            <w:tcW w:w="80" w:type="dxa"/>
            <w:vAlign w:val="bottom"/>
            <w:tcBorders>
              <w:right w:val="single" w:sz="8" w:color="02AE90"/>
            </w:tcBorders>
            <w:shd w:val="clear" w:color="auto" w:fill="02AE90"/>
          </w:tcPr>
          <w:p>
            <w:pPr>
              <w:spacing w:after="0"/>
              <w:rPr>
                <w:sz w:val="18"/>
                <w:szCs w:val="18"/>
                <w:color w:val="auto"/>
              </w:rPr>
            </w:pPr>
          </w:p>
        </w:tc>
        <w:tc>
          <w:tcPr>
            <w:tcW w:w="1000" w:type="dxa"/>
            <w:vAlign w:val="bottom"/>
            <w:tcBorders>
              <w:right w:val="single" w:sz="8" w:color="02AE90"/>
            </w:tcBorders>
            <w:shd w:val="clear" w:color="auto" w:fill="02AE90"/>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w w:val="98"/>
              </w:rPr>
              <w:t>Target</w:t>
            </w:r>
          </w:p>
        </w:tc>
        <w:tc>
          <w:tcPr>
            <w:tcW w:w="1000" w:type="dxa"/>
            <w:vAlign w:val="bottom"/>
            <w:tcBorders>
              <w:right w:val="single" w:sz="8" w:color="02AE90"/>
            </w:tcBorders>
            <w:shd w:val="clear" w:color="auto" w:fill="02AE90"/>
          </w:tcPr>
          <w:p>
            <w:pPr>
              <w:jc w:val="right"/>
              <w:ind w:right="173"/>
              <w:spacing w:after="0"/>
              <w:rPr>
                <w:sz w:val="20"/>
                <w:szCs w:val="20"/>
                <w:color w:val="auto"/>
              </w:rPr>
            </w:pPr>
            <w:r>
              <w:rPr>
                <w:rFonts w:ascii="Times New Roman" w:cs="Times New Roman" w:eastAsia="Times New Roman" w:hAnsi="Times New Roman"/>
                <w:sz w:val="14"/>
                <w:szCs w:val="14"/>
                <w:b w:val="1"/>
                <w:bCs w:val="1"/>
                <w:color w:val="FFFFFF"/>
              </w:rPr>
              <w:t>Maximum</w:t>
            </w:r>
          </w:p>
        </w:tc>
        <w:tc>
          <w:tcPr>
            <w:tcW w:w="1000" w:type="dxa"/>
            <w:vAlign w:val="bottom"/>
            <w:tcBorders>
              <w:right w:val="single" w:sz="8" w:color="02AE90"/>
            </w:tcBorders>
            <w:shd w:val="clear" w:color="auto" w:fill="02AE90"/>
          </w:tcPr>
          <w:p>
            <w:pPr>
              <w:jc w:val="center"/>
              <w:ind w:right="57"/>
              <w:spacing w:after="0"/>
              <w:rPr>
                <w:sz w:val="20"/>
                <w:szCs w:val="20"/>
                <w:color w:val="auto"/>
              </w:rPr>
            </w:pPr>
            <w:r>
              <w:rPr>
                <w:rFonts w:ascii="Times New Roman" w:cs="Times New Roman" w:eastAsia="Times New Roman" w:hAnsi="Times New Roman"/>
                <w:sz w:val="14"/>
                <w:szCs w:val="14"/>
                <w:b w:val="1"/>
                <w:bCs w:val="1"/>
                <w:color w:val="FFFFFF"/>
              </w:rPr>
              <w:t>Units</w:t>
            </w:r>
          </w:p>
        </w:tc>
        <w:tc>
          <w:tcPr>
            <w:tcW w:w="980" w:type="dxa"/>
            <w:vAlign w:val="bottom"/>
            <w:tcBorders>
              <w:right w:val="single" w:sz="8" w:color="02AE90"/>
            </w:tcBorders>
            <w:shd w:val="clear" w:color="auto" w:fill="02AE90"/>
          </w:tcPr>
          <w:p>
            <w:pPr>
              <w:jc w:val="center"/>
              <w:ind w:right="57"/>
              <w:spacing w:after="0"/>
              <w:rPr>
                <w:sz w:val="20"/>
                <w:szCs w:val="20"/>
                <w:color w:val="auto"/>
              </w:rPr>
            </w:pPr>
            <w:r>
              <w:rPr>
                <w:rFonts w:ascii="Times New Roman" w:cs="Times New Roman" w:eastAsia="Times New Roman" w:hAnsi="Times New Roman"/>
                <w:sz w:val="14"/>
                <w:szCs w:val="14"/>
                <w:b w:val="1"/>
                <w:bCs w:val="1"/>
                <w:color w:val="FFFFFF"/>
              </w:rPr>
              <w:t>Options</w:t>
            </w:r>
          </w:p>
        </w:tc>
        <w:tc>
          <w:tcPr>
            <w:tcW w:w="1000" w:type="dxa"/>
            <w:vAlign w:val="bottom"/>
            <w:tcBorders>
              <w:right w:val="single" w:sz="8" w:color="02AE90"/>
            </w:tcBorders>
            <w:shd w:val="clear" w:color="auto" w:fill="02AE90"/>
          </w:tcPr>
          <w:p>
            <w:pPr>
              <w:jc w:val="center"/>
              <w:ind w:right="37"/>
              <w:spacing w:after="0"/>
              <w:rPr>
                <w:sz w:val="20"/>
                <w:szCs w:val="20"/>
                <w:color w:val="auto"/>
              </w:rPr>
            </w:pPr>
            <w:r>
              <w:rPr>
                <w:rFonts w:ascii="Times New Roman" w:cs="Times New Roman" w:eastAsia="Times New Roman" w:hAnsi="Times New Roman"/>
                <w:sz w:val="14"/>
                <w:szCs w:val="14"/>
                <w:b w:val="1"/>
                <w:bCs w:val="1"/>
                <w:color w:val="FFFFFF"/>
              </w:rPr>
              <w:t>($/Share)</w:t>
            </w:r>
          </w:p>
        </w:tc>
        <w:tc>
          <w:tcPr>
            <w:tcW w:w="980" w:type="dxa"/>
            <w:vAlign w:val="bottom"/>
            <w:tcBorders>
              <w:right w:val="single" w:sz="8" w:color="02AE90"/>
            </w:tcBorders>
            <w:shd w:val="clear" w:color="auto" w:fill="02AE90"/>
          </w:tcPr>
          <w:p>
            <w:pPr>
              <w:jc w:val="center"/>
              <w:ind w:right="17"/>
              <w:spacing w:after="0" w:line="203" w:lineRule="exact"/>
              <w:rPr>
                <w:sz w:val="20"/>
                <w:szCs w:val="20"/>
                <w:color w:val="auto"/>
              </w:rPr>
            </w:pPr>
            <w:r>
              <w:rPr>
                <w:rFonts w:ascii="Times New Roman" w:cs="Times New Roman" w:eastAsia="Times New Roman" w:hAnsi="Times New Roman"/>
                <w:sz w:val="14"/>
                <w:szCs w:val="14"/>
                <w:b w:val="1"/>
                <w:bCs w:val="1"/>
                <w:color w:val="FFFFFF"/>
                <w:w w:val="92"/>
              </w:rPr>
              <w:t>($)</w:t>
            </w:r>
            <w:r>
              <w:rPr>
                <w:rFonts w:ascii="Times New Roman" w:cs="Times New Roman" w:eastAsia="Times New Roman" w:hAnsi="Times New Roman"/>
                <w:sz w:val="18"/>
                <w:szCs w:val="18"/>
                <w:b w:val="1"/>
                <w:bCs w:val="1"/>
                <w:color w:val="FFFFFF"/>
                <w:w w:val="92"/>
                <w:vertAlign w:val="superscript"/>
              </w:rPr>
              <w:t>(1)</w:t>
            </w:r>
          </w:p>
        </w:tc>
        <w:tc>
          <w:tcPr>
            <w:tcW w:w="0" w:type="dxa"/>
            <w:vAlign w:val="bottom"/>
          </w:tcPr>
          <w:p>
            <w:pPr>
              <w:spacing w:after="0"/>
              <w:rPr>
                <w:sz w:val="1"/>
                <w:szCs w:val="1"/>
                <w:color w:val="auto"/>
              </w:rPr>
            </w:pPr>
          </w:p>
        </w:tc>
      </w:tr>
      <w:tr>
        <w:trPr>
          <w:trHeight w:val="236"/>
        </w:trPr>
        <w:tc>
          <w:tcPr>
            <w:tcW w:w="330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Matt Goldberg</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300" w:type="dxa"/>
            <w:vAlign w:val="bottom"/>
            <w:tcBorders>
              <w:left w:val="single" w:sz="8" w:color="02AE90"/>
              <w:bottom w:val="single" w:sz="8" w:color="02AE90"/>
              <w:right w:val="single" w:sz="8" w:color="02AE90"/>
            </w:tcBorders>
          </w:tcPr>
          <w:p>
            <w:pPr>
              <w:ind w:left="200"/>
              <w:spacing w:after="0" w:line="262"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33"/>
              <w:spacing w:after="0"/>
              <w:rPr>
                <w:sz w:val="20"/>
                <w:szCs w:val="20"/>
                <w:color w:val="auto"/>
              </w:rPr>
            </w:pPr>
            <w:r>
              <w:rPr>
                <w:rFonts w:ascii="Times New Roman" w:cs="Times New Roman" w:eastAsia="Times New Roman" w:hAnsi="Times New Roman"/>
                <w:sz w:val="18"/>
                <w:szCs w:val="18"/>
                <w:color w:val="auto"/>
                <w:w w:val="96"/>
              </w:rPr>
              <w:t>7/1/2022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2"/>
                <w:szCs w:val="22"/>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515,808</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18.47</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4,762,497</w:t>
            </w:r>
          </w:p>
        </w:tc>
        <w:tc>
          <w:tcPr>
            <w:tcW w:w="0" w:type="dxa"/>
            <w:vAlign w:val="bottom"/>
          </w:tcPr>
          <w:p>
            <w:pPr>
              <w:spacing w:after="0"/>
              <w:rPr>
                <w:sz w:val="1"/>
                <w:szCs w:val="1"/>
                <w:color w:val="auto"/>
              </w:rPr>
            </w:pPr>
          </w:p>
        </w:tc>
      </w:tr>
      <w:tr>
        <w:trPr>
          <w:trHeight w:val="232"/>
        </w:trPr>
        <w:tc>
          <w:tcPr>
            <w:tcW w:w="3300" w:type="dxa"/>
            <w:vAlign w:val="bottom"/>
            <w:tcBorders>
              <w:left w:val="single" w:sz="8" w:color="02AE90"/>
              <w:bottom w:val="single" w:sz="8" w:color="02AE90"/>
              <w:right w:val="single" w:sz="8" w:color="02AE90"/>
            </w:tcBorders>
          </w:tcPr>
          <w:p>
            <w:pPr>
              <w:ind w:left="200"/>
              <w:spacing w:after="0" w:line="232"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33"/>
              <w:spacing w:after="0"/>
              <w:rPr>
                <w:sz w:val="20"/>
                <w:szCs w:val="20"/>
                <w:color w:val="auto"/>
              </w:rPr>
            </w:pPr>
            <w:r>
              <w:rPr>
                <w:rFonts w:ascii="Times New Roman" w:cs="Times New Roman" w:eastAsia="Times New Roman" w:hAnsi="Times New Roman"/>
                <w:sz w:val="18"/>
                <w:szCs w:val="18"/>
                <w:color w:val="auto"/>
                <w:w w:val="96"/>
              </w:rPr>
              <w:t>7/1/2022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257,850</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4,762,490</w:t>
            </w:r>
          </w:p>
        </w:tc>
        <w:tc>
          <w:tcPr>
            <w:tcW w:w="0" w:type="dxa"/>
            <w:vAlign w:val="bottom"/>
          </w:tcPr>
          <w:p>
            <w:pPr>
              <w:spacing w:after="0"/>
              <w:rPr>
                <w:sz w:val="1"/>
                <w:szCs w:val="1"/>
                <w:color w:val="auto"/>
              </w:rPr>
            </w:pPr>
          </w:p>
        </w:tc>
      </w:tr>
      <w:tr>
        <w:trPr>
          <w:trHeight w:val="232"/>
        </w:trPr>
        <w:tc>
          <w:tcPr>
            <w:tcW w:w="3300" w:type="dxa"/>
            <w:vAlign w:val="bottom"/>
            <w:tcBorders>
              <w:left w:val="single" w:sz="8" w:color="02AE90"/>
              <w:bottom w:val="single" w:sz="8" w:color="02AE90"/>
              <w:right w:val="single" w:sz="8" w:color="02AE90"/>
            </w:tcBorders>
          </w:tcPr>
          <w:p>
            <w:pPr>
              <w:ind w:left="200"/>
              <w:spacing w:after="0" w:line="232" w:lineRule="exact"/>
              <w:rPr>
                <w:sz w:val="20"/>
                <w:szCs w:val="20"/>
                <w:color w:val="auto"/>
              </w:rPr>
            </w:pPr>
            <w:r>
              <w:rPr>
                <w:rFonts w:ascii="Times New Roman" w:cs="Times New Roman" w:eastAsia="Times New Roman" w:hAnsi="Times New Roman"/>
                <w:sz w:val="26"/>
                <w:szCs w:val="26"/>
                <w:color w:val="auto"/>
                <w:vertAlign w:val="subscript"/>
              </w:rPr>
              <w:t>MSUs</w:t>
            </w:r>
            <w:r>
              <w:rPr>
                <w:rFonts w:ascii="Times New Roman" w:cs="Times New Roman" w:eastAsia="Times New Roman" w:hAnsi="Times New Roman"/>
                <w:sz w:val="10"/>
                <w:szCs w:val="10"/>
                <w:color w:val="auto"/>
              </w:rPr>
              <w:t>(2)(3)</w:t>
            </w:r>
          </w:p>
        </w:tc>
        <w:tc>
          <w:tcPr>
            <w:tcW w:w="980" w:type="dxa"/>
            <w:vAlign w:val="bottom"/>
            <w:tcBorders>
              <w:bottom w:val="single" w:sz="8" w:color="02AE90"/>
              <w:right w:val="single" w:sz="8" w:color="02AE90"/>
            </w:tcBorders>
          </w:tcPr>
          <w:p>
            <w:pPr>
              <w:jc w:val="center"/>
              <w:ind w:right="33"/>
              <w:spacing w:after="0"/>
              <w:rPr>
                <w:sz w:val="20"/>
                <w:szCs w:val="20"/>
                <w:color w:val="auto"/>
              </w:rPr>
            </w:pPr>
            <w:r>
              <w:rPr>
                <w:rFonts w:ascii="Times New Roman" w:cs="Times New Roman" w:eastAsia="Times New Roman" w:hAnsi="Times New Roman"/>
                <w:sz w:val="18"/>
                <w:szCs w:val="18"/>
                <w:color w:val="auto"/>
                <w:w w:val="96"/>
              </w:rPr>
              <w:t>7/1/2022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378,064</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3,500,873</w:t>
            </w:r>
          </w:p>
        </w:tc>
        <w:tc>
          <w:tcPr>
            <w:tcW w:w="0" w:type="dxa"/>
            <w:vAlign w:val="bottom"/>
          </w:tcPr>
          <w:p>
            <w:pPr>
              <w:spacing w:after="0"/>
              <w:rPr>
                <w:sz w:val="1"/>
                <w:szCs w:val="1"/>
                <w:color w:val="auto"/>
              </w:rPr>
            </w:pPr>
          </w:p>
        </w:tc>
      </w:tr>
      <w:tr>
        <w:trPr>
          <w:trHeight w:val="229"/>
        </w:trPr>
        <w:tc>
          <w:tcPr>
            <w:tcW w:w="330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Annual Bonus</w:t>
            </w:r>
          </w:p>
        </w:tc>
        <w:tc>
          <w:tcPr>
            <w:tcW w:w="980" w:type="dxa"/>
            <w:vAlign w:val="bottom"/>
            <w:tcBorders>
              <w:bottom w:val="single" w:sz="8" w:color="02AE90"/>
              <w:right w:val="single" w:sz="8" w:color="02AE90"/>
            </w:tcBorders>
          </w:tcPr>
          <w:p>
            <w:pPr>
              <w:jc w:val="center"/>
              <w:ind w:right="33"/>
              <w:spacing w:after="0"/>
              <w:rPr>
                <w:sz w:val="20"/>
                <w:szCs w:val="20"/>
                <w:color w:val="auto"/>
              </w:rPr>
            </w:pPr>
            <w:r>
              <w:rPr>
                <w:rFonts w:ascii="Times New Roman" w:cs="Times New Roman" w:eastAsia="Times New Roman" w:hAnsi="Times New Roman"/>
                <w:sz w:val="18"/>
                <w:szCs w:val="18"/>
                <w:color w:val="auto"/>
                <w:w w:val="96"/>
              </w:rPr>
              <w:t>7/1/2022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200,548</w:t>
            </w:r>
          </w:p>
        </w:tc>
        <w:tc>
          <w:tcPr>
            <w:tcW w:w="80" w:type="dxa"/>
            <w:vAlign w:val="bottom"/>
            <w:tcBorders>
              <w:bottom w:val="single" w:sz="8" w:color="02AE90"/>
              <w:right w:val="single" w:sz="8" w:color="02AE90"/>
            </w:tcBorders>
          </w:tcPr>
          <w:p>
            <w:pPr>
              <w:spacing w:after="0"/>
              <w:rPr>
                <w:sz w:val="19"/>
                <w:szCs w:val="19"/>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401,096</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802,192</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0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Michael Noonan</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300" w:type="dxa"/>
            <w:vAlign w:val="bottom"/>
            <w:tcBorders>
              <w:left w:val="single" w:sz="8" w:color="02AE90"/>
              <w:bottom w:val="single" w:sz="8" w:color="02AE90"/>
              <w:right w:val="single" w:sz="8" w:color="02AE90"/>
            </w:tcBorders>
          </w:tcPr>
          <w:p>
            <w:pPr>
              <w:ind w:left="200"/>
              <w:spacing w:after="0" w:line="262"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10/31/2022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2"/>
                <w:szCs w:val="22"/>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76,986</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23.62</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916,664</w:t>
            </w:r>
          </w:p>
        </w:tc>
        <w:tc>
          <w:tcPr>
            <w:tcW w:w="0" w:type="dxa"/>
            <w:vAlign w:val="bottom"/>
          </w:tcPr>
          <w:p>
            <w:pPr>
              <w:spacing w:after="0"/>
              <w:rPr>
                <w:sz w:val="1"/>
                <w:szCs w:val="1"/>
                <w:color w:val="auto"/>
              </w:rPr>
            </w:pPr>
          </w:p>
        </w:tc>
      </w:tr>
      <w:tr>
        <w:trPr>
          <w:trHeight w:val="232"/>
        </w:trPr>
        <w:tc>
          <w:tcPr>
            <w:tcW w:w="3300" w:type="dxa"/>
            <w:vAlign w:val="bottom"/>
            <w:tcBorders>
              <w:left w:val="single" w:sz="8" w:color="02AE90"/>
              <w:bottom w:val="single" w:sz="8" w:color="02AE90"/>
              <w:right w:val="single" w:sz="8" w:color="02AE90"/>
            </w:tcBorders>
          </w:tcPr>
          <w:p>
            <w:pPr>
              <w:ind w:left="200"/>
              <w:spacing w:after="0" w:line="232"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10/31/2022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38,808</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916,645</w:t>
            </w:r>
          </w:p>
        </w:tc>
        <w:tc>
          <w:tcPr>
            <w:tcW w:w="0" w:type="dxa"/>
            <w:vAlign w:val="bottom"/>
          </w:tcPr>
          <w:p>
            <w:pPr>
              <w:spacing w:after="0"/>
              <w:rPr>
                <w:sz w:val="1"/>
                <w:szCs w:val="1"/>
                <w:color w:val="auto"/>
              </w:rPr>
            </w:pPr>
          </w:p>
        </w:tc>
      </w:tr>
      <w:tr>
        <w:trPr>
          <w:trHeight w:val="232"/>
        </w:trPr>
        <w:tc>
          <w:tcPr>
            <w:tcW w:w="3300" w:type="dxa"/>
            <w:vAlign w:val="bottom"/>
            <w:tcBorders>
              <w:left w:val="single" w:sz="8" w:color="02AE90"/>
              <w:bottom w:val="single" w:sz="8" w:color="02AE90"/>
              <w:right w:val="single" w:sz="8" w:color="02AE90"/>
            </w:tcBorders>
          </w:tcPr>
          <w:p>
            <w:pPr>
              <w:ind w:left="200"/>
              <w:spacing w:after="0" w:line="232" w:lineRule="exact"/>
              <w:rPr>
                <w:sz w:val="20"/>
                <w:szCs w:val="20"/>
                <w:color w:val="auto"/>
              </w:rPr>
            </w:pPr>
            <w:r>
              <w:rPr>
                <w:rFonts w:ascii="Times New Roman" w:cs="Times New Roman" w:eastAsia="Times New Roman" w:hAnsi="Times New Roman"/>
                <w:sz w:val="26"/>
                <w:szCs w:val="26"/>
                <w:color w:val="auto"/>
                <w:vertAlign w:val="subscript"/>
              </w:rPr>
              <w:t>MSUs</w:t>
            </w:r>
            <w:r>
              <w:rPr>
                <w:rFonts w:ascii="Times New Roman" w:cs="Times New Roman" w:eastAsia="Times New Roman" w:hAnsi="Times New Roman"/>
                <w:sz w:val="10"/>
                <w:szCs w:val="10"/>
                <w:color w:val="auto"/>
              </w:rPr>
              <w:t>(2)(3)</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10/31/2022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61,935</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916,638</w:t>
            </w:r>
          </w:p>
        </w:tc>
        <w:tc>
          <w:tcPr>
            <w:tcW w:w="0" w:type="dxa"/>
            <w:vAlign w:val="bottom"/>
          </w:tcPr>
          <w:p>
            <w:pPr>
              <w:spacing w:after="0"/>
              <w:rPr>
                <w:sz w:val="1"/>
                <w:szCs w:val="1"/>
                <w:color w:val="auto"/>
              </w:rPr>
            </w:pPr>
          </w:p>
        </w:tc>
      </w:tr>
      <w:tr>
        <w:trPr>
          <w:trHeight w:val="229"/>
        </w:trPr>
        <w:tc>
          <w:tcPr>
            <w:tcW w:w="330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Annual Bonus</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7"/>
              </w:rPr>
              <w:t>10/31/2022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80" w:type="dxa"/>
            <w:vAlign w:val="bottom"/>
            <w:tcBorders>
              <w:bottom w:val="single" w:sz="8" w:color="02AE90"/>
              <w:right w:val="single" w:sz="8" w:color="02AE90"/>
            </w:tcBorders>
          </w:tcPr>
          <w:p>
            <w:pPr>
              <w:spacing w:after="0"/>
              <w:rPr>
                <w:sz w:val="19"/>
                <w:szCs w:val="19"/>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70,192</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140,384</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0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Seth J. Kalvert</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00" w:type="dxa"/>
            <w:vAlign w:val="bottom"/>
            <w:tcBorders>
              <w:left w:val="single" w:sz="8" w:color="02AE90"/>
              <w:bottom w:val="single" w:sz="8" w:color="02AE90"/>
              <w:right w:val="single" w:sz="8" w:color="02AE90"/>
            </w:tcBorders>
          </w:tcPr>
          <w:p>
            <w:pPr>
              <w:ind w:left="200"/>
              <w:spacing w:after="0" w:line="235"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92,182</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2,499,976</w:t>
            </w:r>
          </w:p>
        </w:tc>
        <w:tc>
          <w:tcPr>
            <w:tcW w:w="0" w:type="dxa"/>
            <w:vAlign w:val="bottom"/>
          </w:tcPr>
          <w:p>
            <w:pPr>
              <w:spacing w:after="0"/>
              <w:rPr>
                <w:sz w:val="1"/>
                <w:szCs w:val="1"/>
                <w:color w:val="auto"/>
              </w:rPr>
            </w:pPr>
          </w:p>
        </w:tc>
      </w:tr>
      <w:tr>
        <w:trPr>
          <w:trHeight w:val="229"/>
        </w:trPr>
        <w:tc>
          <w:tcPr>
            <w:tcW w:w="330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Annual Bonus</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80" w:type="dxa"/>
            <w:vAlign w:val="bottom"/>
            <w:tcBorders>
              <w:bottom w:val="single" w:sz="8" w:color="02AE90"/>
              <w:right w:val="single" w:sz="8" w:color="02AE90"/>
            </w:tcBorders>
          </w:tcPr>
          <w:p>
            <w:pPr>
              <w:spacing w:after="0"/>
              <w:rPr>
                <w:sz w:val="19"/>
                <w:szCs w:val="19"/>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412,000</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824,000</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0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Ernst Teunissen</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00" w:type="dxa"/>
            <w:vAlign w:val="bottom"/>
            <w:tcBorders>
              <w:left w:val="single" w:sz="8" w:color="02AE90"/>
              <w:bottom w:val="single" w:sz="8" w:color="02AE90"/>
              <w:right w:val="single" w:sz="8" w:color="02AE90"/>
            </w:tcBorders>
          </w:tcPr>
          <w:p>
            <w:pPr>
              <w:ind w:left="200"/>
              <w:spacing w:after="0" w:line="235"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110,619</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2,999,987</w:t>
            </w:r>
          </w:p>
        </w:tc>
        <w:tc>
          <w:tcPr>
            <w:tcW w:w="0" w:type="dxa"/>
            <w:vAlign w:val="bottom"/>
          </w:tcPr>
          <w:p>
            <w:pPr>
              <w:spacing w:after="0"/>
              <w:rPr>
                <w:sz w:val="1"/>
                <w:szCs w:val="1"/>
                <w:color w:val="auto"/>
              </w:rPr>
            </w:pPr>
          </w:p>
        </w:tc>
      </w:tr>
      <w:tr>
        <w:trPr>
          <w:trHeight w:val="229"/>
        </w:trPr>
        <w:tc>
          <w:tcPr>
            <w:tcW w:w="330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Annual Bonus</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220,800</w:t>
            </w:r>
          </w:p>
        </w:tc>
        <w:tc>
          <w:tcPr>
            <w:tcW w:w="80" w:type="dxa"/>
            <w:vAlign w:val="bottom"/>
            <w:tcBorders>
              <w:bottom w:val="single" w:sz="8" w:color="02AE90"/>
              <w:right w:val="single" w:sz="8" w:color="02AE90"/>
            </w:tcBorders>
          </w:tcPr>
          <w:p>
            <w:pPr>
              <w:spacing w:after="0"/>
              <w:rPr>
                <w:sz w:val="19"/>
                <w:szCs w:val="19"/>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441,600</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883,200</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30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Kanika Soni</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300" w:type="dxa"/>
            <w:vAlign w:val="bottom"/>
            <w:tcBorders>
              <w:left w:val="single" w:sz="8" w:color="02AE90"/>
              <w:bottom w:val="single" w:sz="8" w:color="02AE90"/>
              <w:right w:val="single" w:sz="8" w:color="02AE90"/>
            </w:tcBorders>
          </w:tcPr>
          <w:p>
            <w:pPr>
              <w:ind w:left="200"/>
              <w:spacing w:after="0" w:line="235"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2AE90"/>
              <w:right w:val="single" w:sz="8" w:color="02AE90"/>
            </w:tcBorders>
          </w:tcPr>
          <w:p>
            <w:pPr>
              <w:spacing w:after="0"/>
              <w:rPr>
                <w:sz w:val="20"/>
                <w:szCs w:val="20"/>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73,746</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1,999,992</w:t>
            </w:r>
          </w:p>
        </w:tc>
        <w:tc>
          <w:tcPr>
            <w:tcW w:w="0" w:type="dxa"/>
            <w:vAlign w:val="bottom"/>
          </w:tcPr>
          <w:p>
            <w:pPr>
              <w:spacing w:after="0"/>
              <w:rPr>
                <w:sz w:val="1"/>
                <w:szCs w:val="1"/>
                <w:color w:val="auto"/>
              </w:rPr>
            </w:pPr>
          </w:p>
        </w:tc>
      </w:tr>
      <w:tr>
        <w:trPr>
          <w:trHeight w:val="229"/>
        </w:trPr>
        <w:tc>
          <w:tcPr>
            <w:tcW w:w="330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Annual Bonus</w:t>
            </w:r>
          </w:p>
        </w:tc>
        <w:tc>
          <w:tcPr>
            <w:tcW w:w="980" w:type="dxa"/>
            <w:vAlign w:val="bottom"/>
            <w:tcBorders>
              <w:bottom w:val="single" w:sz="8" w:color="02AE90"/>
              <w:right w:val="single" w:sz="8" w:color="02AE90"/>
            </w:tcBorders>
          </w:tcPr>
          <w:p>
            <w:pPr>
              <w:jc w:val="center"/>
              <w:ind w:right="53"/>
              <w:spacing w:after="0"/>
              <w:rPr>
                <w:sz w:val="20"/>
                <w:szCs w:val="20"/>
                <w:color w:val="auto"/>
              </w:rPr>
            </w:pPr>
            <w:r>
              <w:rPr>
                <w:rFonts w:ascii="Times New Roman" w:cs="Times New Roman" w:eastAsia="Times New Roman" w:hAnsi="Times New Roman"/>
                <w:sz w:val="18"/>
                <w:szCs w:val="18"/>
                <w:color w:val="auto"/>
                <w:w w:val="98"/>
              </w:rPr>
              <w:t>2/22/2022</w:t>
            </w:r>
          </w:p>
        </w:tc>
        <w:tc>
          <w:tcPr>
            <w:tcW w:w="92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238,500</w:t>
            </w:r>
          </w:p>
        </w:tc>
        <w:tc>
          <w:tcPr>
            <w:tcW w:w="80" w:type="dxa"/>
            <w:vAlign w:val="bottom"/>
            <w:tcBorders>
              <w:bottom w:val="single" w:sz="8" w:color="02AE90"/>
              <w:right w:val="single" w:sz="8" w:color="02AE90"/>
            </w:tcBorders>
          </w:tcPr>
          <w:p>
            <w:pPr>
              <w:spacing w:after="0"/>
              <w:rPr>
                <w:sz w:val="19"/>
                <w:szCs w:val="19"/>
                <w:color w:val="auto"/>
              </w:rPr>
            </w:pP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477,000</w:t>
            </w:r>
          </w:p>
        </w:tc>
        <w:tc>
          <w:tcPr>
            <w:tcW w:w="100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954,000</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02AE90"/>
              <w:right w:val="single" w:sz="8" w:color="02AE90"/>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2AE90"/>
              <w:right w:val="single" w:sz="8" w:color="02AE90"/>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00" w:type="dxa"/>
            <w:vAlign w:val="bottom"/>
            <w:tcBorders>
              <w:left w:val="single" w:sz="8" w:color="02AE90"/>
              <w:bottom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Lindsay Nelson </w:t>
            </w:r>
            <w:r>
              <w:rPr>
                <w:rFonts w:ascii="Times New Roman" w:cs="Times New Roman" w:eastAsia="Times New Roman" w:hAnsi="Times New Roman"/>
                <w:sz w:val="23"/>
                <w:szCs w:val="23"/>
                <w:color w:val="auto"/>
                <w:vertAlign w:val="superscript"/>
              </w:rPr>
              <w:t>(4)</w:t>
            </w:r>
          </w:p>
        </w:tc>
        <w:tc>
          <w:tcPr>
            <w:tcW w:w="980" w:type="dxa"/>
            <w:vAlign w:val="bottom"/>
            <w:tcBorders>
              <w:bottom w:val="single" w:sz="8" w:color="02AE90"/>
            </w:tcBorders>
          </w:tcPr>
          <w:p>
            <w:pPr>
              <w:spacing w:after="0"/>
              <w:rPr>
                <w:sz w:val="20"/>
                <w:szCs w:val="20"/>
                <w:color w:val="auto"/>
              </w:rPr>
            </w:pPr>
          </w:p>
        </w:tc>
        <w:tc>
          <w:tcPr>
            <w:tcW w:w="920" w:type="dxa"/>
            <w:vAlign w:val="bottom"/>
            <w:tcBorders>
              <w:bottom w:val="single" w:sz="8" w:color="02AE90"/>
            </w:tcBorders>
          </w:tcPr>
          <w:p>
            <w:pPr>
              <w:spacing w:after="0"/>
              <w:rPr>
                <w:sz w:val="20"/>
                <w:szCs w:val="20"/>
                <w:color w:val="auto"/>
              </w:rPr>
            </w:pPr>
          </w:p>
        </w:tc>
        <w:tc>
          <w:tcPr>
            <w:tcW w:w="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380" w:hanging="374"/>
        <w:spacing w:after="0" w:line="223"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computed in accordance with FASB ASC Topic 718 and may not correspond to the actual value that will be realized by the executive. We have disclosed the assumptions made in the valuation of the awards in “Note 14—Stock Based Awards and Other Equity Instruments” in the notes to our consolidated financial statements in our 2022 Annual Report. For MSUs granted in 2022, the value reported reflects the estimated grant-date fair value of the awards based upon a Monte-Carlo simulation model, which simulated the present value of the potential outcomes of future stock prices over the performance period.</w:t>
      </w:r>
    </w:p>
    <w:p>
      <w:pPr>
        <w:spacing w:after="0" w:line="2" w:lineRule="exact"/>
        <w:rPr>
          <w:rFonts w:ascii="Times New Roman" w:cs="Times New Roman" w:eastAsia="Times New Roman" w:hAnsi="Times New Roman"/>
          <w:sz w:val="14"/>
          <w:szCs w:val="14"/>
          <w:color w:val="auto"/>
        </w:rPr>
      </w:pPr>
    </w:p>
    <w:p>
      <w:pPr>
        <w:ind w:left="380" w:hanging="374"/>
        <w:spacing w:after="0" w:line="217"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the vesting terms of these awards, please see “Outstanding Equity Awards at Fiscal Year-End” below.</w:t>
      </w:r>
    </w:p>
    <w:p>
      <w:pPr>
        <w:ind w:left="380" w:hanging="374"/>
        <w:spacing w:after="0" w:line="217"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stock or units reported represents the targeted number of units to be issued. Depending on the Company’s performance, executives may receive no awards or up to the target amount reflected.</w:t>
      </w:r>
    </w:p>
    <w:p>
      <w:pPr>
        <w:spacing w:after="0" w:line="1"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Nelson resigned from the Company effective February 28, 2022.</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regarding the holdings of all equity awards held by our named executive officers as of December 31, 2022, including Mr. Kaufer who resigned as Chief Executive Officer and President effective July 1, 2022 but continues to provide consulting services to the Company in consideration for the continued vesting of his outstanding equity awards. The market value of the RSUs and MSUs are calculated based on the closing price of Tripadvisor common stock on Nasdaq on December 30, 2022, the last trading date of the year, which was $17.98 per share.</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1820" w:type="dxa"/>
            <w:vAlign w:val="bottom"/>
            <w:tcBorders>
              <w:left w:val="single" w:sz="8" w:color="02AE90"/>
            </w:tcBorders>
            <w:shd w:val="clear" w:color="auto" w:fill="02AE90"/>
          </w:tcPr>
          <w:p>
            <w:pPr>
              <w:spacing w:after="0"/>
              <w:rPr>
                <w:sz w:val="13"/>
                <w:szCs w:val="13"/>
                <w:color w:val="auto"/>
              </w:rPr>
            </w:pPr>
          </w:p>
        </w:tc>
        <w:tc>
          <w:tcPr>
            <w:tcW w:w="120" w:type="dxa"/>
            <w:vAlign w:val="bottom"/>
            <w:tcBorders>
              <w:right w:val="single" w:sz="8" w:color="02AE90"/>
            </w:tcBorders>
            <w:shd w:val="clear" w:color="auto" w:fill="02AE90"/>
          </w:tcPr>
          <w:p>
            <w:pPr>
              <w:spacing w:after="0"/>
              <w:rPr>
                <w:sz w:val="13"/>
                <w:szCs w:val="13"/>
                <w:color w:val="auto"/>
              </w:rPr>
            </w:pPr>
          </w:p>
        </w:tc>
        <w:tc>
          <w:tcPr>
            <w:tcW w:w="1140" w:type="dxa"/>
            <w:vAlign w:val="bottom"/>
            <w:tcBorders>
              <w:right w:val="single" w:sz="8" w:color="02AE90"/>
            </w:tcBorders>
            <w:shd w:val="clear" w:color="auto" w:fill="02AE90"/>
          </w:tcPr>
          <w:p>
            <w:pPr>
              <w:spacing w:after="0"/>
              <w:rPr>
                <w:sz w:val="13"/>
                <w:szCs w:val="13"/>
                <w:color w:val="auto"/>
              </w:rPr>
            </w:pPr>
          </w:p>
        </w:tc>
        <w:tc>
          <w:tcPr>
            <w:tcW w:w="2080" w:type="dxa"/>
            <w:vAlign w:val="bottom"/>
            <w:tcBorders>
              <w:right w:val="single" w:sz="8" w:color="02AE90"/>
            </w:tcBorders>
            <w:gridSpan w:val="2"/>
            <w:shd w:val="clear" w:color="auto" w:fill="02AE90"/>
          </w:tcPr>
          <w:p>
            <w:pPr>
              <w:jc w:val="right"/>
              <w:ind w:right="699"/>
              <w:spacing w:after="0"/>
              <w:rPr>
                <w:sz w:val="20"/>
                <w:szCs w:val="20"/>
                <w:color w:val="auto"/>
              </w:rPr>
            </w:pPr>
            <w:r>
              <w:rPr>
                <w:rFonts w:ascii="Times New Roman" w:cs="Times New Roman" w:eastAsia="Times New Roman" w:hAnsi="Times New Roman"/>
                <w:sz w:val="11"/>
                <w:szCs w:val="11"/>
                <w:b w:val="1"/>
                <w:bCs w:val="1"/>
                <w:color w:val="FFFFFF"/>
              </w:rPr>
              <w:t>Option Awards</w:t>
            </w:r>
          </w:p>
        </w:tc>
        <w:tc>
          <w:tcPr>
            <w:tcW w:w="900" w:type="dxa"/>
            <w:vAlign w:val="bottom"/>
            <w:shd w:val="clear" w:color="auto" w:fill="02AE90"/>
          </w:tcPr>
          <w:p>
            <w:pPr>
              <w:spacing w:after="0"/>
              <w:rPr>
                <w:sz w:val="13"/>
                <w:szCs w:val="13"/>
                <w:color w:val="auto"/>
              </w:rPr>
            </w:pPr>
          </w:p>
        </w:tc>
        <w:tc>
          <w:tcPr>
            <w:tcW w:w="120" w:type="dxa"/>
            <w:vAlign w:val="bottom"/>
            <w:tcBorders>
              <w:right w:val="single" w:sz="8" w:color="02AE90"/>
            </w:tcBorders>
            <w:shd w:val="clear" w:color="auto" w:fill="02AE90"/>
          </w:tcPr>
          <w:p>
            <w:pPr>
              <w:spacing w:after="0"/>
              <w:rPr>
                <w:sz w:val="13"/>
                <w:szCs w:val="13"/>
                <w:color w:val="auto"/>
              </w:rPr>
            </w:pPr>
          </w:p>
        </w:tc>
        <w:tc>
          <w:tcPr>
            <w:tcW w:w="1040" w:type="dxa"/>
            <w:vAlign w:val="bottom"/>
            <w:tcBorders>
              <w:right w:val="single" w:sz="8" w:color="02AE90"/>
            </w:tcBorders>
            <w:shd w:val="clear" w:color="auto" w:fill="02AE90"/>
          </w:tcPr>
          <w:p>
            <w:pPr>
              <w:spacing w:after="0"/>
              <w:rPr>
                <w:sz w:val="13"/>
                <w:szCs w:val="13"/>
                <w:color w:val="auto"/>
              </w:rPr>
            </w:pPr>
          </w:p>
        </w:tc>
        <w:tc>
          <w:tcPr>
            <w:tcW w:w="1000" w:type="dxa"/>
            <w:vAlign w:val="bottom"/>
            <w:tcBorders>
              <w:right w:val="single" w:sz="8" w:color="02AE90"/>
            </w:tcBorders>
            <w:shd w:val="clear" w:color="auto" w:fill="02AE90"/>
          </w:tcPr>
          <w:p>
            <w:pPr>
              <w:spacing w:after="0"/>
              <w:rPr>
                <w:sz w:val="13"/>
                <w:szCs w:val="13"/>
                <w:color w:val="auto"/>
              </w:rPr>
            </w:pPr>
          </w:p>
        </w:tc>
        <w:tc>
          <w:tcPr>
            <w:tcW w:w="2020" w:type="dxa"/>
            <w:vAlign w:val="bottom"/>
            <w:tcBorders>
              <w:right w:val="single" w:sz="8" w:color="02AE90"/>
            </w:tcBorders>
            <w:gridSpan w:val="2"/>
            <w:shd w:val="clear" w:color="auto" w:fill="02AE90"/>
          </w:tcPr>
          <w:p>
            <w:pPr>
              <w:jc w:val="right"/>
              <w:ind w:right="640"/>
              <w:spacing w:after="0"/>
              <w:rPr>
                <w:sz w:val="20"/>
                <w:szCs w:val="20"/>
                <w:color w:val="auto"/>
              </w:rPr>
            </w:pPr>
            <w:r>
              <w:rPr>
                <w:rFonts w:ascii="Times New Roman" w:cs="Times New Roman" w:eastAsia="Times New Roman" w:hAnsi="Times New Roman"/>
                <w:sz w:val="11"/>
                <w:szCs w:val="11"/>
                <w:b w:val="1"/>
                <w:bCs w:val="1"/>
                <w:color w:val="FFFFFF"/>
              </w:rPr>
              <w:t>Stock Awards</w:t>
            </w:r>
          </w:p>
        </w:tc>
        <w:tc>
          <w:tcPr>
            <w:tcW w:w="1000" w:type="dxa"/>
            <w:vAlign w:val="bottom"/>
            <w:tcBorders>
              <w:right w:val="single" w:sz="8" w:color="02AE90"/>
            </w:tcBorders>
            <w:shd w:val="clear" w:color="auto" w:fill="02AE90"/>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20" w:type="dxa"/>
            <w:vAlign w:val="bottom"/>
            <w:tcBorders>
              <w:right w:val="single" w:sz="8" w:color="02AE90"/>
            </w:tcBorders>
            <w:shd w:val="clear" w:color="auto" w:fill="02AE90"/>
          </w:tcPr>
          <w:p>
            <w:pPr>
              <w:jc w:val="center"/>
              <w:ind w:right="60"/>
              <w:spacing w:after="0" w:line="118" w:lineRule="exact"/>
              <w:rPr>
                <w:sz w:val="20"/>
                <w:szCs w:val="20"/>
                <w:color w:val="auto"/>
              </w:rPr>
            </w:pPr>
            <w:r>
              <w:rPr>
                <w:rFonts w:ascii="Times New Roman" w:cs="Times New Roman" w:eastAsia="Times New Roman" w:hAnsi="Times New Roman"/>
                <w:sz w:val="11"/>
                <w:szCs w:val="11"/>
                <w:b w:val="1"/>
                <w:bCs w:val="1"/>
                <w:color w:val="FFFFFF"/>
                <w:w w:val="94"/>
              </w:rPr>
              <w:t>Equity</w:t>
            </w:r>
          </w:p>
        </w:tc>
        <w:tc>
          <w:tcPr>
            <w:tcW w:w="1000" w:type="dxa"/>
            <w:vAlign w:val="bottom"/>
            <w:tcBorders>
              <w:right w:val="single" w:sz="8" w:color="02AE90"/>
            </w:tcBorders>
            <w:shd w:val="clear" w:color="auto" w:fill="02AE90"/>
          </w:tcPr>
          <w:p>
            <w:pPr>
              <w:jc w:val="center"/>
              <w:ind w:right="41"/>
              <w:spacing w:after="0" w:line="118" w:lineRule="exact"/>
              <w:rPr>
                <w:sz w:val="20"/>
                <w:szCs w:val="20"/>
                <w:color w:val="auto"/>
              </w:rPr>
            </w:pPr>
            <w:r>
              <w:rPr>
                <w:rFonts w:ascii="Times New Roman" w:cs="Times New Roman" w:eastAsia="Times New Roman" w:hAnsi="Times New Roman"/>
                <w:sz w:val="11"/>
                <w:szCs w:val="11"/>
                <w:b w:val="1"/>
                <w:bCs w:val="1"/>
                <w:color w:val="FFFFFF"/>
                <w:w w:val="94"/>
              </w:rPr>
              <w:t>Equity</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2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Incentive</w:t>
            </w:r>
          </w:p>
        </w:tc>
        <w:tc>
          <w:tcPr>
            <w:tcW w:w="1000" w:type="dxa"/>
            <w:vAlign w:val="bottom"/>
            <w:tcBorders>
              <w:right w:val="single" w:sz="8" w:color="02AE90"/>
            </w:tcBorders>
            <w:shd w:val="clear" w:color="auto" w:fill="02AE90"/>
          </w:tcPr>
          <w:p>
            <w:pPr>
              <w:jc w:val="center"/>
              <w:ind w:right="41"/>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Incentive Plan</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2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Plan</w:t>
            </w:r>
          </w:p>
        </w:tc>
        <w:tc>
          <w:tcPr>
            <w:tcW w:w="1000" w:type="dxa"/>
            <w:vAlign w:val="bottom"/>
            <w:tcBorders>
              <w:right w:val="single" w:sz="8" w:color="02AE90"/>
            </w:tcBorders>
            <w:shd w:val="clear" w:color="auto" w:fill="02AE90"/>
          </w:tcPr>
          <w:p>
            <w:pPr>
              <w:jc w:val="center"/>
              <w:ind w:right="41"/>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Awards:</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2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Awards:</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8"/>
              </w:rPr>
              <w:t>Market or</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2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Payout</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Market</w:t>
            </w:r>
          </w:p>
        </w:tc>
        <w:tc>
          <w:tcPr>
            <w:tcW w:w="102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Unearned</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1"/>
              </w:rPr>
              <w:t>Value of</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Value of</w:t>
            </w:r>
          </w:p>
        </w:tc>
        <w:tc>
          <w:tcPr>
            <w:tcW w:w="102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8"/>
              </w:rPr>
              <w:t>Shares,</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Unearned</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Number of</w:t>
            </w:r>
          </w:p>
        </w:tc>
        <w:tc>
          <w:tcPr>
            <w:tcW w:w="100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Shares or</w:t>
            </w:r>
          </w:p>
        </w:tc>
        <w:tc>
          <w:tcPr>
            <w:tcW w:w="102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Units</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2"/>
              </w:rPr>
              <w:t>Shares,</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Securities</w:t>
            </w:r>
          </w:p>
        </w:tc>
        <w:tc>
          <w:tcPr>
            <w:tcW w:w="1040" w:type="dxa"/>
            <w:vAlign w:val="bottom"/>
          </w:tcPr>
          <w:p>
            <w:pPr>
              <w:jc w:val="center"/>
              <w:ind w:right="99"/>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Securities</w:t>
            </w:r>
          </w:p>
        </w:tc>
        <w:tc>
          <w:tcPr>
            <w:tcW w:w="900" w:type="dxa"/>
            <w:vAlign w:val="bottom"/>
            <w:shd w:val="clear" w:color="auto" w:fill="02AE90"/>
          </w:tcPr>
          <w:p>
            <w:pPr>
              <w:spacing w:after="0"/>
              <w:rPr>
                <w:sz w:val="10"/>
                <w:szCs w:val="10"/>
                <w:color w:val="auto"/>
              </w:rPr>
            </w:pP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Shares or</w:t>
            </w:r>
          </w:p>
        </w:tc>
        <w:tc>
          <w:tcPr>
            <w:tcW w:w="100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Units of</w:t>
            </w:r>
          </w:p>
        </w:tc>
        <w:tc>
          <w:tcPr>
            <w:tcW w:w="102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or Other</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Units or</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Underlying</w:t>
            </w: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Underlying</w:t>
            </w:r>
          </w:p>
        </w:tc>
        <w:tc>
          <w:tcPr>
            <w:tcW w:w="900" w:type="dxa"/>
            <w:vAlign w:val="bottom"/>
            <w:shd w:val="clear" w:color="auto" w:fill="02AE90"/>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Option</w:t>
            </w: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spacing w:after="0"/>
              <w:rPr>
                <w:sz w:val="10"/>
                <w:szCs w:val="10"/>
                <w:color w:val="auto"/>
              </w:rPr>
            </w:pPr>
          </w:p>
        </w:tc>
        <w:tc>
          <w:tcPr>
            <w:tcW w:w="1000" w:type="dxa"/>
            <w:vAlign w:val="bottom"/>
            <w:tcBorders>
              <w:right w:val="single" w:sz="8" w:color="02AE90"/>
            </w:tcBorders>
            <w:shd w:val="clear" w:color="auto" w:fill="02AE90"/>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Units of</w:t>
            </w:r>
          </w:p>
        </w:tc>
        <w:tc>
          <w:tcPr>
            <w:tcW w:w="100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Stock That</w:t>
            </w:r>
          </w:p>
        </w:tc>
        <w:tc>
          <w:tcPr>
            <w:tcW w:w="1020" w:type="dxa"/>
            <w:vAlign w:val="bottom"/>
            <w:tcBorders>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8"/>
              </w:rPr>
              <w:t>Rights</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7"/>
              </w:rPr>
              <w:t>Other Rights</w:t>
            </w:r>
          </w:p>
        </w:tc>
        <w:tc>
          <w:tcPr>
            <w:tcW w:w="0" w:type="dxa"/>
            <w:vAlign w:val="bottom"/>
          </w:tcPr>
          <w:p>
            <w:pPr>
              <w:spacing w:after="0"/>
              <w:rPr>
                <w:sz w:val="1"/>
                <w:szCs w:val="1"/>
                <w:color w:val="auto"/>
              </w:rPr>
            </w:pPr>
          </w:p>
        </w:tc>
      </w:tr>
      <w:tr>
        <w:trPr>
          <w:trHeight w:val="120"/>
        </w:trPr>
        <w:tc>
          <w:tcPr>
            <w:tcW w:w="1820" w:type="dxa"/>
            <w:vAlign w:val="bottom"/>
            <w:tcBorders>
              <w:left w:val="single" w:sz="8" w:color="02AE90"/>
            </w:tcBorders>
            <w:shd w:val="clear" w:color="auto" w:fill="02AE90"/>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Unexercised</w:t>
            </w: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Unexercised</w:t>
            </w:r>
          </w:p>
        </w:tc>
        <w:tc>
          <w:tcPr>
            <w:tcW w:w="900" w:type="dxa"/>
            <w:vAlign w:val="bottom"/>
            <w:shd w:val="clear" w:color="auto" w:fill="02AE90"/>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Exercise</w:t>
            </w:r>
          </w:p>
        </w:tc>
        <w:tc>
          <w:tcPr>
            <w:tcW w:w="120" w:type="dxa"/>
            <w:vAlign w:val="bottom"/>
            <w:tcBorders>
              <w:right w:val="single" w:sz="8" w:color="02AE90"/>
            </w:tcBorders>
            <w:shd w:val="clear" w:color="auto" w:fill="02AE90"/>
          </w:tcPr>
          <w:p>
            <w:pPr>
              <w:spacing w:after="0"/>
              <w:rPr>
                <w:sz w:val="10"/>
                <w:szCs w:val="10"/>
                <w:color w:val="auto"/>
              </w:rPr>
            </w:pPr>
          </w:p>
        </w:tc>
        <w:tc>
          <w:tcPr>
            <w:tcW w:w="1040" w:type="dxa"/>
            <w:vAlign w:val="bottom"/>
            <w:tcBorders>
              <w:right w:val="single" w:sz="8" w:color="02AE90"/>
            </w:tcBorders>
            <w:shd w:val="clear" w:color="auto" w:fill="02AE90"/>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Option</w:t>
            </w:r>
          </w:p>
        </w:tc>
        <w:tc>
          <w:tcPr>
            <w:tcW w:w="1000" w:type="dxa"/>
            <w:vAlign w:val="bottom"/>
            <w:tcBorders>
              <w:right w:val="single" w:sz="8" w:color="02AE90"/>
            </w:tcBorders>
            <w:shd w:val="clear" w:color="auto" w:fill="02AE90"/>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Stock That</w:t>
            </w:r>
          </w:p>
        </w:tc>
        <w:tc>
          <w:tcPr>
            <w:tcW w:w="100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Have Not</w:t>
            </w:r>
          </w:p>
        </w:tc>
        <w:tc>
          <w:tcPr>
            <w:tcW w:w="1020" w:type="dxa"/>
            <w:vAlign w:val="bottom"/>
            <w:tcBorders>
              <w:right w:val="single" w:sz="8" w:color="02AE90"/>
            </w:tcBorders>
            <w:shd w:val="clear" w:color="auto" w:fill="02AE90"/>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That Have</w:t>
            </w:r>
          </w:p>
        </w:tc>
        <w:tc>
          <w:tcPr>
            <w:tcW w:w="1000" w:type="dxa"/>
            <w:vAlign w:val="bottom"/>
            <w:tcBorders>
              <w:right w:val="single" w:sz="8" w:color="02AE90"/>
            </w:tcBorders>
            <w:shd w:val="clear" w:color="auto" w:fill="02AE90"/>
          </w:tcPr>
          <w:p>
            <w:pPr>
              <w:jc w:val="center"/>
              <w:ind w:right="61"/>
              <w:spacing w:after="0" w:line="120" w:lineRule="exact"/>
              <w:rPr>
                <w:sz w:val="20"/>
                <w:szCs w:val="20"/>
                <w:color w:val="auto"/>
              </w:rPr>
            </w:pPr>
            <w:r>
              <w:rPr>
                <w:rFonts w:ascii="Times New Roman" w:cs="Times New Roman" w:eastAsia="Times New Roman" w:hAnsi="Times New Roman"/>
                <w:sz w:val="11"/>
                <w:szCs w:val="11"/>
                <w:b w:val="1"/>
                <w:bCs w:val="1"/>
                <w:color w:val="FFFFFF"/>
                <w:w w:val="96"/>
              </w:rPr>
              <w:t>That Have</w:t>
            </w:r>
          </w:p>
        </w:tc>
        <w:tc>
          <w:tcPr>
            <w:tcW w:w="0" w:type="dxa"/>
            <w:vAlign w:val="bottom"/>
          </w:tcPr>
          <w:p>
            <w:pPr>
              <w:spacing w:after="0"/>
              <w:rPr>
                <w:sz w:val="1"/>
                <w:szCs w:val="1"/>
                <w:color w:val="auto"/>
              </w:rPr>
            </w:pPr>
          </w:p>
        </w:tc>
      </w:tr>
      <w:tr>
        <w:trPr>
          <w:trHeight w:val="109"/>
        </w:trPr>
        <w:tc>
          <w:tcPr>
            <w:tcW w:w="1820" w:type="dxa"/>
            <w:vAlign w:val="bottom"/>
            <w:tcBorders>
              <w:left w:val="single" w:sz="8" w:color="02AE90"/>
            </w:tcBorders>
            <w:shd w:val="clear" w:color="auto" w:fill="02AE90"/>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right"/>
              <w:ind w:right="508"/>
              <w:spacing w:after="0" w:line="109" w:lineRule="exact"/>
              <w:rPr>
                <w:sz w:val="20"/>
                <w:szCs w:val="20"/>
                <w:color w:val="auto"/>
              </w:rPr>
            </w:pPr>
            <w:r>
              <w:rPr>
                <w:rFonts w:ascii="Times New Roman" w:cs="Times New Roman" w:eastAsia="Times New Roman" w:hAnsi="Times New Roman"/>
                <w:sz w:val="11"/>
                <w:szCs w:val="11"/>
                <w:b w:val="1"/>
                <w:bCs w:val="1"/>
                <w:color w:val="FFFFFF"/>
              </w:rPr>
              <w:t>Grant</w:t>
            </w:r>
          </w:p>
        </w:tc>
        <w:tc>
          <w:tcPr>
            <w:tcW w:w="1040" w:type="dxa"/>
            <w:vAlign w:val="bottom"/>
          </w:tcPr>
          <w:p>
            <w:pPr>
              <w:jc w:val="center"/>
              <w:ind w:right="59"/>
              <w:spacing w:after="0" w:line="109" w:lineRule="exact"/>
              <w:rPr>
                <w:sz w:val="20"/>
                <w:szCs w:val="20"/>
                <w:color w:val="auto"/>
              </w:rPr>
            </w:pPr>
            <w:r>
              <w:rPr>
                <w:rFonts w:ascii="Times New Roman" w:cs="Times New Roman" w:eastAsia="Times New Roman" w:hAnsi="Times New Roman"/>
                <w:sz w:val="11"/>
                <w:szCs w:val="11"/>
                <w:b w:val="1"/>
                <w:bCs w:val="1"/>
                <w:color w:val="FFFFFF"/>
                <w:w w:val="96"/>
              </w:rPr>
              <w:t>Options</w:t>
            </w:r>
          </w:p>
        </w:tc>
        <w:tc>
          <w:tcPr>
            <w:tcW w:w="1040" w:type="dxa"/>
            <w:vAlign w:val="bottom"/>
          </w:tcPr>
          <w:p>
            <w:pPr>
              <w:jc w:val="center"/>
              <w:ind w:right="99"/>
              <w:spacing w:after="0" w:line="109" w:lineRule="exact"/>
              <w:rPr>
                <w:sz w:val="20"/>
                <w:szCs w:val="20"/>
                <w:color w:val="auto"/>
              </w:rPr>
            </w:pPr>
            <w:r>
              <w:rPr>
                <w:rFonts w:ascii="Times New Roman" w:cs="Times New Roman" w:eastAsia="Times New Roman" w:hAnsi="Times New Roman"/>
                <w:sz w:val="11"/>
                <w:szCs w:val="11"/>
                <w:b w:val="1"/>
                <w:bCs w:val="1"/>
                <w:color w:val="FFFFFF"/>
                <w:w w:val="96"/>
              </w:rPr>
              <w:t>Options</w:t>
            </w:r>
          </w:p>
        </w:tc>
        <w:tc>
          <w:tcPr>
            <w:tcW w:w="900" w:type="dxa"/>
            <w:vAlign w:val="bottom"/>
            <w:shd w:val="clear" w:color="auto" w:fill="02AE90"/>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FFFFFF"/>
                <w:w w:val="98"/>
              </w:rPr>
              <w:t>Price</w:t>
            </w:r>
          </w:p>
        </w:tc>
        <w:tc>
          <w:tcPr>
            <w:tcW w:w="120" w:type="dxa"/>
            <w:vAlign w:val="bottom"/>
            <w:tcBorders>
              <w:right w:val="single" w:sz="8" w:color="02AE90"/>
            </w:tcBorders>
            <w:shd w:val="clear" w:color="auto" w:fill="02AE90"/>
          </w:tcPr>
          <w:p>
            <w:pPr>
              <w:spacing w:after="0"/>
              <w:rPr>
                <w:sz w:val="9"/>
                <w:szCs w:val="9"/>
                <w:color w:val="auto"/>
              </w:rPr>
            </w:pPr>
          </w:p>
        </w:tc>
        <w:tc>
          <w:tcPr>
            <w:tcW w:w="1040" w:type="dxa"/>
            <w:vAlign w:val="bottom"/>
            <w:tcBorders>
              <w:right w:val="single" w:sz="8" w:color="02AE90"/>
            </w:tcBorders>
            <w:shd w:val="clear" w:color="auto" w:fill="02AE90"/>
          </w:tcPr>
          <w:p>
            <w:pPr>
              <w:jc w:val="center"/>
              <w:ind w:right="59"/>
              <w:spacing w:after="0" w:line="109" w:lineRule="exact"/>
              <w:rPr>
                <w:sz w:val="20"/>
                <w:szCs w:val="20"/>
                <w:color w:val="auto"/>
              </w:rPr>
            </w:pPr>
            <w:r>
              <w:rPr>
                <w:rFonts w:ascii="Times New Roman" w:cs="Times New Roman" w:eastAsia="Times New Roman" w:hAnsi="Times New Roman"/>
                <w:sz w:val="11"/>
                <w:szCs w:val="11"/>
                <w:b w:val="1"/>
                <w:bCs w:val="1"/>
                <w:color w:val="FFFFFF"/>
                <w:w w:val="94"/>
              </w:rPr>
              <w:t>Expiration</w:t>
            </w:r>
          </w:p>
        </w:tc>
        <w:tc>
          <w:tcPr>
            <w:tcW w:w="1000" w:type="dxa"/>
            <w:vAlign w:val="bottom"/>
            <w:tcBorders>
              <w:right w:val="single" w:sz="8" w:color="02AE90"/>
            </w:tcBorders>
            <w:shd w:val="clear" w:color="auto" w:fill="02AE90"/>
          </w:tcPr>
          <w:p>
            <w:pPr>
              <w:jc w:val="center"/>
              <w:ind w:right="79"/>
              <w:spacing w:after="0" w:line="109" w:lineRule="exact"/>
              <w:rPr>
                <w:sz w:val="20"/>
                <w:szCs w:val="20"/>
                <w:color w:val="auto"/>
              </w:rPr>
            </w:pPr>
            <w:r>
              <w:rPr>
                <w:rFonts w:ascii="Times New Roman" w:cs="Times New Roman" w:eastAsia="Times New Roman" w:hAnsi="Times New Roman"/>
                <w:sz w:val="11"/>
                <w:szCs w:val="11"/>
                <w:b w:val="1"/>
                <w:bCs w:val="1"/>
                <w:color w:val="FFFFFF"/>
                <w:w w:val="94"/>
              </w:rPr>
              <w:t>Have Not</w:t>
            </w:r>
          </w:p>
        </w:tc>
        <w:tc>
          <w:tcPr>
            <w:tcW w:w="1000" w:type="dxa"/>
            <w:vAlign w:val="bottom"/>
            <w:tcBorders>
              <w:right w:val="single" w:sz="8" w:color="02AE90"/>
            </w:tcBorders>
            <w:shd w:val="clear" w:color="auto" w:fill="02AE90"/>
          </w:tcPr>
          <w:p>
            <w:pPr>
              <w:jc w:val="center"/>
              <w:ind w:right="40"/>
              <w:spacing w:after="0" w:line="109" w:lineRule="exact"/>
              <w:rPr>
                <w:sz w:val="20"/>
                <w:szCs w:val="20"/>
                <w:color w:val="auto"/>
              </w:rPr>
            </w:pPr>
            <w:r>
              <w:rPr>
                <w:rFonts w:ascii="Times New Roman" w:cs="Times New Roman" w:eastAsia="Times New Roman" w:hAnsi="Times New Roman"/>
                <w:sz w:val="11"/>
                <w:szCs w:val="11"/>
                <w:b w:val="1"/>
                <w:bCs w:val="1"/>
                <w:color w:val="FFFFFF"/>
                <w:w w:val="94"/>
              </w:rPr>
              <w:t>Vested</w:t>
            </w:r>
          </w:p>
        </w:tc>
        <w:tc>
          <w:tcPr>
            <w:tcW w:w="1020" w:type="dxa"/>
            <w:vAlign w:val="bottom"/>
            <w:tcBorders>
              <w:right w:val="single" w:sz="8" w:color="02AE90"/>
            </w:tcBorders>
            <w:shd w:val="clear" w:color="auto" w:fill="02AE90"/>
          </w:tcPr>
          <w:p>
            <w:pPr>
              <w:jc w:val="center"/>
              <w:ind w:right="40"/>
              <w:spacing w:after="0" w:line="109" w:lineRule="exact"/>
              <w:rPr>
                <w:sz w:val="20"/>
                <w:szCs w:val="20"/>
                <w:color w:val="auto"/>
              </w:rPr>
            </w:pPr>
            <w:r>
              <w:rPr>
                <w:rFonts w:ascii="Times New Roman" w:cs="Times New Roman" w:eastAsia="Times New Roman" w:hAnsi="Times New Roman"/>
                <w:sz w:val="11"/>
                <w:szCs w:val="11"/>
                <w:b w:val="1"/>
                <w:bCs w:val="1"/>
                <w:color w:val="FFFFFF"/>
                <w:w w:val="93"/>
              </w:rPr>
              <w:t>Not</w:t>
            </w:r>
          </w:p>
        </w:tc>
        <w:tc>
          <w:tcPr>
            <w:tcW w:w="1000" w:type="dxa"/>
            <w:vAlign w:val="bottom"/>
            <w:tcBorders>
              <w:right w:val="single" w:sz="8" w:color="02AE90"/>
            </w:tcBorders>
            <w:shd w:val="clear" w:color="auto" w:fill="02AE90"/>
          </w:tcPr>
          <w:p>
            <w:pPr>
              <w:jc w:val="center"/>
              <w:ind w:right="61"/>
              <w:spacing w:after="0" w:line="109" w:lineRule="exact"/>
              <w:rPr>
                <w:sz w:val="20"/>
                <w:szCs w:val="20"/>
                <w:color w:val="auto"/>
              </w:rPr>
            </w:pPr>
            <w:r>
              <w:rPr>
                <w:rFonts w:ascii="Times New Roman" w:cs="Times New Roman" w:eastAsia="Times New Roman" w:hAnsi="Times New Roman"/>
                <w:sz w:val="11"/>
                <w:szCs w:val="11"/>
                <w:b w:val="1"/>
                <w:bCs w:val="1"/>
                <w:color w:val="FFFFFF"/>
                <w:w w:val="92"/>
              </w:rPr>
              <w:t>Not Vested</w:t>
            </w:r>
          </w:p>
        </w:tc>
        <w:tc>
          <w:tcPr>
            <w:tcW w:w="0" w:type="dxa"/>
            <w:vAlign w:val="bottom"/>
          </w:tcPr>
          <w:p>
            <w:pPr>
              <w:spacing w:after="0"/>
              <w:rPr>
                <w:sz w:val="1"/>
                <w:szCs w:val="1"/>
                <w:color w:val="auto"/>
              </w:rPr>
            </w:pPr>
          </w:p>
        </w:tc>
      </w:tr>
      <w:tr>
        <w:trPr>
          <w:trHeight w:val="139"/>
        </w:trPr>
        <w:tc>
          <w:tcPr>
            <w:tcW w:w="1820" w:type="dxa"/>
            <w:vAlign w:val="bottom"/>
            <w:tcBorders>
              <w:left w:val="single" w:sz="8" w:color="02AE90"/>
              <w:bottom w:val="single" w:sz="8" w:color="02AE90"/>
            </w:tcBorders>
            <w:shd w:val="clear" w:color="auto" w:fill="02AE90"/>
          </w:tcPr>
          <w:p>
            <w:pPr>
              <w:ind w:left="100"/>
              <w:spacing w:after="0" w:line="120" w:lineRule="exact"/>
              <w:rPr>
                <w:sz w:val="20"/>
                <w:szCs w:val="20"/>
                <w:color w:val="auto"/>
              </w:rPr>
            </w:pPr>
            <w:r>
              <w:rPr>
                <w:rFonts w:ascii="Times New Roman" w:cs="Times New Roman" w:eastAsia="Times New Roman" w:hAnsi="Times New Roman"/>
                <w:sz w:val="11"/>
                <w:szCs w:val="11"/>
                <w:b w:val="1"/>
                <w:bCs w:val="1"/>
                <w:color w:val="FFFFFF"/>
              </w:rPr>
              <w:t>Name</w:t>
            </w:r>
          </w:p>
        </w:tc>
        <w:tc>
          <w:tcPr>
            <w:tcW w:w="120" w:type="dxa"/>
            <w:vAlign w:val="bottom"/>
          </w:tcPr>
          <w:p>
            <w:pPr>
              <w:spacing w:after="0"/>
              <w:rPr>
                <w:sz w:val="12"/>
                <w:szCs w:val="12"/>
                <w:color w:val="auto"/>
              </w:rPr>
            </w:pPr>
          </w:p>
        </w:tc>
        <w:tc>
          <w:tcPr>
            <w:tcW w:w="1140" w:type="dxa"/>
            <w:vAlign w:val="bottom"/>
          </w:tcPr>
          <w:p>
            <w:pPr>
              <w:jc w:val="right"/>
              <w:ind w:right="548"/>
              <w:spacing w:after="0" w:line="120" w:lineRule="exact"/>
              <w:rPr>
                <w:sz w:val="20"/>
                <w:szCs w:val="20"/>
                <w:color w:val="auto"/>
              </w:rPr>
            </w:pPr>
            <w:r>
              <w:rPr>
                <w:rFonts w:ascii="Times New Roman" w:cs="Times New Roman" w:eastAsia="Times New Roman" w:hAnsi="Times New Roman"/>
                <w:sz w:val="11"/>
                <w:szCs w:val="11"/>
                <w:b w:val="1"/>
                <w:bCs w:val="1"/>
                <w:color w:val="FFFFFF"/>
              </w:rPr>
              <w:t>Date</w:t>
            </w:r>
          </w:p>
        </w:tc>
        <w:tc>
          <w:tcPr>
            <w:tcW w:w="1040" w:type="dxa"/>
            <w:vAlign w:val="bottom"/>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5"/>
              </w:rPr>
              <w:t>Exercisable</w:t>
            </w:r>
          </w:p>
        </w:tc>
        <w:tc>
          <w:tcPr>
            <w:tcW w:w="1040" w:type="dxa"/>
            <w:vAlign w:val="bottom"/>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Unexercisable</w:t>
            </w:r>
          </w:p>
        </w:tc>
        <w:tc>
          <w:tcPr>
            <w:tcW w:w="900" w:type="dxa"/>
            <w:vAlign w:val="bottom"/>
            <w:tcBorders>
              <w:bottom w:val="single" w:sz="8" w:color="02AE90"/>
            </w:tcBorders>
            <w:shd w:val="clear" w:color="auto" w:fill="02AE90"/>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FFFFFF"/>
                <w:w w:val="93"/>
              </w:rPr>
              <w:t>($)</w:t>
            </w:r>
          </w:p>
        </w:tc>
        <w:tc>
          <w:tcPr>
            <w:tcW w:w="120" w:type="dxa"/>
            <w:vAlign w:val="bottom"/>
            <w:tcBorders>
              <w:bottom w:val="single" w:sz="8" w:color="02AE90"/>
              <w:right w:val="single" w:sz="8" w:color="02AE90"/>
            </w:tcBorders>
            <w:shd w:val="clear" w:color="auto" w:fill="02AE90"/>
          </w:tcPr>
          <w:p>
            <w:pPr>
              <w:spacing w:after="0"/>
              <w:rPr>
                <w:sz w:val="12"/>
                <w:szCs w:val="12"/>
                <w:color w:val="auto"/>
              </w:rPr>
            </w:pPr>
          </w:p>
        </w:tc>
        <w:tc>
          <w:tcPr>
            <w:tcW w:w="1040" w:type="dxa"/>
            <w:vAlign w:val="bottom"/>
            <w:tcBorders>
              <w:bottom w:val="single" w:sz="8" w:color="02AE90"/>
              <w:right w:val="single" w:sz="8" w:color="02AE90"/>
            </w:tcBorders>
            <w:shd w:val="clear" w:color="auto" w:fill="02AE90"/>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FFFFFF"/>
                <w:w w:val="90"/>
              </w:rPr>
              <w:t>Date</w:t>
            </w:r>
          </w:p>
        </w:tc>
        <w:tc>
          <w:tcPr>
            <w:tcW w:w="1000" w:type="dxa"/>
            <w:vAlign w:val="bottom"/>
            <w:tcBorders>
              <w:bottom w:val="single" w:sz="8" w:color="02AE90"/>
              <w:right w:val="single" w:sz="8" w:color="02AE90"/>
            </w:tcBorders>
            <w:shd w:val="clear" w:color="auto" w:fill="02AE90"/>
          </w:tcPr>
          <w:p>
            <w:pPr>
              <w:jc w:val="center"/>
              <w:ind w:right="79"/>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Vested</w:t>
            </w:r>
          </w:p>
        </w:tc>
        <w:tc>
          <w:tcPr>
            <w:tcW w:w="1000" w:type="dxa"/>
            <w:vAlign w:val="bottom"/>
            <w:tcBorders>
              <w:bottom w:val="single" w:sz="8" w:color="02AE90"/>
              <w:right w:val="single" w:sz="8" w:color="02AE90"/>
            </w:tcBorders>
            <w:shd w:val="clear" w:color="auto" w:fill="02AE90"/>
          </w:tcPr>
          <w:p>
            <w:pPr>
              <w:jc w:val="center"/>
              <w:ind w:right="60"/>
              <w:spacing w:after="0" w:line="119" w:lineRule="exact"/>
              <w:rPr>
                <w:sz w:val="20"/>
                <w:szCs w:val="20"/>
                <w:color w:val="auto"/>
              </w:rPr>
            </w:pPr>
            <w:r>
              <w:rPr>
                <w:rFonts w:ascii="Times New Roman" w:cs="Times New Roman" w:eastAsia="Times New Roman" w:hAnsi="Times New Roman"/>
                <w:sz w:val="13"/>
                <w:szCs w:val="13"/>
                <w:b w:val="1"/>
                <w:bCs w:val="1"/>
                <w:color w:val="FFFFFF"/>
                <w:vertAlign w:val="subscript"/>
              </w:rPr>
              <w:t>($)</w:t>
            </w:r>
            <w:r>
              <w:rPr>
                <w:rFonts w:ascii="Times New Roman" w:cs="Times New Roman" w:eastAsia="Times New Roman" w:hAnsi="Times New Roman"/>
                <w:sz w:val="6"/>
                <w:szCs w:val="6"/>
                <w:b w:val="1"/>
                <w:bCs w:val="1"/>
                <w:color w:val="FFFFFF"/>
              </w:rPr>
              <w:t>(13)</w:t>
            </w:r>
          </w:p>
        </w:tc>
        <w:tc>
          <w:tcPr>
            <w:tcW w:w="1020" w:type="dxa"/>
            <w:vAlign w:val="bottom"/>
            <w:tcBorders>
              <w:bottom w:val="single" w:sz="8" w:color="02AE90"/>
              <w:right w:val="single" w:sz="8" w:color="02AE90"/>
            </w:tcBorders>
            <w:shd w:val="clear" w:color="auto" w:fill="02AE90"/>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FFFFFF"/>
                <w:w w:val="94"/>
              </w:rPr>
              <w:t>Vested</w:t>
            </w:r>
          </w:p>
        </w:tc>
        <w:tc>
          <w:tcPr>
            <w:tcW w:w="1000" w:type="dxa"/>
            <w:vAlign w:val="bottom"/>
            <w:tcBorders>
              <w:bottom w:val="single" w:sz="8" w:color="02AE90"/>
              <w:right w:val="single" w:sz="8" w:color="02AE90"/>
            </w:tcBorders>
            <w:shd w:val="clear" w:color="auto" w:fill="02AE90"/>
          </w:tcPr>
          <w:p>
            <w:pPr>
              <w:jc w:val="center"/>
              <w:ind w:right="61"/>
              <w:spacing w:after="0" w:line="119" w:lineRule="exact"/>
              <w:rPr>
                <w:sz w:val="20"/>
                <w:szCs w:val="20"/>
                <w:color w:val="auto"/>
              </w:rPr>
            </w:pPr>
            <w:r>
              <w:rPr>
                <w:rFonts w:ascii="Times New Roman" w:cs="Times New Roman" w:eastAsia="Times New Roman" w:hAnsi="Times New Roman"/>
                <w:sz w:val="13"/>
                <w:szCs w:val="13"/>
                <w:b w:val="1"/>
                <w:bCs w:val="1"/>
                <w:color w:val="FFFFFF"/>
                <w:vertAlign w:val="subscript"/>
              </w:rPr>
              <w:t>($)</w:t>
            </w:r>
            <w:r>
              <w:rPr>
                <w:rFonts w:ascii="Times New Roman" w:cs="Times New Roman" w:eastAsia="Times New Roman" w:hAnsi="Times New Roman"/>
                <w:sz w:val="6"/>
                <w:szCs w:val="6"/>
                <w:b w:val="1"/>
                <w:bCs w:val="1"/>
                <w:color w:val="FFFFFF"/>
              </w:rPr>
              <w:t>(13)</w:t>
            </w:r>
          </w:p>
        </w:tc>
        <w:tc>
          <w:tcPr>
            <w:tcW w:w="0" w:type="dxa"/>
            <w:vAlign w:val="bottom"/>
          </w:tcPr>
          <w:p>
            <w:pPr>
              <w:spacing w:after="0"/>
              <w:rPr>
                <w:sz w:val="1"/>
                <w:szCs w:val="1"/>
                <w:color w:val="auto"/>
              </w:rPr>
            </w:pPr>
          </w:p>
        </w:tc>
      </w:tr>
      <w:tr>
        <w:trPr>
          <w:trHeight w:val="48"/>
        </w:trPr>
        <w:tc>
          <w:tcPr>
            <w:tcW w:w="1820" w:type="dxa"/>
            <w:vAlign w:val="bottom"/>
            <w:tcBorders>
              <w:left w:val="single" w:sz="8" w:color="02AE90"/>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Matt Goldberg</w:t>
            </w:r>
          </w:p>
        </w:tc>
        <w:tc>
          <w:tcPr>
            <w:tcW w:w="120" w:type="dxa"/>
            <w:vAlign w:val="bottom"/>
            <w:tcBorders>
              <w:right w:val="single" w:sz="8" w:color="02AE90"/>
            </w:tcBorders>
          </w:tcPr>
          <w:p>
            <w:pPr>
              <w:spacing w:after="0"/>
              <w:rPr>
                <w:sz w:val="4"/>
                <w:szCs w:val="4"/>
                <w:color w:val="auto"/>
              </w:rPr>
            </w:pPr>
          </w:p>
        </w:tc>
        <w:tc>
          <w:tcPr>
            <w:tcW w:w="1140" w:type="dxa"/>
            <w:vAlign w:val="bottom"/>
            <w:tcBorders>
              <w:right w:val="single" w:sz="8" w:color="02AE90"/>
            </w:tcBorders>
          </w:tcPr>
          <w:p>
            <w:pPr>
              <w:jc w:val="right"/>
              <w:ind w:right="108"/>
              <w:spacing w:after="0" w:line="49" w:lineRule="exact"/>
              <w:rPr>
                <w:sz w:val="20"/>
                <w:szCs w:val="20"/>
                <w:color w:val="auto"/>
              </w:rPr>
            </w:pPr>
            <w:r>
              <w:rPr>
                <w:rFonts w:ascii="Times New Roman" w:cs="Times New Roman" w:eastAsia="Times New Roman" w:hAnsi="Times New Roman"/>
                <w:sz w:val="5"/>
                <w:szCs w:val="5"/>
                <w:color w:val="auto"/>
              </w:rPr>
              <w:t>(1</w:t>
            </w:r>
          </w:p>
        </w:tc>
        <w:tc>
          <w:tcPr>
            <w:tcW w:w="1040" w:type="dxa"/>
            <w:vAlign w:val="bottom"/>
            <w:tcBorders>
              <w:right w:val="single" w:sz="8" w:color="02AE90"/>
            </w:tcBorders>
          </w:tcPr>
          <w:p>
            <w:pPr>
              <w:spacing w:after="0"/>
              <w:rPr>
                <w:sz w:val="4"/>
                <w:szCs w:val="4"/>
                <w:color w:val="auto"/>
              </w:rPr>
            </w:pPr>
          </w:p>
        </w:tc>
        <w:tc>
          <w:tcPr>
            <w:tcW w:w="1040" w:type="dxa"/>
            <w:vAlign w:val="bottom"/>
            <w:tcBorders>
              <w:right w:val="single" w:sz="8" w:color="02AE90"/>
            </w:tcBorders>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Borders>
              <w:right w:val="single" w:sz="8" w:color="02AE90"/>
            </w:tcBorders>
          </w:tcPr>
          <w:p>
            <w:pPr>
              <w:spacing w:after="0"/>
              <w:rPr>
                <w:sz w:val="4"/>
                <w:szCs w:val="4"/>
                <w:color w:val="auto"/>
              </w:rPr>
            </w:pPr>
          </w:p>
        </w:tc>
        <w:tc>
          <w:tcPr>
            <w:tcW w:w="1040" w:type="dxa"/>
            <w:vAlign w:val="bottom"/>
            <w:tcBorders>
              <w:right w:val="single" w:sz="8" w:color="02AE90"/>
            </w:tcBorders>
          </w:tcPr>
          <w:p>
            <w:pPr>
              <w:spacing w:after="0"/>
              <w:rPr>
                <w:sz w:val="4"/>
                <w:szCs w:val="4"/>
                <w:color w:val="auto"/>
              </w:rPr>
            </w:pPr>
          </w:p>
        </w:tc>
        <w:tc>
          <w:tcPr>
            <w:tcW w:w="1000" w:type="dxa"/>
            <w:vAlign w:val="bottom"/>
            <w:tcBorders>
              <w:right w:val="single" w:sz="8" w:color="02AE90"/>
            </w:tcBorders>
          </w:tcPr>
          <w:p>
            <w:pPr>
              <w:spacing w:after="0"/>
              <w:rPr>
                <w:sz w:val="4"/>
                <w:szCs w:val="4"/>
                <w:color w:val="auto"/>
              </w:rPr>
            </w:pPr>
          </w:p>
        </w:tc>
        <w:tc>
          <w:tcPr>
            <w:tcW w:w="1000" w:type="dxa"/>
            <w:vAlign w:val="bottom"/>
            <w:tcBorders>
              <w:right w:val="single" w:sz="8" w:color="02AE90"/>
            </w:tcBorders>
          </w:tcPr>
          <w:p>
            <w:pPr>
              <w:spacing w:after="0"/>
              <w:rPr>
                <w:sz w:val="4"/>
                <w:szCs w:val="4"/>
                <w:color w:val="auto"/>
              </w:rPr>
            </w:pPr>
          </w:p>
        </w:tc>
        <w:tc>
          <w:tcPr>
            <w:tcW w:w="1020" w:type="dxa"/>
            <w:vAlign w:val="bottom"/>
            <w:tcBorders>
              <w:right w:val="single" w:sz="8" w:color="02AE90"/>
            </w:tcBorders>
          </w:tcPr>
          <w:p>
            <w:pPr>
              <w:spacing w:after="0"/>
              <w:rPr>
                <w:sz w:val="4"/>
                <w:szCs w:val="4"/>
                <w:color w:val="auto"/>
              </w:rPr>
            </w:pPr>
          </w:p>
        </w:tc>
        <w:tc>
          <w:tcPr>
            <w:tcW w:w="1000" w:type="dxa"/>
            <w:vAlign w:val="bottom"/>
            <w:tcBorders>
              <w:right w:val="single" w:sz="8" w:color="02AE90"/>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vMerge w:val="continue"/>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7/1/2022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515,808</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18.47</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7/1/2032</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(1</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7/1/2022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257,850</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4,636,143</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(2</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02AE90"/>
            </w:tcBorders>
          </w:tcPr>
          <w:p>
            <w:pPr>
              <w:spacing w:after="0"/>
              <w:rPr>
                <w:sz w:val="11"/>
                <w:szCs w:val="11"/>
                <w:color w:val="auto"/>
              </w:rPr>
            </w:pPr>
          </w:p>
        </w:tc>
        <w:tc>
          <w:tcPr>
            <w:tcW w:w="120" w:type="dxa"/>
            <w:vAlign w:val="bottom"/>
            <w:tcBorders>
              <w:right w:val="single" w:sz="8" w:color="02AE90"/>
            </w:tcBorders>
          </w:tcPr>
          <w:p>
            <w:pPr>
              <w:spacing w:after="0"/>
              <w:rPr>
                <w:sz w:val="11"/>
                <w:szCs w:val="11"/>
                <w:color w:val="auto"/>
              </w:rPr>
            </w:pPr>
          </w:p>
        </w:tc>
        <w:tc>
          <w:tcPr>
            <w:tcW w:w="1140" w:type="dxa"/>
            <w:vAlign w:val="bottom"/>
            <w:tcBorders>
              <w:right w:val="single" w:sz="8" w:color="02AE90"/>
            </w:tcBorders>
          </w:tcPr>
          <w:p>
            <w:pPr>
              <w:jc w:val="right"/>
              <w:ind w:right="148"/>
              <w:spacing w:after="0" w:line="136" w:lineRule="exact"/>
              <w:rPr>
                <w:sz w:val="20"/>
                <w:szCs w:val="20"/>
                <w:color w:val="auto"/>
              </w:rPr>
            </w:pPr>
            <w:r>
              <w:rPr>
                <w:rFonts w:ascii="Times New Roman" w:cs="Times New Roman" w:eastAsia="Times New Roman" w:hAnsi="Times New Roman"/>
                <w:sz w:val="12"/>
                <w:szCs w:val="12"/>
                <w:color w:val="auto"/>
              </w:rPr>
              <w:t xml:space="preserve">7/1/2022 </w:t>
            </w:r>
            <w:r>
              <w:rPr>
                <w:rFonts w:ascii="Times New Roman" w:cs="Times New Roman" w:eastAsia="Times New Roman" w:hAnsi="Times New Roman"/>
                <w:sz w:val="15"/>
                <w:szCs w:val="15"/>
                <w:color w:val="auto"/>
                <w:vertAlign w:val="superscript"/>
              </w:rPr>
              <w:t>)</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1"/>
                <w:szCs w:val="11"/>
                <w:color w:val="auto"/>
              </w:rPr>
            </w:pP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378,064</w:t>
            </w:r>
          </w:p>
        </w:tc>
        <w:tc>
          <w:tcPr>
            <w:tcW w:w="1000" w:type="dxa"/>
            <w:vAlign w:val="bottom"/>
            <w:tcBorders>
              <w:right w:val="single" w:sz="8" w:color="02AE90"/>
            </w:tcBorders>
          </w:tcPr>
          <w:p>
            <w:pPr>
              <w:jc w:val="right"/>
              <w:ind w:right="61"/>
              <w:spacing w:after="0" w:line="136" w:lineRule="exact"/>
              <w:rPr>
                <w:sz w:val="20"/>
                <w:szCs w:val="20"/>
                <w:color w:val="auto"/>
              </w:rPr>
            </w:pPr>
            <w:r>
              <w:rPr>
                <w:rFonts w:ascii="Times New Roman" w:cs="Times New Roman" w:eastAsia="Times New Roman" w:hAnsi="Times New Roman"/>
                <w:sz w:val="12"/>
                <w:szCs w:val="12"/>
                <w:color w:val="auto"/>
              </w:rPr>
              <w:t>6,797,591</w:t>
            </w:r>
          </w:p>
        </w:tc>
        <w:tc>
          <w:tcPr>
            <w:tcW w:w="0" w:type="dxa"/>
            <w:vAlign w:val="bottom"/>
          </w:tcPr>
          <w:p>
            <w:pPr>
              <w:spacing w:after="0"/>
              <w:rPr>
                <w:sz w:val="1"/>
                <w:szCs w:val="1"/>
                <w:color w:val="auto"/>
              </w:rPr>
            </w:pPr>
          </w:p>
        </w:tc>
      </w:tr>
      <w:tr>
        <w:trPr>
          <w:trHeight w:val="90"/>
        </w:trPr>
        <w:tc>
          <w:tcPr>
            <w:tcW w:w="1820" w:type="dxa"/>
            <w:vAlign w:val="bottom"/>
            <w:tcBorders>
              <w:left w:val="single" w:sz="8" w:color="02AE90"/>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Michael Noonan</w:t>
            </w: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91" w:lineRule="exact"/>
              <w:rPr>
                <w:sz w:val="20"/>
                <w:szCs w:val="20"/>
                <w:color w:val="auto"/>
              </w:rPr>
            </w:pPr>
            <w:r>
              <w:rPr>
                <w:rFonts w:ascii="Times New Roman" w:cs="Times New Roman" w:eastAsia="Times New Roman" w:hAnsi="Times New Roman"/>
                <w:sz w:val="8"/>
                <w:szCs w:val="8"/>
                <w:color w:val="auto"/>
              </w:rPr>
              <w:t>(3</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vMerge w:val="continue"/>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10/31/2022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76,986</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23.62</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10/31/2032</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(3</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10/31/2022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38,808</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697,768</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(4</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02AE90"/>
              <w:bottom w:val="single" w:sz="8" w:color="02AE90"/>
            </w:tcBorders>
          </w:tcPr>
          <w:p>
            <w:pPr>
              <w:spacing w:after="0"/>
              <w:rPr>
                <w:sz w:val="14"/>
                <w:szCs w:val="14"/>
                <w:color w:val="auto"/>
              </w:rPr>
            </w:pPr>
          </w:p>
        </w:tc>
        <w:tc>
          <w:tcPr>
            <w:tcW w:w="120" w:type="dxa"/>
            <w:vAlign w:val="bottom"/>
            <w:tcBorders>
              <w:bottom w:val="single" w:sz="8" w:color="02AE90"/>
              <w:right w:val="single" w:sz="8" w:color="02AE90"/>
            </w:tcBorders>
          </w:tcPr>
          <w:p>
            <w:pPr>
              <w:spacing w:after="0"/>
              <w:rPr>
                <w:sz w:val="14"/>
                <w:szCs w:val="14"/>
                <w:color w:val="auto"/>
              </w:rPr>
            </w:pPr>
          </w:p>
        </w:tc>
        <w:tc>
          <w:tcPr>
            <w:tcW w:w="1140" w:type="dxa"/>
            <w:vAlign w:val="bottom"/>
            <w:tcBorders>
              <w:bottom w:val="single" w:sz="8" w:color="02AE90"/>
              <w:right w:val="single" w:sz="8" w:color="02AE90"/>
            </w:tcBorders>
          </w:tcPr>
          <w:p>
            <w:pPr>
              <w:jc w:val="right"/>
              <w:ind w:right="148"/>
              <w:spacing w:after="0" w:line="165" w:lineRule="exact"/>
              <w:rPr>
                <w:sz w:val="20"/>
                <w:szCs w:val="20"/>
                <w:color w:val="auto"/>
              </w:rPr>
            </w:pPr>
            <w:r>
              <w:rPr>
                <w:rFonts w:ascii="Times New Roman" w:cs="Times New Roman" w:eastAsia="Times New Roman" w:hAnsi="Times New Roman"/>
                <w:sz w:val="12"/>
                <w:szCs w:val="12"/>
                <w:color w:val="auto"/>
              </w:rPr>
              <w:t xml:space="preserve">10/31/2022 </w:t>
            </w:r>
            <w:r>
              <w:rPr>
                <w:rFonts w:ascii="Times New Roman" w:cs="Times New Roman" w:eastAsia="Times New Roman" w:hAnsi="Times New Roman"/>
                <w:sz w:val="16"/>
                <w:szCs w:val="16"/>
                <w:color w:val="auto"/>
                <w:vertAlign w:val="superscript"/>
              </w:rPr>
              <w:t>)</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02AE90"/>
              <w:right w:val="single" w:sz="8" w:color="02AE90"/>
            </w:tcBorders>
          </w:tcPr>
          <w:p>
            <w:pPr>
              <w:spacing w:after="0"/>
              <w:rPr>
                <w:sz w:val="14"/>
                <w:szCs w:val="14"/>
                <w:color w:val="auto"/>
              </w:rPr>
            </w:pP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61,935</w:t>
            </w:r>
          </w:p>
        </w:tc>
        <w:tc>
          <w:tcPr>
            <w:tcW w:w="1000" w:type="dxa"/>
            <w:vAlign w:val="bottom"/>
            <w:tcBorders>
              <w:bottom w:val="single" w:sz="8" w:color="02AE90"/>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1,113,591</w:t>
            </w:r>
          </w:p>
        </w:tc>
        <w:tc>
          <w:tcPr>
            <w:tcW w:w="0" w:type="dxa"/>
            <w:vAlign w:val="bottom"/>
          </w:tcPr>
          <w:p>
            <w:pPr>
              <w:spacing w:after="0"/>
              <w:rPr>
                <w:sz w:val="1"/>
                <w:szCs w:val="1"/>
                <w:color w:val="auto"/>
              </w:rPr>
            </w:pPr>
          </w:p>
        </w:tc>
      </w:tr>
      <w:tr>
        <w:trPr>
          <w:trHeight w:val="148"/>
        </w:trPr>
        <w:tc>
          <w:tcPr>
            <w:tcW w:w="1820" w:type="dxa"/>
            <w:vAlign w:val="bottom"/>
            <w:tcBorders>
              <w:left w:val="single" w:sz="8" w:color="02AE90"/>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Seth J. Kalvert</w:t>
            </w:r>
          </w:p>
        </w:tc>
        <w:tc>
          <w:tcPr>
            <w:tcW w:w="120" w:type="dxa"/>
            <w:vAlign w:val="bottom"/>
            <w:tcBorders>
              <w:right w:val="single" w:sz="8" w:color="02AE90"/>
            </w:tcBorders>
          </w:tcPr>
          <w:p>
            <w:pPr>
              <w:spacing w:after="0"/>
              <w:rPr>
                <w:sz w:val="12"/>
                <w:szCs w:val="12"/>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2/28/2013</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50,473</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120" w:type="dxa"/>
            <w:vAlign w:val="bottom"/>
            <w:tcBorders>
              <w:right w:val="single" w:sz="8" w:color="02AE90"/>
            </w:tcBorders>
          </w:tcPr>
          <w:p>
            <w:pPr>
              <w:spacing w:after="0"/>
              <w:rPr>
                <w:sz w:val="12"/>
                <w:szCs w:val="12"/>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2/28/2023</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2/21/2014</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24,526</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93.42</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2/21/2024</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2/26/2015</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22,601</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86.36</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2/26/2025</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2/22/2016</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34,950</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2/22/2026</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2/27/2017</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43,776</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2/27/2027</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2/27/2017</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79,324</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2/27/2027</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208"/>
              <w:spacing w:after="0" w:line="125" w:lineRule="exact"/>
              <w:rPr>
                <w:sz w:val="20"/>
                <w:szCs w:val="20"/>
                <w:color w:val="auto"/>
              </w:rPr>
            </w:pPr>
            <w:r>
              <w:rPr>
                <w:rFonts w:ascii="Times New Roman" w:cs="Times New Roman" w:eastAsia="Times New Roman" w:hAnsi="Times New Roman"/>
                <w:sz w:val="12"/>
                <w:szCs w:val="12"/>
                <w:color w:val="auto"/>
              </w:rPr>
              <w:t>2/22/2018</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26,910</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38.15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2/22/2028</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(5</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2/27/2019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15,961</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5,320</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50.63</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2/27/2029</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(5</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148"/>
              <w:spacing w:after="0" w:line="159" w:lineRule="exact"/>
              <w:rPr>
                <w:sz w:val="20"/>
                <w:szCs w:val="20"/>
                <w:color w:val="auto"/>
              </w:rPr>
            </w:pPr>
            <w:r>
              <w:rPr>
                <w:rFonts w:ascii="Times New Roman" w:cs="Times New Roman" w:eastAsia="Times New Roman" w:hAnsi="Times New Roman"/>
                <w:sz w:val="12"/>
                <w:szCs w:val="12"/>
                <w:color w:val="auto"/>
              </w:rPr>
              <w:t xml:space="preserve">2/27/2019 </w:t>
            </w:r>
            <w:r>
              <w:rPr>
                <w:rFonts w:ascii="Times New Roman" w:cs="Times New Roman" w:eastAsia="Times New Roman" w:hAnsi="Times New Roman"/>
                <w:sz w:val="16"/>
                <w:szCs w:val="16"/>
                <w:color w:val="auto"/>
                <w:vertAlign w:val="superscript"/>
              </w:rPr>
              <w:t>)</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4,925</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88,552</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208"/>
              <w:spacing w:after="0" w:line="125" w:lineRule="exact"/>
              <w:rPr>
                <w:sz w:val="20"/>
                <w:szCs w:val="20"/>
                <w:color w:val="auto"/>
              </w:rPr>
            </w:pPr>
            <w:r>
              <w:rPr>
                <w:rFonts w:ascii="Times New Roman" w:cs="Times New Roman" w:eastAsia="Times New Roman" w:hAnsi="Times New Roman"/>
                <w:sz w:val="12"/>
                <w:szCs w:val="12"/>
                <w:color w:val="auto"/>
              </w:rPr>
              <w:t>2/25/2020</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44,378</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25.62</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2/25/2030</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(6</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23,674</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2/23/2031</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10,866</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13,972</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2/23/2031</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12,216</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219,644</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(8</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02AE90"/>
              <w:bottom w:val="single" w:sz="8" w:color="02AE90"/>
            </w:tcBorders>
          </w:tcPr>
          <w:p>
            <w:pPr>
              <w:spacing w:after="0"/>
              <w:rPr>
                <w:sz w:val="14"/>
                <w:szCs w:val="14"/>
                <w:color w:val="auto"/>
              </w:rPr>
            </w:pPr>
          </w:p>
        </w:tc>
        <w:tc>
          <w:tcPr>
            <w:tcW w:w="120" w:type="dxa"/>
            <w:vAlign w:val="bottom"/>
            <w:tcBorders>
              <w:bottom w:val="single" w:sz="8" w:color="02AE90"/>
              <w:right w:val="single" w:sz="8" w:color="02AE90"/>
            </w:tcBorders>
          </w:tcPr>
          <w:p>
            <w:pPr>
              <w:spacing w:after="0"/>
              <w:rPr>
                <w:sz w:val="14"/>
                <w:szCs w:val="14"/>
                <w:color w:val="auto"/>
              </w:rPr>
            </w:pPr>
          </w:p>
        </w:tc>
        <w:tc>
          <w:tcPr>
            <w:tcW w:w="1140" w:type="dxa"/>
            <w:vAlign w:val="bottom"/>
            <w:tcBorders>
              <w:bottom w:val="single" w:sz="8" w:color="02AE90"/>
              <w:right w:val="single" w:sz="8" w:color="02AE90"/>
            </w:tcBorders>
          </w:tcPr>
          <w:p>
            <w:pPr>
              <w:jc w:val="right"/>
              <w:ind w:right="148"/>
              <w:spacing w:after="0" w:line="165" w:lineRule="exact"/>
              <w:rPr>
                <w:sz w:val="20"/>
                <w:szCs w:val="20"/>
                <w:color w:val="auto"/>
              </w:rPr>
            </w:pPr>
            <w:r>
              <w:rPr>
                <w:rFonts w:ascii="Times New Roman" w:cs="Times New Roman" w:eastAsia="Times New Roman" w:hAnsi="Times New Roman"/>
                <w:sz w:val="12"/>
                <w:szCs w:val="12"/>
                <w:color w:val="auto"/>
              </w:rPr>
              <w:t xml:space="preserve">2/22/2022 </w:t>
            </w:r>
            <w:r>
              <w:rPr>
                <w:rFonts w:ascii="Times New Roman" w:cs="Times New Roman" w:eastAsia="Times New Roman" w:hAnsi="Times New Roman"/>
                <w:sz w:val="16"/>
                <w:szCs w:val="16"/>
                <w:color w:val="auto"/>
                <w:vertAlign w:val="superscript"/>
              </w:rPr>
              <w:t>)</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02AE90"/>
              <w:right w:val="single" w:sz="8" w:color="02AE90"/>
            </w:tcBorders>
          </w:tcPr>
          <w:p>
            <w:pPr>
              <w:spacing w:after="0"/>
              <w:rPr>
                <w:sz w:val="14"/>
                <w:szCs w:val="14"/>
                <w:color w:val="auto"/>
              </w:rPr>
            </w:pP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92,182</w:t>
            </w:r>
          </w:p>
        </w:tc>
        <w:tc>
          <w:tcPr>
            <w:tcW w:w="100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1,657,432</w:t>
            </w:r>
          </w:p>
        </w:tc>
        <w:tc>
          <w:tcPr>
            <w:tcW w:w="102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1820" w:type="dxa"/>
            <w:vAlign w:val="bottom"/>
            <w:tcBorders>
              <w:left w:val="single" w:sz="8" w:color="02AE90"/>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Stephen Kaufer</w:t>
            </w:r>
          </w:p>
        </w:tc>
        <w:tc>
          <w:tcPr>
            <w:tcW w:w="120" w:type="dxa"/>
            <w:vAlign w:val="bottom"/>
            <w:tcBorders>
              <w:right w:val="single" w:sz="8" w:color="02AE90"/>
            </w:tcBorders>
          </w:tcPr>
          <w:p>
            <w:pPr>
              <w:spacing w:after="0"/>
              <w:rPr>
                <w:sz w:val="12"/>
                <w:szCs w:val="12"/>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8/28/2013</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1,100,000</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69.02</w:t>
            </w:r>
          </w:p>
        </w:tc>
        <w:tc>
          <w:tcPr>
            <w:tcW w:w="120" w:type="dxa"/>
            <w:vAlign w:val="bottom"/>
            <w:tcBorders>
              <w:right w:val="single" w:sz="8" w:color="02AE90"/>
            </w:tcBorders>
          </w:tcPr>
          <w:p>
            <w:pPr>
              <w:spacing w:after="0"/>
              <w:rPr>
                <w:sz w:val="12"/>
                <w:szCs w:val="12"/>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8/28/2023</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2/22/2016</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5,756</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2/22/2026</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2/27/2017</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13,759</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2/27/2027</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208"/>
              <w:spacing w:after="0" w:line="125" w:lineRule="exact"/>
              <w:rPr>
                <w:sz w:val="20"/>
                <w:szCs w:val="20"/>
                <w:color w:val="auto"/>
              </w:rPr>
            </w:pPr>
            <w:r>
              <w:rPr>
                <w:rFonts w:ascii="Times New Roman" w:cs="Times New Roman" w:eastAsia="Times New Roman" w:hAnsi="Times New Roman"/>
                <w:sz w:val="12"/>
                <w:szCs w:val="12"/>
                <w:color w:val="auto"/>
              </w:rPr>
              <w:t>11/28/2017</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780,000</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31.21</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11/28/2027</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13,094</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235,430</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(9</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12/31/2021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73,139</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1,315,039</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(9</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12/31/2021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36,000</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79,200</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27.26</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12/31/2031</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(1</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1820" w:type="dxa"/>
            <w:vAlign w:val="bottom"/>
            <w:tcBorders>
              <w:left w:val="single" w:sz="8" w:color="02AE90"/>
              <w:bottom w:val="single" w:sz="8" w:color="02AE90"/>
            </w:tcBorders>
          </w:tcPr>
          <w:p>
            <w:pPr>
              <w:spacing w:after="0"/>
              <w:rPr>
                <w:sz w:val="14"/>
                <w:szCs w:val="14"/>
                <w:color w:val="auto"/>
              </w:rPr>
            </w:pPr>
          </w:p>
        </w:tc>
        <w:tc>
          <w:tcPr>
            <w:tcW w:w="120" w:type="dxa"/>
            <w:vAlign w:val="bottom"/>
            <w:tcBorders>
              <w:bottom w:val="single" w:sz="8" w:color="02AE90"/>
              <w:right w:val="single" w:sz="8" w:color="02AE90"/>
            </w:tcBorders>
          </w:tcPr>
          <w:p>
            <w:pPr>
              <w:spacing w:after="0"/>
              <w:rPr>
                <w:sz w:val="14"/>
                <w:szCs w:val="14"/>
                <w:color w:val="auto"/>
              </w:rPr>
            </w:pPr>
          </w:p>
        </w:tc>
        <w:tc>
          <w:tcPr>
            <w:tcW w:w="1140" w:type="dxa"/>
            <w:vAlign w:val="bottom"/>
            <w:tcBorders>
              <w:bottom w:val="single" w:sz="8" w:color="02AE90"/>
              <w:right w:val="single" w:sz="8" w:color="02AE90"/>
            </w:tcBorders>
          </w:tcPr>
          <w:p>
            <w:pPr>
              <w:jc w:val="right"/>
              <w:ind w:right="108"/>
              <w:spacing w:after="0" w:line="165" w:lineRule="exact"/>
              <w:rPr>
                <w:sz w:val="20"/>
                <w:szCs w:val="20"/>
                <w:color w:val="auto"/>
              </w:rPr>
            </w:pPr>
            <w:r>
              <w:rPr>
                <w:rFonts w:ascii="Times New Roman" w:cs="Times New Roman" w:eastAsia="Times New Roman" w:hAnsi="Times New Roman"/>
                <w:sz w:val="12"/>
                <w:szCs w:val="12"/>
                <w:color w:val="auto"/>
              </w:rPr>
              <w:t xml:space="preserve">12/31/2021 </w:t>
            </w:r>
            <w:r>
              <w:rPr>
                <w:rFonts w:ascii="Times New Roman" w:cs="Times New Roman" w:eastAsia="Times New Roman" w:hAnsi="Times New Roman"/>
                <w:sz w:val="16"/>
                <w:szCs w:val="16"/>
                <w:color w:val="auto"/>
                <w:vertAlign w:val="superscript"/>
              </w:rPr>
              <w:t>0)</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110,026</w:t>
            </w:r>
          </w:p>
        </w:tc>
        <w:tc>
          <w:tcPr>
            <w:tcW w:w="90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2"/>
                <w:szCs w:val="12"/>
                <w:color w:val="auto"/>
              </w:rPr>
              <w:t>27.26</w:t>
            </w:r>
          </w:p>
        </w:tc>
        <w:tc>
          <w:tcPr>
            <w:tcW w:w="120" w:type="dxa"/>
            <w:vAlign w:val="bottom"/>
            <w:tcBorders>
              <w:bottom w:val="single" w:sz="8" w:color="02AE90"/>
              <w:right w:val="single" w:sz="8" w:color="02AE90"/>
            </w:tcBorders>
          </w:tcPr>
          <w:p>
            <w:pPr>
              <w:spacing w:after="0"/>
              <w:rPr>
                <w:sz w:val="14"/>
                <w:szCs w:val="14"/>
                <w:color w:val="auto"/>
              </w:rPr>
            </w:pPr>
          </w:p>
        </w:tc>
        <w:tc>
          <w:tcPr>
            <w:tcW w:w="1040" w:type="dxa"/>
            <w:vAlign w:val="bottom"/>
            <w:tcBorders>
              <w:bottom w:val="single" w:sz="8" w:color="02AE90"/>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12/31/2031</w:t>
            </w:r>
          </w:p>
        </w:tc>
        <w:tc>
          <w:tcPr>
            <w:tcW w:w="1000" w:type="dxa"/>
            <w:vAlign w:val="bottom"/>
            <w:tcBorders>
              <w:bottom w:val="single" w:sz="8" w:color="02AE90"/>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02AE90"/>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02AE90"/>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1820" w:type="dxa"/>
            <w:vAlign w:val="bottom"/>
            <w:tcBorders>
              <w:left w:val="single" w:sz="8" w:color="02AE90"/>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Ernst Teunissen</w:t>
            </w:r>
          </w:p>
        </w:tc>
        <w:tc>
          <w:tcPr>
            <w:tcW w:w="120" w:type="dxa"/>
            <w:vAlign w:val="bottom"/>
            <w:tcBorders>
              <w:right w:val="single" w:sz="8" w:color="02AE90"/>
            </w:tcBorders>
          </w:tcPr>
          <w:p>
            <w:pPr>
              <w:spacing w:after="0"/>
              <w:rPr>
                <w:sz w:val="12"/>
                <w:szCs w:val="12"/>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12/1/2015</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141,424</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79.43</w:t>
            </w:r>
          </w:p>
        </w:tc>
        <w:tc>
          <w:tcPr>
            <w:tcW w:w="120" w:type="dxa"/>
            <w:vAlign w:val="bottom"/>
            <w:tcBorders>
              <w:right w:val="single" w:sz="8" w:color="02AE90"/>
            </w:tcBorders>
          </w:tcPr>
          <w:p>
            <w:pPr>
              <w:spacing w:after="0"/>
              <w:rPr>
                <w:sz w:val="12"/>
                <w:szCs w:val="12"/>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12/1/2025</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208"/>
              <w:spacing w:after="0"/>
              <w:rPr>
                <w:sz w:val="20"/>
                <w:szCs w:val="20"/>
                <w:color w:val="auto"/>
              </w:rPr>
            </w:pPr>
            <w:r>
              <w:rPr>
                <w:rFonts w:ascii="Times New Roman" w:cs="Times New Roman" w:eastAsia="Times New Roman" w:hAnsi="Times New Roman"/>
                <w:sz w:val="12"/>
                <w:szCs w:val="12"/>
                <w:color w:val="auto"/>
              </w:rPr>
              <w:t>2/27/2017</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144,227</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39.31</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2/27/2027</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208"/>
              <w:spacing w:after="0" w:line="125" w:lineRule="exact"/>
              <w:rPr>
                <w:sz w:val="20"/>
                <w:szCs w:val="20"/>
                <w:color w:val="auto"/>
              </w:rPr>
            </w:pPr>
            <w:r>
              <w:rPr>
                <w:rFonts w:ascii="Times New Roman" w:cs="Times New Roman" w:eastAsia="Times New Roman" w:hAnsi="Times New Roman"/>
                <w:sz w:val="12"/>
                <w:szCs w:val="12"/>
                <w:color w:val="auto"/>
              </w:rPr>
              <w:t>2/22/2018</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35,408</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38.15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2/22/2028</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(5</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2/27/2019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21,001</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7,000</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50.63</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2/27/2029</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2/25/2020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38,137</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6,934</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25.62</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2/25/2030</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02AE90"/>
            </w:tcBorders>
          </w:tcPr>
          <w:p>
            <w:pPr>
              <w:spacing w:after="0"/>
              <w:rPr>
                <w:sz w:val="11"/>
                <w:szCs w:val="11"/>
                <w:color w:val="auto"/>
              </w:rPr>
            </w:pPr>
          </w:p>
        </w:tc>
        <w:tc>
          <w:tcPr>
            <w:tcW w:w="120" w:type="dxa"/>
            <w:vAlign w:val="bottom"/>
            <w:tcBorders>
              <w:right w:val="single" w:sz="8" w:color="02AE90"/>
            </w:tcBorders>
          </w:tcPr>
          <w:p>
            <w:pPr>
              <w:spacing w:after="0"/>
              <w:rPr>
                <w:sz w:val="11"/>
                <w:szCs w:val="11"/>
                <w:color w:val="auto"/>
              </w:rPr>
            </w:pPr>
          </w:p>
        </w:tc>
        <w:tc>
          <w:tcPr>
            <w:tcW w:w="1140" w:type="dxa"/>
            <w:vAlign w:val="bottom"/>
            <w:tcBorders>
              <w:right w:val="single" w:sz="8" w:color="02AE90"/>
            </w:tcBorders>
          </w:tcPr>
          <w:p>
            <w:pPr>
              <w:jc w:val="right"/>
              <w:ind w:right="148"/>
              <w:spacing w:after="0" w:line="136" w:lineRule="exact"/>
              <w:rPr>
                <w:sz w:val="20"/>
                <w:szCs w:val="20"/>
                <w:color w:val="auto"/>
              </w:rPr>
            </w:pPr>
            <w:r>
              <w:rPr>
                <w:rFonts w:ascii="Times New Roman" w:cs="Times New Roman" w:eastAsia="Times New Roman" w:hAnsi="Times New Roman"/>
                <w:sz w:val="12"/>
                <w:szCs w:val="12"/>
                <w:color w:val="auto"/>
              </w:rPr>
              <w:t xml:space="preserve">2/23/2021 </w:t>
            </w:r>
            <w:r>
              <w:rPr>
                <w:rFonts w:ascii="Times New Roman" w:cs="Times New Roman" w:eastAsia="Times New Roman" w:hAnsi="Times New Roman"/>
                <w:sz w:val="15"/>
                <w:szCs w:val="15"/>
                <w:color w:val="auto"/>
                <w:vertAlign w:val="superscript"/>
              </w:rPr>
              <w:t>)</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16,299</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4,657</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tcBorders>
              <w:right w:val="single" w:sz="8" w:color="02AE90"/>
            </w:tcBorders>
          </w:tcPr>
          <w:p>
            <w:pPr>
              <w:spacing w:after="0"/>
              <w:rPr>
                <w:sz w:val="11"/>
                <w:szCs w:val="11"/>
                <w:color w:val="auto"/>
              </w:rPr>
            </w:pP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2/23/2031</w:t>
            </w:r>
          </w:p>
        </w:tc>
        <w:tc>
          <w:tcPr>
            <w:tcW w:w="1000" w:type="dxa"/>
            <w:vAlign w:val="bottom"/>
            <w:tcBorders>
              <w:right w:val="single" w:sz="8" w:color="02AE90"/>
            </w:tcBorders>
          </w:tcPr>
          <w:p>
            <w:pPr>
              <w:jc w:val="right"/>
              <w:ind w:right="5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3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0"/>
        </w:trPr>
        <w:tc>
          <w:tcPr>
            <w:tcW w:w="1820" w:type="dxa"/>
            <w:vAlign w:val="bottom"/>
            <w:tcBorders>
              <w:left w:val="single" w:sz="8" w:color="02AE90"/>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Kanika Soni</w:t>
            </w: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91" w:lineRule="exact"/>
              <w:rPr>
                <w:sz w:val="20"/>
                <w:szCs w:val="20"/>
                <w:color w:val="auto"/>
              </w:rPr>
            </w:pPr>
            <w:r>
              <w:rPr>
                <w:rFonts w:ascii="Times New Roman" w:cs="Times New Roman" w:eastAsia="Times New Roman" w:hAnsi="Times New Roman"/>
                <w:sz w:val="8"/>
                <w:szCs w:val="8"/>
                <w:color w:val="auto"/>
              </w:rPr>
              <w:t>(1</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vMerge w:val="continue"/>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08"/>
              <w:spacing w:after="0" w:line="125" w:lineRule="exact"/>
              <w:rPr>
                <w:sz w:val="20"/>
                <w:szCs w:val="20"/>
                <w:color w:val="auto"/>
              </w:rPr>
            </w:pPr>
            <w:r>
              <w:rPr>
                <w:rFonts w:ascii="Times New Roman" w:cs="Times New Roman" w:eastAsia="Times New Roman" w:hAnsi="Times New Roman"/>
                <w:sz w:val="11"/>
                <w:szCs w:val="11"/>
                <w:color w:val="auto"/>
              </w:rPr>
              <w:t xml:space="preserve">4/15/2019 </w:t>
            </w:r>
            <w:r>
              <w:rPr>
                <w:rFonts w:ascii="Times New Roman" w:cs="Times New Roman" w:eastAsia="Times New Roman" w:hAnsi="Times New Roman"/>
                <w:sz w:val="14"/>
                <w:szCs w:val="14"/>
                <w:color w:val="auto"/>
                <w:vertAlign w:val="superscript"/>
              </w:rPr>
              <w:t>1)</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71,983</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23,994</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48.92</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4/15/2029</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(1</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820" w:type="dxa"/>
            <w:vAlign w:val="bottom"/>
            <w:tcBorders>
              <w:left w:val="single" w:sz="8" w:color="02AE90"/>
            </w:tcBorders>
          </w:tcPr>
          <w:p>
            <w:pPr>
              <w:spacing w:after="0"/>
              <w:rPr>
                <w:sz w:val="13"/>
                <w:szCs w:val="13"/>
                <w:color w:val="auto"/>
              </w:rPr>
            </w:pPr>
          </w:p>
        </w:tc>
        <w:tc>
          <w:tcPr>
            <w:tcW w:w="120" w:type="dxa"/>
            <w:vAlign w:val="bottom"/>
            <w:tcBorders>
              <w:right w:val="single" w:sz="8" w:color="02AE90"/>
            </w:tcBorders>
          </w:tcPr>
          <w:p>
            <w:pPr>
              <w:spacing w:after="0"/>
              <w:rPr>
                <w:sz w:val="13"/>
                <w:szCs w:val="13"/>
                <w:color w:val="auto"/>
              </w:rPr>
            </w:pPr>
          </w:p>
        </w:tc>
        <w:tc>
          <w:tcPr>
            <w:tcW w:w="1140" w:type="dxa"/>
            <w:vAlign w:val="bottom"/>
            <w:tcBorders>
              <w:right w:val="single" w:sz="8" w:color="02AE90"/>
            </w:tcBorders>
          </w:tcPr>
          <w:p>
            <w:pPr>
              <w:jc w:val="right"/>
              <w:ind w:right="108"/>
              <w:spacing w:after="0" w:line="159" w:lineRule="exact"/>
              <w:rPr>
                <w:sz w:val="20"/>
                <w:szCs w:val="20"/>
                <w:color w:val="auto"/>
              </w:rPr>
            </w:pPr>
            <w:r>
              <w:rPr>
                <w:rFonts w:ascii="Times New Roman" w:cs="Times New Roman" w:eastAsia="Times New Roman" w:hAnsi="Times New Roman"/>
                <w:sz w:val="12"/>
                <w:szCs w:val="12"/>
                <w:color w:val="auto"/>
              </w:rPr>
              <w:t xml:space="preserve">4/15/2019 </w:t>
            </w:r>
            <w:r>
              <w:rPr>
                <w:rFonts w:ascii="Times New Roman" w:cs="Times New Roman" w:eastAsia="Times New Roman" w:hAnsi="Times New Roman"/>
                <w:sz w:val="16"/>
                <w:szCs w:val="16"/>
                <w:color w:val="auto"/>
                <w:vertAlign w:val="superscript"/>
              </w:rPr>
              <w:t>1)</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3"/>
                <w:szCs w:val="13"/>
                <w:color w:val="auto"/>
              </w:rPr>
            </w:pPr>
          </w:p>
        </w:tc>
        <w:tc>
          <w:tcPr>
            <w:tcW w:w="1040" w:type="dxa"/>
            <w:vAlign w:val="bottom"/>
            <w:tcBorders>
              <w:right w:val="single" w:sz="8" w:color="02AE90"/>
            </w:tcBorders>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rPr>
                <w:sz w:val="20"/>
                <w:szCs w:val="20"/>
                <w:color w:val="auto"/>
              </w:rPr>
            </w:pPr>
            <w:r>
              <w:rPr>
                <w:rFonts w:ascii="Times New Roman" w:cs="Times New Roman" w:eastAsia="Times New Roman" w:hAnsi="Times New Roman"/>
                <w:sz w:val="12"/>
                <w:szCs w:val="12"/>
                <w:color w:val="auto"/>
              </w:rPr>
              <w:t>16,061</w:t>
            </w:r>
          </w:p>
        </w:tc>
        <w:tc>
          <w:tcPr>
            <w:tcW w:w="100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288,777</w:t>
            </w:r>
          </w:p>
        </w:tc>
        <w:tc>
          <w:tcPr>
            <w:tcW w:w="1020" w:type="dxa"/>
            <w:vAlign w:val="bottom"/>
            <w:tcBorders>
              <w:right w:val="single" w:sz="8" w:color="02AE90"/>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208"/>
              <w:spacing w:after="0" w:line="125" w:lineRule="exact"/>
              <w:rPr>
                <w:sz w:val="20"/>
                <w:szCs w:val="20"/>
                <w:color w:val="auto"/>
              </w:rPr>
            </w:pPr>
            <w:r>
              <w:rPr>
                <w:rFonts w:ascii="Times New Roman" w:cs="Times New Roman" w:eastAsia="Times New Roman" w:hAnsi="Times New Roman"/>
                <w:sz w:val="12"/>
                <w:szCs w:val="12"/>
                <w:color w:val="auto"/>
              </w:rPr>
              <w:t>2/25/2020</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44,378</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25.62</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2/25/2030</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(6</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21,306</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2/23/2031</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9,779</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12,575</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2/23/2031</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(7</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820" w:type="dxa"/>
            <w:vAlign w:val="bottom"/>
            <w:tcBorders>
              <w:left w:val="single" w:sz="8" w:color="02AE90"/>
            </w:tcBorders>
          </w:tcPr>
          <w:p>
            <w:pPr>
              <w:spacing w:after="0"/>
              <w:rPr>
                <w:sz w:val="10"/>
                <w:szCs w:val="10"/>
                <w:color w:val="auto"/>
              </w:rPr>
            </w:pPr>
          </w:p>
        </w:tc>
        <w:tc>
          <w:tcPr>
            <w:tcW w:w="120" w:type="dxa"/>
            <w:vAlign w:val="bottom"/>
            <w:tcBorders>
              <w:right w:val="single" w:sz="8" w:color="02AE90"/>
            </w:tcBorders>
          </w:tcPr>
          <w:p>
            <w:pPr>
              <w:spacing w:after="0"/>
              <w:rPr>
                <w:sz w:val="10"/>
                <w:szCs w:val="10"/>
                <w:color w:val="auto"/>
              </w:rPr>
            </w:pPr>
          </w:p>
        </w:tc>
        <w:tc>
          <w:tcPr>
            <w:tcW w:w="1140" w:type="dxa"/>
            <w:vAlign w:val="bottom"/>
            <w:tcBorders>
              <w:right w:val="single" w:sz="8" w:color="02AE90"/>
            </w:tcBorders>
          </w:tcPr>
          <w:p>
            <w:pPr>
              <w:jc w:val="right"/>
              <w:ind w:right="148"/>
              <w:spacing w:after="0" w:line="125" w:lineRule="exact"/>
              <w:rPr>
                <w:sz w:val="20"/>
                <w:szCs w:val="20"/>
                <w:color w:val="auto"/>
              </w:rPr>
            </w:pPr>
            <w:r>
              <w:rPr>
                <w:rFonts w:ascii="Times New Roman" w:cs="Times New Roman" w:eastAsia="Times New Roman" w:hAnsi="Times New Roman"/>
                <w:sz w:val="11"/>
                <w:szCs w:val="11"/>
                <w:color w:val="auto"/>
              </w:rPr>
              <w:t xml:space="preserve">2/23/2021 </w:t>
            </w:r>
            <w:r>
              <w:rPr>
                <w:rFonts w:ascii="Times New Roman" w:cs="Times New Roman" w:eastAsia="Times New Roman" w:hAnsi="Times New Roman"/>
                <w:sz w:val="14"/>
                <w:szCs w:val="14"/>
                <w:color w:val="auto"/>
                <w:vertAlign w:val="superscript"/>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0"/>
                <w:szCs w:val="10"/>
                <w:color w:val="auto"/>
              </w:rPr>
            </w:pPr>
          </w:p>
        </w:tc>
        <w:tc>
          <w:tcPr>
            <w:tcW w:w="1040" w:type="dxa"/>
            <w:vAlign w:val="bottom"/>
            <w:tcBorders>
              <w:right w:val="single" w:sz="8" w:color="02AE90"/>
            </w:tcBorders>
          </w:tcPr>
          <w:p>
            <w:pPr>
              <w:jc w:val="right"/>
              <w:ind w:right="79"/>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25" w:lineRule="exact"/>
              <w:rPr>
                <w:sz w:val="20"/>
                <w:szCs w:val="20"/>
                <w:color w:val="auto"/>
              </w:rPr>
            </w:pPr>
            <w:r>
              <w:rPr>
                <w:rFonts w:ascii="Times New Roman" w:cs="Times New Roman" w:eastAsia="Times New Roman" w:hAnsi="Times New Roman"/>
                <w:sz w:val="12"/>
                <w:szCs w:val="12"/>
                <w:color w:val="auto"/>
              </w:rPr>
              <w:t>10,994</w:t>
            </w:r>
          </w:p>
        </w:tc>
        <w:tc>
          <w:tcPr>
            <w:tcW w:w="100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197,672</w:t>
            </w:r>
          </w:p>
        </w:tc>
        <w:tc>
          <w:tcPr>
            <w:tcW w:w="1020" w:type="dxa"/>
            <w:vAlign w:val="bottom"/>
            <w:tcBorders>
              <w:right w:val="single" w:sz="8" w:color="02AE90"/>
            </w:tcBorders>
          </w:tcPr>
          <w:p>
            <w:pPr>
              <w:jc w:val="right"/>
              <w:ind w:right="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88"/>
        </w:trPr>
        <w:tc>
          <w:tcPr>
            <w:tcW w:w="1820" w:type="dxa"/>
            <w:vAlign w:val="bottom"/>
            <w:tcBorders>
              <w:left w:val="single" w:sz="8" w:color="02AE90"/>
            </w:tcBorders>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140" w:type="dxa"/>
            <w:vAlign w:val="bottom"/>
            <w:tcBorders>
              <w:right w:val="single" w:sz="8" w:color="02AE90"/>
            </w:tcBorders>
          </w:tcPr>
          <w:p>
            <w:pPr>
              <w:jc w:val="right"/>
              <w:ind w:right="108"/>
              <w:spacing w:after="0" w:line="88" w:lineRule="exact"/>
              <w:rPr>
                <w:sz w:val="20"/>
                <w:szCs w:val="20"/>
                <w:color w:val="auto"/>
              </w:rPr>
            </w:pPr>
            <w:r>
              <w:rPr>
                <w:rFonts w:ascii="Times New Roman" w:cs="Times New Roman" w:eastAsia="Times New Roman" w:hAnsi="Times New Roman"/>
                <w:sz w:val="8"/>
                <w:szCs w:val="8"/>
                <w:color w:val="auto"/>
              </w:rPr>
              <w:t>(8</w:t>
            </w:r>
          </w:p>
        </w:tc>
        <w:tc>
          <w:tcPr>
            <w:tcW w:w="104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Borders>
              <w:right w:val="single" w:sz="8" w:color="02AE90"/>
            </w:tcBorders>
          </w:tcPr>
          <w:p>
            <w:pPr>
              <w:spacing w:after="0"/>
              <w:rPr>
                <w:sz w:val="7"/>
                <w:szCs w:val="7"/>
                <w:color w:val="auto"/>
              </w:rPr>
            </w:pPr>
          </w:p>
        </w:tc>
        <w:tc>
          <w:tcPr>
            <w:tcW w:w="104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1020" w:type="dxa"/>
            <w:vAlign w:val="bottom"/>
            <w:tcBorders>
              <w:right w:val="single" w:sz="8" w:color="02AE90"/>
            </w:tcBorders>
          </w:tcPr>
          <w:p>
            <w:pPr>
              <w:spacing w:after="0"/>
              <w:rPr>
                <w:sz w:val="7"/>
                <w:szCs w:val="7"/>
                <w:color w:val="auto"/>
              </w:rPr>
            </w:pPr>
          </w:p>
        </w:tc>
        <w:tc>
          <w:tcPr>
            <w:tcW w:w="1000" w:type="dxa"/>
            <w:vAlign w:val="bottom"/>
            <w:tcBorders>
              <w:right w:val="single" w:sz="8" w:color="02AE90"/>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tcBorders>
              <w:left w:val="single" w:sz="8" w:color="02AE90"/>
            </w:tcBorders>
          </w:tcPr>
          <w:p>
            <w:pPr>
              <w:spacing w:after="0"/>
              <w:rPr>
                <w:sz w:val="11"/>
                <w:szCs w:val="11"/>
                <w:color w:val="auto"/>
              </w:rPr>
            </w:pPr>
          </w:p>
        </w:tc>
        <w:tc>
          <w:tcPr>
            <w:tcW w:w="120" w:type="dxa"/>
            <w:vAlign w:val="bottom"/>
            <w:tcBorders>
              <w:right w:val="single" w:sz="8" w:color="02AE90"/>
            </w:tcBorders>
          </w:tcPr>
          <w:p>
            <w:pPr>
              <w:spacing w:after="0"/>
              <w:rPr>
                <w:sz w:val="11"/>
                <w:szCs w:val="11"/>
                <w:color w:val="auto"/>
              </w:rPr>
            </w:pPr>
          </w:p>
        </w:tc>
        <w:tc>
          <w:tcPr>
            <w:tcW w:w="1140" w:type="dxa"/>
            <w:vAlign w:val="bottom"/>
            <w:tcBorders>
              <w:right w:val="single" w:sz="8" w:color="02AE90"/>
            </w:tcBorders>
          </w:tcPr>
          <w:p>
            <w:pPr>
              <w:jc w:val="right"/>
              <w:ind w:right="148"/>
              <w:spacing w:after="0" w:line="136" w:lineRule="exact"/>
              <w:rPr>
                <w:sz w:val="20"/>
                <w:szCs w:val="20"/>
                <w:color w:val="auto"/>
              </w:rPr>
            </w:pPr>
            <w:r>
              <w:rPr>
                <w:rFonts w:ascii="Times New Roman" w:cs="Times New Roman" w:eastAsia="Times New Roman" w:hAnsi="Times New Roman"/>
                <w:sz w:val="12"/>
                <w:szCs w:val="12"/>
                <w:color w:val="auto"/>
              </w:rPr>
              <w:t xml:space="preserve">2/22/2022 </w:t>
            </w:r>
            <w:r>
              <w:rPr>
                <w:rFonts w:ascii="Times New Roman" w:cs="Times New Roman" w:eastAsia="Times New Roman" w:hAnsi="Times New Roman"/>
                <w:sz w:val="15"/>
                <w:szCs w:val="15"/>
                <w:color w:val="auto"/>
                <w:vertAlign w:val="superscript"/>
              </w:rPr>
              <w:t>)</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11"/>
                <w:szCs w:val="11"/>
                <w:color w:val="auto"/>
              </w:rPr>
            </w:pPr>
          </w:p>
        </w:tc>
        <w:tc>
          <w:tcPr>
            <w:tcW w:w="1040" w:type="dxa"/>
            <w:vAlign w:val="bottom"/>
            <w:tcBorders>
              <w:right w:val="single" w:sz="8" w:color="02AE90"/>
            </w:tcBorders>
          </w:tcPr>
          <w:p>
            <w:pPr>
              <w:jc w:val="right"/>
              <w:ind w:right="79"/>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59"/>
              <w:spacing w:after="0" w:line="136" w:lineRule="exact"/>
              <w:rPr>
                <w:sz w:val="20"/>
                <w:szCs w:val="20"/>
                <w:color w:val="auto"/>
              </w:rPr>
            </w:pPr>
            <w:r>
              <w:rPr>
                <w:rFonts w:ascii="Times New Roman" w:cs="Times New Roman" w:eastAsia="Times New Roman" w:hAnsi="Times New Roman"/>
                <w:sz w:val="12"/>
                <w:szCs w:val="12"/>
                <w:color w:val="auto"/>
              </w:rPr>
              <w:t>73,746</w:t>
            </w:r>
          </w:p>
        </w:tc>
        <w:tc>
          <w:tcPr>
            <w:tcW w:w="100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1,325,953</w:t>
            </w:r>
          </w:p>
        </w:tc>
        <w:tc>
          <w:tcPr>
            <w:tcW w:w="1020" w:type="dxa"/>
            <w:vAlign w:val="bottom"/>
            <w:tcBorders>
              <w:right w:val="single" w:sz="8" w:color="02AE90"/>
            </w:tcBorders>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tcPr>
          <w:p>
            <w:pPr>
              <w:jc w:val="right"/>
              <w:ind w:right="61"/>
              <w:spacing w:after="0" w:line="13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3"/>
        </w:trPr>
        <w:tc>
          <w:tcPr>
            <w:tcW w:w="1820" w:type="dxa"/>
            <w:vAlign w:val="bottom"/>
            <w:tcBorders>
              <w:left w:val="single" w:sz="8" w:color="02AE90"/>
            </w:tcBorders>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Lindsay Nelson</w:t>
            </w:r>
          </w:p>
        </w:tc>
        <w:tc>
          <w:tcPr>
            <w:tcW w:w="120" w:type="dxa"/>
            <w:vAlign w:val="bottom"/>
            <w:tcBorders>
              <w:right w:val="single" w:sz="8" w:color="02AE90"/>
            </w:tcBorders>
          </w:tcPr>
          <w:p>
            <w:pPr>
              <w:spacing w:after="0"/>
              <w:rPr>
                <w:sz w:val="8"/>
                <w:szCs w:val="8"/>
                <w:color w:val="auto"/>
              </w:rPr>
            </w:pPr>
          </w:p>
        </w:tc>
        <w:tc>
          <w:tcPr>
            <w:tcW w:w="1140" w:type="dxa"/>
            <w:vAlign w:val="bottom"/>
            <w:tcBorders>
              <w:right w:val="single" w:sz="8" w:color="02AE90"/>
            </w:tcBorders>
          </w:tcPr>
          <w:p>
            <w:pPr>
              <w:jc w:val="right"/>
              <w:ind w:right="108"/>
              <w:spacing w:after="0"/>
              <w:rPr>
                <w:sz w:val="20"/>
                <w:szCs w:val="20"/>
                <w:color w:val="auto"/>
              </w:rPr>
            </w:pPr>
            <w:r>
              <w:rPr>
                <w:rFonts w:ascii="Times New Roman" w:cs="Times New Roman" w:eastAsia="Times New Roman" w:hAnsi="Times New Roman"/>
                <w:sz w:val="8"/>
                <w:szCs w:val="8"/>
                <w:color w:val="auto"/>
              </w:rPr>
              <w:t>(1</w:t>
            </w:r>
          </w:p>
        </w:tc>
        <w:tc>
          <w:tcPr>
            <w:tcW w:w="1040" w:type="dxa"/>
            <w:vAlign w:val="bottom"/>
            <w:tcBorders>
              <w:right w:val="single" w:sz="8" w:color="02AE90"/>
            </w:tcBorders>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right w:val="single" w:sz="8" w:color="02AE90"/>
            </w:tcBorders>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right w:val="single" w:sz="8" w:color="02AE90"/>
            </w:tcBorders>
          </w:tcPr>
          <w:p>
            <w:pPr>
              <w:spacing w:after="0"/>
              <w:rPr>
                <w:sz w:val="8"/>
                <w:szCs w:val="8"/>
                <w:color w:val="auto"/>
              </w:rPr>
            </w:pPr>
          </w:p>
        </w:tc>
        <w:tc>
          <w:tcPr>
            <w:tcW w:w="1040" w:type="dxa"/>
            <w:vAlign w:val="bottom"/>
            <w:tcBorders>
              <w:right w:val="single" w:sz="8" w:color="02AE90"/>
            </w:tcBorders>
            <w:vMerge w:val="restart"/>
          </w:tcPr>
          <w:p>
            <w:pPr>
              <w:jc w:val="right"/>
              <w:ind w:right="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vMerge w:val="restart"/>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right w:val="single" w:sz="8" w:color="02AE90"/>
            </w:tcBorders>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right w:val="single" w:sz="8" w:color="02AE90"/>
            </w:tcBorders>
            <w:vMerge w:val="restart"/>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1820" w:type="dxa"/>
            <w:vAlign w:val="bottom"/>
            <w:tcBorders>
              <w:left w:val="single" w:sz="8" w:color="02AE90"/>
              <w:bottom w:val="single" w:sz="8" w:color="02AE90"/>
            </w:tcBorders>
            <w:vMerge w:val="continue"/>
          </w:tcPr>
          <w:p>
            <w:pPr>
              <w:spacing w:after="0"/>
              <w:rPr>
                <w:sz w:val="13"/>
                <w:szCs w:val="13"/>
                <w:color w:val="auto"/>
              </w:rPr>
            </w:pPr>
          </w:p>
        </w:tc>
        <w:tc>
          <w:tcPr>
            <w:tcW w:w="120" w:type="dxa"/>
            <w:vAlign w:val="bottom"/>
            <w:tcBorders>
              <w:bottom w:val="single" w:sz="8" w:color="02AE90"/>
              <w:right w:val="single" w:sz="8" w:color="02AE90"/>
            </w:tcBorders>
          </w:tcPr>
          <w:p>
            <w:pPr>
              <w:spacing w:after="0"/>
              <w:rPr>
                <w:sz w:val="13"/>
                <w:szCs w:val="13"/>
                <w:color w:val="auto"/>
              </w:rPr>
            </w:pPr>
          </w:p>
        </w:tc>
        <w:tc>
          <w:tcPr>
            <w:tcW w:w="1140" w:type="dxa"/>
            <w:vAlign w:val="bottom"/>
            <w:tcBorders>
              <w:bottom w:val="single" w:sz="8" w:color="02AE90"/>
              <w:right w:val="single" w:sz="8" w:color="02AE90"/>
            </w:tcBorders>
          </w:tcPr>
          <w:p>
            <w:pPr>
              <w:jc w:val="right"/>
              <w:ind w:right="108"/>
              <w:spacing w:after="0"/>
              <w:rPr>
                <w:sz w:val="20"/>
                <w:szCs w:val="20"/>
                <w:color w:val="auto"/>
              </w:rPr>
            </w:pPr>
            <w:r>
              <w:rPr>
                <w:rFonts w:ascii="Times New Roman" w:cs="Times New Roman" w:eastAsia="Times New Roman" w:hAnsi="Times New Roman"/>
                <w:sz w:val="8"/>
                <w:szCs w:val="8"/>
                <w:color w:val="auto"/>
              </w:rPr>
              <w:t>2)</w:t>
            </w:r>
          </w:p>
        </w:tc>
        <w:tc>
          <w:tcPr>
            <w:tcW w:w="1040" w:type="dxa"/>
            <w:vAlign w:val="bottom"/>
            <w:tcBorders>
              <w:bottom w:val="single" w:sz="8" w:color="02AE90"/>
              <w:right w:val="single" w:sz="8" w:color="02AE90"/>
            </w:tcBorders>
            <w:vMerge w:val="continue"/>
          </w:tcPr>
          <w:p>
            <w:pPr>
              <w:spacing w:after="0"/>
              <w:rPr>
                <w:sz w:val="13"/>
                <w:szCs w:val="13"/>
                <w:color w:val="auto"/>
              </w:rPr>
            </w:pPr>
          </w:p>
        </w:tc>
        <w:tc>
          <w:tcPr>
            <w:tcW w:w="1040" w:type="dxa"/>
            <w:vAlign w:val="bottom"/>
            <w:tcBorders>
              <w:bottom w:val="single" w:sz="8" w:color="02AE90"/>
              <w:right w:val="single" w:sz="8" w:color="02AE90"/>
            </w:tcBorders>
            <w:vMerge w:val="continue"/>
          </w:tcPr>
          <w:p>
            <w:pPr>
              <w:spacing w:after="0"/>
              <w:rPr>
                <w:sz w:val="13"/>
                <w:szCs w:val="13"/>
                <w:color w:val="auto"/>
              </w:rPr>
            </w:pPr>
          </w:p>
        </w:tc>
        <w:tc>
          <w:tcPr>
            <w:tcW w:w="900" w:type="dxa"/>
            <w:vAlign w:val="bottom"/>
            <w:tcBorders>
              <w:bottom w:val="single" w:sz="8" w:color="02AE90"/>
            </w:tcBorders>
            <w:vMerge w:val="continue"/>
          </w:tcPr>
          <w:p>
            <w:pPr>
              <w:spacing w:after="0"/>
              <w:rPr>
                <w:sz w:val="13"/>
                <w:szCs w:val="13"/>
                <w:color w:val="auto"/>
              </w:rPr>
            </w:pPr>
          </w:p>
        </w:tc>
        <w:tc>
          <w:tcPr>
            <w:tcW w:w="120" w:type="dxa"/>
            <w:vAlign w:val="bottom"/>
            <w:tcBorders>
              <w:bottom w:val="single" w:sz="8" w:color="02AE90"/>
              <w:right w:val="single" w:sz="8" w:color="02AE90"/>
            </w:tcBorders>
          </w:tcPr>
          <w:p>
            <w:pPr>
              <w:spacing w:after="0"/>
              <w:rPr>
                <w:sz w:val="13"/>
                <w:szCs w:val="13"/>
                <w:color w:val="auto"/>
              </w:rPr>
            </w:pPr>
          </w:p>
        </w:tc>
        <w:tc>
          <w:tcPr>
            <w:tcW w:w="1040" w:type="dxa"/>
            <w:vAlign w:val="bottom"/>
            <w:tcBorders>
              <w:bottom w:val="single" w:sz="8" w:color="02AE90"/>
              <w:right w:val="single" w:sz="8" w:color="02AE90"/>
            </w:tcBorders>
            <w:vMerge w:val="continue"/>
          </w:tcPr>
          <w:p>
            <w:pPr>
              <w:spacing w:after="0"/>
              <w:rPr>
                <w:sz w:val="13"/>
                <w:szCs w:val="13"/>
                <w:color w:val="auto"/>
              </w:rPr>
            </w:pPr>
          </w:p>
        </w:tc>
        <w:tc>
          <w:tcPr>
            <w:tcW w:w="1000" w:type="dxa"/>
            <w:vAlign w:val="bottom"/>
            <w:tcBorders>
              <w:bottom w:val="single" w:sz="8" w:color="02AE90"/>
              <w:right w:val="single" w:sz="8" w:color="02AE90"/>
            </w:tcBorders>
            <w:vMerge w:val="continue"/>
          </w:tcPr>
          <w:p>
            <w:pPr>
              <w:spacing w:after="0"/>
              <w:rPr>
                <w:sz w:val="13"/>
                <w:szCs w:val="13"/>
                <w:color w:val="auto"/>
              </w:rPr>
            </w:pPr>
          </w:p>
        </w:tc>
        <w:tc>
          <w:tcPr>
            <w:tcW w:w="1000" w:type="dxa"/>
            <w:vAlign w:val="bottom"/>
            <w:tcBorders>
              <w:bottom w:val="single" w:sz="8" w:color="02AE90"/>
              <w:right w:val="single" w:sz="8" w:color="02AE90"/>
            </w:tcBorders>
            <w:vMerge w:val="continue"/>
          </w:tcPr>
          <w:p>
            <w:pPr>
              <w:spacing w:after="0"/>
              <w:rPr>
                <w:sz w:val="13"/>
                <w:szCs w:val="13"/>
                <w:color w:val="auto"/>
              </w:rPr>
            </w:pPr>
          </w:p>
        </w:tc>
        <w:tc>
          <w:tcPr>
            <w:tcW w:w="1020" w:type="dxa"/>
            <w:vAlign w:val="bottom"/>
            <w:tcBorders>
              <w:bottom w:val="single" w:sz="8" w:color="02AE90"/>
              <w:right w:val="single" w:sz="8" w:color="02AE90"/>
            </w:tcBorders>
            <w:vMerge w:val="continue"/>
          </w:tcPr>
          <w:p>
            <w:pPr>
              <w:spacing w:after="0"/>
              <w:rPr>
                <w:sz w:val="13"/>
                <w:szCs w:val="13"/>
                <w:color w:val="auto"/>
              </w:rPr>
            </w:pPr>
          </w:p>
        </w:tc>
        <w:tc>
          <w:tcPr>
            <w:tcW w:w="1000" w:type="dxa"/>
            <w:vAlign w:val="bottom"/>
            <w:tcBorders>
              <w:bottom w:val="single" w:sz="8" w:color="02AE90"/>
              <w:right w:val="single" w:sz="8" w:color="02AE90"/>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-6197600</wp:posOffset>
            </wp:positionV>
            <wp:extent cx="5987415" cy="10121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87415" cy="10121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-4780915</wp:posOffset>
            </wp:positionV>
            <wp:extent cx="7134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-1070610</wp:posOffset>
            </wp:positionV>
            <wp:extent cx="7134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134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14" w:lineRule="exact"/>
        <w:rPr>
          <w:sz w:val="20"/>
          <w:szCs w:val="20"/>
          <w:color w:val="auto"/>
        </w:rPr>
      </w:pPr>
    </w:p>
    <w:p>
      <w:pPr>
        <w:ind w:left="380" w:hanging="374"/>
        <w:spacing w:after="0" w:line="265"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25% commencing on July 1</w:t>
      </w:r>
      <w:r>
        <w:rPr>
          <w:rFonts w:ascii="Times New Roman" w:cs="Times New Roman" w:eastAsia="Times New Roman" w:hAnsi="Times New Roman"/>
          <w:sz w:val="14"/>
          <w:szCs w:val="14"/>
          <w:color w:val="auto"/>
          <w:vertAlign w:val="superscript"/>
        </w:rPr>
        <w:t>st</w:t>
      </w:r>
      <w:r>
        <w:rPr>
          <w:rFonts w:ascii="Times New Roman" w:cs="Times New Roman" w:eastAsia="Times New Roman" w:hAnsi="Times New Roman"/>
          <w:sz w:val="14"/>
          <w:szCs w:val="14"/>
          <w:color w:val="auto"/>
        </w:rPr>
        <w:t xml:space="preserve"> of the first year following the date of grant and 6.25% of the remaining shares shall vest in equal quarterly installments over the remaining three years of the vesting period.</w:t>
      </w:r>
    </w:p>
    <w:p>
      <w:pPr>
        <w:spacing w:after="0" w:line="51" w:lineRule="exact"/>
        <w:rPr>
          <w:rFonts w:ascii="Times New Roman" w:cs="Times New Roman" w:eastAsia="Times New Roman" w:hAnsi="Times New Roman"/>
          <w:sz w:val="14"/>
          <w:szCs w:val="14"/>
          <w:color w:val="auto"/>
        </w:rPr>
      </w:pPr>
    </w:p>
    <w:p>
      <w:pPr>
        <w:jc w:val="both"/>
        <w:ind w:left="380" w:hanging="374"/>
        <w:spacing w:after="0" w:line="231"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target number of shares to be issued assuming that, for the period from July 1, 2022 through July 1, 2025, performance targets are achieved. The MSUs shall vest on July 1, 2025 and will settle shortly following certification of achievement of the performance criteria, with 25% vesting if our stock price is equal to or greater than $35.00 but less than $45.00, 50% if our stock price is equal to or greater than $45.00 but less than $55.00 and 100% if our stock price is equal to or greater than $55.00, subject to continuous employment with, or performance of services for, the Company. Depending on the Company’s performance, Mr. Goldberg may receive no awards or up to the target amount reflected.</w:t>
      </w:r>
    </w:p>
    <w:p>
      <w:pPr>
        <w:spacing w:after="0" w:line="88" w:lineRule="exact"/>
        <w:rPr>
          <w:rFonts w:ascii="Times New Roman" w:cs="Times New Roman" w:eastAsia="Times New Roman" w:hAnsi="Times New Roman"/>
          <w:sz w:val="14"/>
          <w:szCs w:val="14"/>
          <w:color w:val="auto"/>
        </w:rPr>
      </w:pPr>
    </w:p>
    <w:p>
      <w:pPr>
        <w:ind w:left="380" w:hanging="374"/>
        <w:spacing w:after="0" w:line="265"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25% commencing on October 31</w:t>
      </w:r>
      <w:r>
        <w:rPr>
          <w:rFonts w:ascii="Times New Roman" w:cs="Times New Roman" w:eastAsia="Times New Roman" w:hAnsi="Times New Roman"/>
          <w:sz w:val="14"/>
          <w:szCs w:val="14"/>
          <w:color w:val="auto"/>
          <w:vertAlign w:val="superscript"/>
        </w:rPr>
        <w:t>st</w:t>
      </w:r>
      <w:r>
        <w:rPr>
          <w:rFonts w:ascii="Times New Roman" w:cs="Times New Roman" w:eastAsia="Times New Roman" w:hAnsi="Times New Roman"/>
          <w:sz w:val="14"/>
          <w:szCs w:val="14"/>
          <w:color w:val="auto"/>
        </w:rPr>
        <w:t xml:space="preserve"> of the first year following the date of grant and 6.25% of the remaining shares shall vest in equal quarterly installments over the remaining three years of the vesting period.</w:t>
      </w:r>
    </w:p>
    <w:p>
      <w:pPr>
        <w:spacing w:after="0" w:line="51" w:lineRule="exact"/>
        <w:rPr>
          <w:rFonts w:ascii="Times New Roman" w:cs="Times New Roman" w:eastAsia="Times New Roman" w:hAnsi="Times New Roman"/>
          <w:sz w:val="14"/>
          <w:szCs w:val="14"/>
          <w:color w:val="auto"/>
        </w:rPr>
      </w:pPr>
    </w:p>
    <w:p>
      <w:pPr>
        <w:jc w:val="both"/>
        <w:ind w:left="380" w:hanging="374"/>
        <w:spacing w:after="0" w:line="231"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target number of shares to be issued assuming that, for the period from October 31, 2022 through October 31, 2025, performance targets are achieved. The MSUs shall vest on October 31, 2025 and will settle shortly following certification of achievement of the performance criteria, with 25% vesting if our stock price is equal to or greater than $35.00 but less than $45.00, 50% if our stock price is equal to or greater than $45.00 but less than $55.00 and 100% if our stock price is equal to or greater than $55.00, subject to continuous employment with, or performance of services for, the Company. Depending on the Company’s performance, Mr. Noonan may receive no awards or up to the target amount reflected.</w:t>
      </w:r>
    </w:p>
    <w:p>
      <w:pPr>
        <w:sectPr>
          <w:pgSz w:w="11900" w:h="16838" w:orient="portrait"/>
          <w:cols w:equalWidth="0" w:num="1">
            <w:col w:w="11240"/>
          </w:cols>
          <w:pgMar w:left="320" w:top="119"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0" w:name="page71"/>
    <w:bookmarkEnd w:id="70"/>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in four equal annual installments commencing on February 15</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first year following the date of grant.</w:t>
      </w:r>
    </w:p>
    <w:p>
      <w:pPr>
        <w:spacing w:after="0" w:line="100"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100% on February 15, 2024, following thirty-six months of continued service from date of the grant.</w:t>
      </w:r>
    </w:p>
    <w:p>
      <w:pPr>
        <w:spacing w:after="0" w:line="108" w:lineRule="exact"/>
        <w:rPr>
          <w:rFonts w:ascii="Times New Roman" w:cs="Times New Roman" w:eastAsia="Times New Roman" w:hAnsi="Times New Roman"/>
          <w:sz w:val="14"/>
          <w:szCs w:val="14"/>
          <w:color w:val="auto"/>
        </w:rPr>
      </w:pPr>
    </w:p>
    <w:p>
      <w:pPr>
        <w:ind w:left="380" w:hanging="374"/>
        <w:spacing w:after="0" w:line="265"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25% commencing on February 15</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first year following the date of grant and 6.25% of the remaining shares shall vest in equal quarterly installments over the remaining three years of the vesting period.</w:t>
      </w:r>
    </w:p>
    <w:p>
      <w:pPr>
        <w:spacing w:after="0" w:line="69" w:lineRule="exact"/>
        <w:rPr>
          <w:rFonts w:ascii="Times New Roman" w:cs="Times New Roman" w:eastAsia="Times New Roman" w:hAnsi="Times New Roman"/>
          <w:sz w:val="14"/>
          <w:szCs w:val="14"/>
          <w:color w:val="auto"/>
        </w:rPr>
      </w:pPr>
    </w:p>
    <w:p>
      <w:pPr>
        <w:ind w:left="380" w:hanging="374"/>
        <w:spacing w:after="0" w:line="265"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33.33% commencing on February 15</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first year following the date of grant and 8.33% of the remaining shares shall vest in equal quarterly installments over the remaining two years of the vesting period.</w:t>
      </w:r>
    </w:p>
    <w:p>
      <w:pPr>
        <w:spacing w:after="0" w:line="51"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25% on August 1, 2022 and 6.25% of the remaining shares shall vest in equal quarterly installments over the remaining three years of the vesting period.</w:t>
      </w:r>
    </w:p>
    <w:p>
      <w:pPr>
        <w:spacing w:after="0" w:line="91"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100% on August 1, 2024, following thirty-one months of continued service from date of the grant.</w:t>
      </w:r>
    </w:p>
    <w:p>
      <w:pPr>
        <w:spacing w:after="0" w:line="108"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Vests in four equal annual installments commencing on April 15</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4"/>
          <w:szCs w:val="14"/>
          <w:color w:val="auto"/>
        </w:rPr>
        <w:t xml:space="preserve"> of the first year following the date of grant.</w:t>
      </w:r>
    </w:p>
    <w:p>
      <w:pPr>
        <w:spacing w:after="0" w:line="100"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Nelson resigned from the Company effective February 28, 2022.</w:t>
      </w:r>
    </w:p>
    <w:p>
      <w:pPr>
        <w:spacing w:after="0" w:line="91"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market value of shares or units of stock that have not vested calculated by multiplying the number of stock awards that have not vested by $17.98, the closing price of the Company’s common stock on The Nasdaq Stock Market as of December 30, 2022, the last trading day in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14"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regarding the vesting of stock awards held by the named executive officers during 2022. None of our NEOs exercised stock options during 2022.</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6420" w:type="dxa"/>
            <w:vAlign w:val="bottom"/>
            <w:tcBorders>
              <w:left w:val="single" w:sz="8" w:color="02AE90"/>
            </w:tcBorders>
            <w:shd w:val="clear" w:color="auto" w:fill="02AE90"/>
          </w:tcPr>
          <w:p>
            <w:pPr>
              <w:spacing w:after="0"/>
              <w:rPr>
                <w:sz w:val="16"/>
                <w:szCs w:val="16"/>
                <w:color w:val="auto"/>
              </w:rPr>
            </w:pPr>
          </w:p>
        </w:tc>
        <w:tc>
          <w:tcPr>
            <w:tcW w:w="160" w:type="dxa"/>
            <w:vAlign w:val="bottom"/>
            <w:tcBorders>
              <w:right w:val="single" w:sz="8" w:color="02AE90"/>
            </w:tcBorders>
            <w:shd w:val="clear" w:color="auto" w:fill="02AE90"/>
          </w:tcPr>
          <w:p>
            <w:pPr>
              <w:spacing w:after="0"/>
              <w:rPr>
                <w:sz w:val="16"/>
                <w:szCs w:val="16"/>
                <w:color w:val="auto"/>
              </w:rPr>
            </w:pPr>
          </w:p>
        </w:tc>
        <w:tc>
          <w:tcPr>
            <w:tcW w:w="1560" w:type="dxa"/>
            <w:vAlign w:val="bottom"/>
            <w:tcBorders>
              <w:right w:val="single" w:sz="8" w:color="02AE90"/>
            </w:tcBorders>
            <w:shd w:val="clear" w:color="auto" w:fill="02AE90"/>
          </w:tcPr>
          <w:p>
            <w:pPr>
              <w:spacing w:after="0"/>
              <w:rPr>
                <w:sz w:val="16"/>
                <w:szCs w:val="16"/>
                <w:color w:val="auto"/>
              </w:rPr>
            </w:pPr>
          </w:p>
        </w:tc>
        <w:tc>
          <w:tcPr>
            <w:tcW w:w="3100" w:type="dxa"/>
            <w:vAlign w:val="bottom"/>
            <w:tcBorders>
              <w:right w:val="single" w:sz="8" w:color="02AE90"/>
            </w:tcBorders>
            <w:gridSpan w:val="2"/>
            <w:shd w:val="clear" w:color="auto" w:fill="02AE90"/>
          </w:tcPr>
          <w:p>
            <w:pPr>
              <w:jc w:val="right"/>
              <w:ind w:right="1054"/>
              <w:spacing w:after="0"/>
              <w:rPr>
                <w:sz w:val="20"/>
                <w:szCs w:val="20"/>
                <w:color w:val="auto"/>
              </w:rPr>
            </w:pPr>
            <w:r>
              <w:rPr>
                <w:rFonts w:ascii="Times New Roman" w:cs="Times New Roman" w:eastAsia="Times New Roman" w:hAnsi="Times New Roman"/>
                <w:sz w:val="14"/>
                <w:szCs w:val="14"/>
                <w:b w:val="1"/>
                <w:bCs w:val="1"/>
                <w:color w:val="FFFFFF"/>
              </w:rPr>
              <w:t>Stock Awards</w:t>
            </w:r>
          </w:p>
        </w:tc>
        <w:tc>
          <w:tcPr>
            <w:tcW w:w="0" w:type="dxa"/>
            <w:vAlign w:val="bottom"/>
          </w:tcPr>
          <w:p>
            <w:pPr>
              <w:spacing w:after="0"/>
              <w:rPr>
                <w:sz w:val="1"/>
                <w:szCs w:val="1"/>
                <w:color w:val="auto"/>
              </w:rPr>
            </w:pPr>
          </w:p>
        </w:tc>
      </w:tr>
      <w:tr>
        <w:trPr>
          <w:trHeight w:val="135"/>
        </w:trPr>
        <w:tc>
          <w:tcPr>
            <w:tcW w:w="6420" w:type="dxa"/>
            <w:vAlign w:val="bottom"/>
            <w:tcBorders>
              <w:left w:val="single" w:sz="8" w:color="02AE90"/>
            </w:tcBorders>
            <w:shd w:val="clear" w:color="auto" w:fill="02AE90"/>
          </w:tcPr>
          <w:p>
            <w:pPr>
              <w:spacing w:after="0"/>
              <w:rPr>
                <w:sz w:val="11"/>
                <w:szCs w:val="11"/>
                <w:color w:val="auto"/>
              </w:rPr>
            </w:pPr>
          </w:p>
        </w:tc>
        <w:tc>
          <w:tcPr>
            <w:tcW w:w="160" w:type="dxa"/>
            <w:vAlign w:val="bottom"/>
            <w:tcBorders>
              <w:right w:val="single" w:sz="8" w:color="02AE90"/>
            </w:tcBorders>
            <w:shd w:val="clear" w:color="auto" w:fill="02AE90"/>
          </w:tcPr>
          <w:p>
            <w:pPr>
              <w:spacing w:after="0"/>
              <w:rPr>
                <w:sz w:val="11"/>
                <w:szCs w:val="11"/>
                <w:color w:val="auto"/>
              </w:rPr>
            </w:pPr>
          </w:p>
        </w:tc>
        <w:tc>
          <w:tcPr>
            <w:tcW w:w="1560" w:type="dxa"/>
            <w:vAlign w:val="bottom"/>
            <w:tcBorders>
              <w:right w:val="single" w:sz="8" w:color="02AE90"/>
            </w:tcBorders>
            <w:vMerge w:val="restart"/>
            <w:shd w:val="clear" w:color="auto" w:fill="02AE90"/>
          </w:tcPr>
          <w:p>
            <w:pPr>
              <w:jc w:val="center"/>
              <w:ind w:right="73"/>
              <w:spacing w:after="0"/>
              <w:rPr>
                <w:sz w:val="20"/>
                <w:szCs w:val="20"/>
                <w:color w:val="auto"/>
              </w:rPr>
            </w:pPr>
            <w:r>
              <w:rPr>
                <w:rFonts w:ascii="Times New Roman" w:cs="Times New Roman" w:eastAsia="Times New Roman" w:hAnsi="Times New Roman"/>
                <w:sz w:val="14"/>
                <w:szCs w:val="14"/>
                <w:b w:val="1"/>
                <w:bCs w:val="1"/>
                <w:color w:val="FFFFFF"/>
              </w:rPr>
              <w:t>Exercise or</w:t>
            </w:r>
          </w:p>
        </w:tc>
        <w:tc>
          <w:tcPr>
            <w:tcW w:w="1560" w:type="dxa"/>
            <w:vAlign w:val="bottom"/>
            <w:tcBorders>
              <w:right w:val="single" w:sz="8" w:color="02AE90"/>
            </w:tcBorders>
            <w:vMerge w:val="restart"/>
            <w:shd w:val="clear" w:color="auto" w:fill="02AE90"/>
          </w:tcPr>
          <w:p>
            <w:pPr>
              <w:jc w:val="right"/>
              <w:ind w:right="214"/>
              <w:spacing w:after="0"/>
              <w:rPr>
                <w:sz w:val="20"/>
                <w:szCs w:val="20"/>
                <w:color w:val="auto"/>
              </w:rPr>
            </w:pPr>
            <w:r>
              <w:rPr>
                <w:rFonts w:ascii="Times New Roman" w:cs="Times New Roman" w:eastAsia="Times New Roman" w:hAnsi="Times New Roman"/>
                <w:sz w:val="14"/>
                <w:szCs w:val="14"/>
                <w:b w:val="1"/>
                <w:bCs w:val="1"/>
                <w:color w:val="FFFFFF"/>
              </w:rPr>
              <w:t>Number of Shares</w:t>
            </w:r>
          </w:p>
        </w:tc>
        <w:tc>
          <w:tcPr>
            <w:tcW w:w="1540" w:type="dxa"/>
            <w:vAlign w:val="bottom"/>
            <w:tcBorders>
              <w:right w:val="single" w:sz="8" w:color="02AE90"/>
            </w:tcBorders>
            <w:shd w:val="clear" w:color="auto" w:fill="02AE90"/>
          </w:tcPr>
          <w:p>
            <w:pPr>
              <w:jc w:val="center"/>
              <w:ind w:right="34"/>
              <w:spacing w:after="0" w:line="135" w:lineRule="exact"/>
              <w:rPr>
                <w:sz w:val="20"/>
                <w:szCs w:val="20"/>
                <w:color w:val="auto"/>
              </w:rPr>
            </w:pPr>
            <w:r>
              <w:rPr>
                <w:rFonts w:ascii="Times New Roman" w:cs="Times New Roman" w:eastAsia="Times New Roman" w:hAnsi="Times New Roman"/>
                <w:sz w:val="14"/>
                <w:szCs w:val="14"/>
                <w:b w:val="1"/>
                <w:bCs w:val="1"/>
                <w:color w:val="FFFFFF"/>
              </w:rPr>
              <w:t>Value Realized</w:t>
            </w:r>
          </w:p>
        </w:tc>
        <w:tc>
          <w:tcPr>
            <w:tcW w:w="0" w:type="dxa"/>
            <w:vAlign w:val="bottom"/>
          </w:tcPr>
          <w:p>
            <w:pPr>
              <w:spacing w:after="0"/>
              <w:rPr>
                <w:sz w:val="1"/>
                <w:szCs w:val="1"/>
                <w:color w:val="auto"/>
              </w:rPr>
            </w:pPr>
          </w:p>
        </w:tc>
      </w:tr>
      <w:tr>
        <w:trPr>
          <w:trHeight w:val="144"/>
        </w:trPr>
        <w:tc>
          <w:tcPr>
            <w:tcW w:w="6420" w:type="dxa"/>
            <w:vAlign w:val="bottom"/>
            <w:tcBorders>
              <w:lef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60" w:type="dxa"/>
            <w:vAlign w:val="bottom"/>
            <w:tcBorders>
              <w:right w:val="single" w:sz="8" w:color="02AE90"/>
            </w:tcBorders>
            <w:shd w:val="clear" w:color="auto" w:fill="02AE90"/>
          </w:tcPr>
          <w:p>
            <w:pPr>
              <w:spacing w:after="0"/>
              <w:rPr>
                <w:sz w:val="12"/>
                <w:szCs w:val="12"/>
                <w:color w:val="auto"/>
              </w:rPr>
            </w:pPr>
          </w:p>
        </w:tc>
        <w:tc>
          <w:tcPr>
            <w:tcW w:w="1560" w:type="dxa"/>
            <w:vAlign w:val="bottom"/>
            <w:tcBorders>
              <w:right w:val="single" w:sz="8" w:color="02AE90"/>
            </w:tcBorders>
            <w:vMerge w:val="continue"/>
            <w:shd w:val="clear" w:color="auto" w:fill="02AE90"/>
          </w:tcPr>
          <w:p>
            <w:pPr>
              <w:spacing w:after="0"/>
              <w:rPr>
                <w:sz w:val="12"/>
                <w:szCs w:val="12"/>
                <w:color w:val="auto"/>
              </w:rPr>
            </w:pPr>
          </w:p>
        </w:tc>
        <w:tc>
          <w:tcPr>
            <w:tcW w:w="1560" w:type="dxa"/>
            <w:vAlign w:val="bottom"/>
            <w:tcBorders>
              <w:right w:val="single" w:sz="8" w:color="02AE90"/>
            </w:tcBorders>
            <w:vMerge w:val="continue"/>
            <w:shd w:val="clear" w:color="auto" w:fill="02AE90"/>
          </w:tcPr>
          <w:p>
            <w:pPr>
              <w:spacing w:after="0"/>
              <w:rPr>
                <w:sz w:val="12"/>
                <w:szCs w:val="12"/>
                <w:color w:val="auto"/>
              </w:rPr>
            </w:pPr>
          </w:p>
        </w:tc>
        <w:tc>
          <w:tcPr>
            <w:tcW w:w="1540" w:type="dxa"/>
            <w:vAlign w:val="bottom"/>
            <w:tcBorders>
              <w:right w:val="single" w:sz="8" w:color="02AE90"/>
            </w:tcBorders>
            <w:shd w:val="clear" w:color="auto" w:fill="02AE90"/>
          </w:tcPr>
          <w:p>
            <w:pPr>
              <w:jc w:val="center"/>
              <w:ind w:right="34"/>
              <w:spacing w:after="0" w:line="144" w:lineRule="exact"/>
              <w:rPr>
                <w:sz w:val="20"/>
                <w:szCs w:val="20"/>
                <w:color w:val="auto"/>
              </w:rPr>
            </w:pPr>
            <w:r>
              <w:rPr>
                <w:rFonts w:ascii="Times New Roman" w:cs="Times New Roman" w:eastAsia="Times New Roman" w:hAnsi="Times New Roman"/>
                <w:sz w:val="14"/>
                <w:szCs w:val="14"/>
                <w:b w:val="1"/>
                <w:bCs w:val="1"/>
                <w:color w:val="FFFFFF"/>
                <w:w w:val="97"/>
              </w:rPr>
              <w:t>on Vesting</w:t>
            </w:r>
          </w:p>
        </w:tc>
        <w:tc>
          <w:tcPr>
            <w:tcW w:w="0" w:type="dxa"/>
            <w:vAlign w:val="bottom"/>
          </w:tcPr>
          <w:p>
            <w:pPr>
              <w:spacing w:after="0"/>
              <w:rPr>
                <w:sz w:val="1"/>
                <w:szCs w:val="1"/>
                <w:color w:val="auto"/>
              </w:rPr>
            </w:pPr>
          </w:p>
        </w:tc>
      </w:tr>
      <w:tr>
        <w:trPr>
          <w:trHeight w:val="186"/>
        </w:trPr>
        <w:tc>
          <w:tcPr>
            <w:tcW w:w="6420" w:type="dxa"/>
            <w:vAlign w:val="bottom"/>
            <w:tcBorders>
              <w:left w:val="single" w:sz="8" w:color="02AE90"/>
            </w:tcBorders>
            <w:vMerge w:val="continue"/>
            <w:shd w:val="clear" w:color="auto" w:fill="02AE90"/>
          </w:tcPr>
          <w:p>
            <w:pPr>
              <w:spacing w:after="0"/>
              <w:rPr>
                <w:sz w:val="16"/>
                <w:szCs w:val="16"/>
                <w:color w:val="auto"/>
              </w:rPr>
            </w:pPr>
          </w:p>
        </w:tc>
        <w:tc>
          <w:tcPr>
            <w:tcW w:w="160" w:type="dxa"/>
            <w:vAlign w:val="bottom"/>
            <w:tcBorders>
              <w:right w:val="single" w:sz="8" w:color="02AE90"/>
            </w:tcBorders>
            <w:shd w:val="clear" w:color="auto" w:fill="02AE90"/>
          </w:tcPr>
          <w:p>
            <w:pPr>
              <w:spacing w:after="0"/>
              <w:rPr>
                <w:sz w:val="16"/>
                <w:szCs w:val="16"/>
                <w:color w:val="auto"/>
              </w:rPr>
            </w:pPr>
          </w:p>
        </w:tc>
        <w:tc>
          <w:tcPr>
            <w:tcW w:w="1560" w:type="dxa"/>
            <w:vAlign w:val="bottom"/>
            <w:tcBorders>
              <w:right w:val="single" w:sz="8" w:color="02AE90"/>
            </w:tcBorders>
            <w:shd w:val="clear" w:color="auto" w:fill="02AE90"/>
          </w:tcPr>
          <w:p>
            <w:pPr>
              <w:jc w:val="center"/>
              <w:ind w:right="73"/>
              <w:spacing w:after="0"/>
              <w:rPr>
                <w:sz w:val="20"/>
                <w:szCs w:val="20"/>
                <w:color w:val="auto"/>
              </w:rPr>
            </w:pPr>
            <w:r>
              <w:rPr>
                <w:rFonts w:ascii="Times New Roman" w:cs="Times New Roman" w:eastAsia="Times New Roman" w:hAnsi="Times New Roman"/>
                <w:sz w:val="14"/>
                <w:szCs w:val="14"/>
                <w:b w:val="1"/>
                <w:bCs w:val="1"/>
                <w:color w:val="FFFFFF"/>
                <w:w w:val="96"/>
              </w:rPr>
              <w:t>Vest Date</w:t>
            </w:r>
          </w:p>
        </w:tc>
        <w:tc>
          <w:tcPr>
            <w:tcW w:w="1560" w:type="dxa"/>
            <w:vAlign w:val="bottom"/>
            <w:tcBorders>
              <w:right w:val="single" w:sz="8" w:color="02AE90"/>
            </w:tcBorders>
            <w:shd w:val="clear" w:color="auto" w:fill="02AE90"/>
          </w:tcPr>
          <w:p>
            <w:pPr>
              <w:jc w:val="right"/>
              <w:ind w:right="74"/>
              <w:spacing w:after="0" w:line="186" w:lineRule="exact"/>
              <w:rPr>
                <w:sz w:val="20"/>
                <w:szCs w:val="20"/>
                <w:color w:val="auto"/>
              </w:rPr>
            </w:pPr>
            <w:r>
              <w:rPr>
                <w:rFonts w:ascii="Times New Roman" w:cs="Times New Roman" w:eastAsia="Times New Roman" w:hAnsi="Times New Roman"/>
                <w:sz w:val="14"/>
                <w:szCs w:val="14"/>
                <w:b w:val="1"/>
                <w:bCs w:val="1"/>
                <w:color w:val="FFFFFF"/>
              </w:rPr>
              <w:t>Acquired on Vesting</w:t>
            </w:r>
            <w:r>
              <w:rPr>
                <w:rFonts w:ascii="Times New Roman" w:cs="Times New Roman" w:eastAsia="Times New Roman" w:hAnsi="Times New Roman"/>
                <w:sz w:val="18"/>
                <w:szCs w:val="18"/>
                <w:b w:val="1"/>
                <w:bCs w:val="1"/>
                <w:color w:val="FFFFFF"/>
                <w:vertAlign w:val="superscript"/>
              </w:rPr>
              <w:t>(1)</w:t>
            </w:r>
          </w:p>
        </w:tc>
        <w:tc>
          <w:tcPr>
            <w:tcW w:w="1540" w:type="dxa"/>
            <w:vAlign w:val="bottom"/>
            <w:tcBorders>
              <w:right w:val="single" w:sz="8" w:color="02AE90"/>
            </w:tcBorders>
            <w:shd w:val="clear" w:color="auto" w:fill="02AE90"/>
          </w:tcPr>
          <w:p>
            <w:pPr>
              <w:jc w:val="center"/>
              <w:ind w:right="54"/>
              <w:spacing w:after="0" w:line="186" w:lineRule="exact"/>
              <w:rPr>
                <w:sz w:val="20"/>
                <w:szCs w:val="20"/>
                <w:color w:val="auto"/>
              </w:rPr>
            </w:pPr>
            <w:r>
              <w:rPr>
                <w:rFonts w:ascii="Times New Roman" w:cs="Times New Roman" w:eastAsia="Times New Roman" w:hAnsi="Times New Roman"/>
                <w:sz w:val="14"/>
                <w:szCs w:val="14"/>
                <w:b w:val="1"/>
                <w:bCs w:val="1"/>
                <w:color w:val="FFFFFF"/>
                <w:w w:val="92"/>
              </w:rPr>
              <w:t>($)</w:t>
            </w:r>
            <w:r>
              <w:rPr>
                <w:rFonts w:ascii="Times New Roman" w:cs="Times New Roman" w:eastAsia="Times New Roman" w:hAnsi="Times New Roman"/>
                <w:sz w:val="18"/>
                <w:szCs w:val="18"/>
                <w:b w:val="1"/>
                <w:bCs w:val="1"/>
                <w:color w:val="FFFFFF"/>
                <w:w w:val="92"/>
                <w:vertAlign w:val="superscript"/>
              </w:rPr>
              <w:t>(2)</w:t>
            </w:r>
          </w:p>
        </w:tc>
        <w:tc>
          <w:tcPr>
            <w:tcW w:w="0" w:type="dxa"/>
            <w:vAlign w:val="bottom"/>
          </w:tcPr>
          <w:p>
            <w:pPr>
              <w:spacing w:after="0"/>
              <w:rPr>
                <w:sz w:val="1"/>
                <w:szCs w:val="1"/>
                <w:color w:val="auto"/>
              </w:rPr>
            </w:pPr>
          </w:p>
        </w:tc>
      </w:tr>
      <w:tr>
        <w:trPr>
          <w:trHeight w:val="234"/>
        </w:trPr>
        <w:tc>
          <w:tcPr>
            <w:tcW w:w="642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Seth Kalvert</w:t>
            </w: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2/15/2022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21,146</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599,912</w:t>
            </w:r>
          </w:p>
        </w:tc>
        <w:tc>
          <w:tcPr>
            <w:tcW w:w="0" w:type="dxa"/>
            <w:vAlign w:val="bottom"/>
          </w:tcPr>
          <w:p>
            <w:pPr>
              <w:spacing w:after="0"/>
              <w:rPr>
                <w:sz w:val="1"/>
                <w:szCs w:val="1"/>
                <w:color w:val="auto"/>
              </w:rPr>
            </w:pPr>
          </w:p>
        </w:tc>
      </w:tr>
      <w:tr>
        <w:trPr>
          <w:trHeight w:val="232"/>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5/13/2022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1,357</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30,953</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8/15/2022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46,544</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1,215,125</w:t>
            </w:r>
          </w:p>
        </w:tc>
        <w:tc>
          <w:tcPr>
            <w:tcW w:w="0" w:type="dxa"/>
            <w:vAlign w:val="bottom"/>
          </w:tcPr>
          <w:p>
            <w:pPr>
              <w:spacing w:after="0"/>
              <w:rPr>
                <w:sz w:val="1"/>
                <w:szCs w:val="1"/>
                <w:color w:val="auto"/>
              </w:rPr>
            </w:pPr>
          </w:p>
        </w:tc>
      </w:tr>
      <w:tr>
        <w:trPr>
          <w:trHeight w:val="245"/>
        </w:trPr>
        <w:tc>
          <w:tcPr>
            <w:tcW w:w="6420" w:type="dxa"/>
            <w:vAlign w:val="bottom"/>
            <w:tcBorders>
              <w:left w:val="single" w:sz="8" w:color="02AE90"/>
              <w:bottom w:val="single" w:sz="8" w:color="02AE90"/>
            </w:tcBorders>
          </w:tcPr>
          <w:p>
            <w:pPr>
              <w:spacing w:after="0"/>
              <w:rPr>
                <w:sz w:val="21"/>
                <w:szCs w:val="21"/>
                <w:color w:val="auto"/>
              </w:rPr>
            </w:pPr>
          </w:p>
        </w:tc>
        <w:tc>
          <w:tcPr>
            <w:tcW w:w="160" w:type="dxa"/>
            <w:vAlign w:val="bottom"/>
            <w:tcBorders>
              <w:bottom w:val="single" w:sz="8" w:color="02AE90"/>
              <w:right w:val="single" w:sz="8" w:color="02AE90"/>
            </w:tcBorders>
          </w:tcPr>
          <w:p>
            <w:pPr>
              <w:spacing w:after="0"/>
              <w:rPr>
                <w:sz w:val="21"/>
                <w:szCs w:val="21"/>
                <w:color w:val="auto"/>
              </w:rPr>
            </w:pPr>
          </w:p>
        </w:tc>
        <w:tc>
          <w:tcPr>
            <w:tcW w:w="1560" w:type="dxa"/>
            <w:vAlign w:val="bottom"/>
            <w:tcBorders>
              <w:bottom w:val="single" w:sz="8" w:color="02AE90"/>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11/15/2022</w:t>
            </w:r>
          </w:p>
        </w:tc>
        <w:tc>
          <w:tcPr>
            <w:tcW w:w="15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1,357</w:t>
            </w:r>
          </w:p>
        </w:tc>
        <w:tc>
          <w:tcPr>
            <w:tcW w:w="15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29,203</w:t>
            </w:r>
          </w:p>
        </w:tc>
        <w:tc>
          <w:tcPr>
            <w:tcW w:w="0" w:type="dxa"/>
            <w:vAlign w:val="bottom"/>
          </w:tcPr>
          <w:p>
            <w:pPr>
              <w:spacing w:after="0"/>
              <w:rPr>
                <w:sz w:val="1"/>
                <w:szCs w:val="1"/>
                <w:color w:val="auto"/>
              </w:rPr>
            </w:pPr>
          </w:p>
        </w:tc>
      </w:tr>
      <w:tr>
        <w:trPr>
          <w:trHeight w:val="233"/>
        </w:trPr>
        <w:tc>
          <w:tcPr>
            <w:tcW w:w="642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Stephen Kaufer</w:t>
            </w: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2/22/2022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27,797</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753,855</w:t>
            </w:r>
          </w:p>
        </w:tc>
        <w:tc>
          <w:tcPr>
            <w:tcW w:w="0" w:type="dxa"/>
            <w:vAlign w:val="bottom"/>
          </w:tcPr>
          <w:p>
            <w:pPr>
              <w:spacing w:after="0"/>
              <w:rPr>
                <w:sz w:val="1"/>
                <w:szCs w:val="1"/>
                <w:color w:val="auto"/>
              </w:rPr>
            </w:pPr>
          </w:p>
        </w:tc>
      </w:tr>
      <w:tr>
        <w:trPr>
          <w:trHeight w:val="232"/>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9"/>
              </w:rPr>
              <w:t>8/1/2022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265,706</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5,051,071</w:t>
            </w:r>
          </w:p>
        </w:tc>
        <w:tc>
          <w:tcPr>
            <w:tcW w:w="0" w:type="dxa"/>
            <w:vAlign w:val="bottom"/>
          </w:tcPr>
          <w:p>
            <w:pPr>
              <w:spacing w:after="0"/>
              <w:rPr>
                <w:sz w:val="1"/>
                <w:szCs w:val="1"/>
                <w:color w:val="auto"/>
              </w:rPr>
            </w:pPr>
          </w:p>
        </w:tc>
      </w:tr>
      <w:tr>
        <w:trPr>
          <w:trHeight w:val="245"/>
        </w:trPr>
        <w:tc>
          <w:tcPr>
            <w:tcW w:w="6420" w:type="dxa"/>
            <w:vAlign w:val="bottom"/>
            <w:tcBorders>
              <w:left w:val="single" w:sz="8" w:color="02AE90"/>
              <w:bottom w:val="single" w:sz="8" w:color="02AE90"/>
            </w:tcBorders>
          </w:tcPr>
          <w:p>
            <w:pPr>
              <w:spacing w:after="0"/>
              <w:rPr>
                <w:sz w:val="21"/>
                <w:szCs w:val="21"/>
                <w:color w:val="auto"/>
              </w:rPr>
            </w:pPr>
          </w:p>
        </w:tc>
        <w:tc>
          <w:tcPr>
            <w:tcW w:w="160" w:type="dxa"/>
            <w:vAlign w:val="bottom"/>
            <w:tcBorders>
              <w:bottom w:val="single" w:sz="8" w:color="02AE90"/>
              <w:right w:val="single" w:sz="8" w:color="02AE90"/>
            </w:tcBorders>
          </w:tcPr>
          <w:p>
            <w:pPr>
              <w:spacing w:after="0"/>
              <w:rPr>
                <w:sz w:val="21"/>
                <w:szCs w:val="21"/>
                <w:color w:val="auto"/>
              </w:rPr>
            </w:pPr>
          </w:p>
        </w:tc>
        <w:tc>
          <w:tcPr>
            <w:tcW w:w="1560" w:type="dxa"/>
            <w:vAlign w:val="bottom"/>
            <w:tcBorders>
              <w:bottom w:val="single" w:sz="8" w:color="02AE90"/>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11/1/2022</w:t>
            </w:r>
          </w:p>
        </w:tc>
        <w:tc>
          <w:tcPr>
            <w:tcW w:w="15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6,649</w:t>
            </w:r>
          </w:p>
        </w:tc>
        <w:tc>
          <w:tcPr>
            <w:tcW w:w="15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157,049</w:t>
            </w:r>
          </w:p>
        </w:tc>
        <w:tc>
          <w:tcPr>
            <w:tcW w:w="0" w:type="dxa"/>
            <w:vAlign w:val="bottom"/>
          </w:tcPr>
          <w:p>
            <w:pPr>
              <w:spacing w:after="0"/>
              <w:rPr>
                <w:sz w:val="1"/>
                <w:szCs w:val="1"/>
                <w:color w:val="auto"/>
              </w:rPr>
            </w:pPr>
          </w:p>
        </w:tc>
      </w:tr>
      <w:tr>
        <w:trPr>
          <w:trHeight w:val="233"/>
        </w:trPr>
        <w:tc>
          <w:tcPr>
            <w:tcW w:w="642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Ernst Teunissen</w:t>
            </w: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2/15/2022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25,790</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731,662</w:t>
            </w:r>
          </w:p>
        </w:tc>
        <w:tc>
          <w:tcPr>
            <w:tcW w:w="0" w:type="dxa"/>
            <w:vAlign w:val="bottom"/>
          </w:tcPr>
          <w:p>
            <w:pPr>
              <w:spacing w:after="0"/>
              <w:rPr>
                <w:sz w:val="1"/>
                <w:szCs w:val="1"/>
                <w:color w:val="auto"/>
              </w:rPr>
            </w:pPr>
          </w:p>
        </w:tc>
      </w:tr>
      <w:tr>
        <w:trPr>
          <w:trHeight w:val="232"/>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5/13/2022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4,780</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109,032</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8/15/2022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4,780</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130,685</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11/15/2022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4,781</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102,887</w:t>
            </w:r>
          </w:p>
        </w:tc>
        <w:tc>
          <w:tcPr>
            <w:tcW w:w="0" w:type="dxa"/>
            <w:vAlign w:val="bottom"/>
          </w:tcPr>
          <w:p>
            <w:pPr>
              <w:spacing w:after="0"/>
              <w:rPr>
                <w:sz w:val="1"/>
                <w:szCs w:val="1"/>
                <w:color w:val="auto"/>
              </w:rPr>
            </w:pPr>
          </w:p>
        </w:tc>
      </w:tr>
      <w:tr>
        <w:trPr>
          <w:trHeight w:val="245"/>
        </w:trPr>
        <w:tc>
          <w:tcPr>
            <w:tcW w:w="6420" w:type="dxa"/>
            <w:vAlign w:val="bottom"/>
            <w:tcBorders>
              <w:left w:val="single" w:sz="8" w:color="02AE90"/>
              <w:bottom w:val="single" w:sz="8" w:color="02AE90"/>
            </w:tcBorders>
          </w:tcPr>
          <w:p>
            <w:pPr>
              <w:spacing w:after="0"/>
              <w:rPr>
                <w:sz w:val="21"/>
                <w:szCs w:val="21"/>
                <w:color w:val="auto"/>
              </w:rPr>
            </w:pPr>
          </w:p>
        </w:tc>
        <w:tc>
          <w:tcPr>
            <w:tcW w:w="160" w:type="dxa"/>
            <w:vAlign w:val="bottom"/>
            <w:tcBorders>
              <w:bottom w:val="single" w:sz="8" w:color="02AE90"/>
              <w:right w:val="single" w:sz="8" w:color="02AE90"/>
            </w:tcBorders>
          </w:tcPr>
          <w:p>
            <w:pPr>
              <w:spacing w:after="0"/>
              <w:rPr>
                <w:sz w:val="21"/>
                <w:szCs w:val="21"/>
                <w:color w:val="auto"/>
              </w:rPr>
            </w:pPr>
          </w:p>
        </w:tc>
        <w:tc>
          <w:tcPr>
            <w:tcW w:w="1560" w:type="dxa"/>
            <w:vAlign w:val="bottom"/>
            <w:tcBorders>
              <w:bottom w:val="single" w:sz="8" w:color="02AE90"/>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12/30/2022</w:t>
            </w:r>
          </w:p>
        </w:tc>
        <w:tc>
          <w:tcPr>
            <w:tcW w:w="15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62,124</w:t>
            </w:r>
          </w:p>
        </w:tc>
        <w:tc>
          <w:tcPr>
            <w:tcW w:w="15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1,109,535</w:t>
            </w:r>
          </w:p>
        </w:tc>
        <w:tc>
          <w:tcPr>
            <w:tcW w:w="0" w:type="dxa"/>
            <w:vAlign w:val="bottom"/>
          </w:tcPr>
          <w:p>
            <w:pPr>
              <w:spacing w:after="0"/>
              <w:rPr>
                <w:sz w:val="1"/>
                <w:szCs w:val="1"/>
                <w:color w:val="auto"/>
              </w:rPr>
            </w:pPr>
          </w:p>
        </w:tc>
      </w:tr>
      <w:tr>
        <w:trPr>
          <w:trHeight w:val="233"/>
        </w:trPr>
        <w:tc>
          <w:tcPr>
            <w:tcW w:w="6420" w:type="dxa"/>
            <w:vAlign w:val="bottom"/>
            <w:tcBorders>
              <w:left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Kanika Soni</w:t>
            </w: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2/15/2022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9,276</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263,160</w:t>
            </w:r>
          </w:p>
        </w:tc>
        <w:tc>
          <w:tcPr>
            <w:tcW w:w="0" w:type="dxa"/>
            <w:vAlign w:val="bottom"/>
          </w:tcPr>
          <w:p>
            <w:pPr>
              <w:spacing w:after="0"/>
              <w:rPr>
                <w:sz w:val="1"/>
                <w:szCs w:val="1"/>
                <w:color w:val="auto"/>
              </w:rPr>
            </w:pPr>
          </w:p>
        </w:tc>
      </w:tr>
      <w:tr>
        <w:trPr>
          <w:trHeight w:val="232"/>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4/14/2022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16,061</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420,798</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5/13/2022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1,221</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27,851</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8/11/2022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56,484</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1,472,538</w:t>
            </w:r>
          </w:p>
        </w:tc>
        <w:tc>
          <w:tcPr>
            <w:tcW w:w="0" w:type="dxa"/>
            <w:vAlign w:val="bottom"/>
          </w:tcPr>
          <w:p>
            <w:pPr>
              <w:spacing w:after="0"/>
              <w:rPr>
                <w:sz w:val="1"/>
                <w:szCs w:val="1"/>
                <w:color w:val="auto"/>
              </w:rPr>
            </w:pPr>
          </w:p>
        </w:tc>
      </w:tr>
      <w:tr>
        <w:trPr>
          <w:trHeight w:val="239"/>
        </w:trPr>
        <w:tc>
          <w:tcPr>
            <w:tcW w:w="6420" w:type="dxa"/>
            <w:vAlign w:val="bottom"/>
            <w:tcBorders>
              <w:left w:val="single" w:sz="8" w:color="02AE90"/>
            </w:tcBorders>
          </w:tcPr>
          <w:p>
            <w:pPr>
              <w:spacing w:after="0"/>
              <w:rPr>
                <w:sz w:val="20"/>
                <w:szCs w:val="20"/>
                <w:color w:val="auto"/>
              </w:rPr>
            </w:pPr>
          </w:p>
        </w:tc>
        <w:tc>
          <w:tcPr>
            <w:tcW w:w="160" w:type="dxa"/>
            <w:vAlign w:val="bottom"/>
            <w:tcBorders>
              <w:right w:val="single" w:sz="8" w:color="02AE90"/>
            </w:tcBorders>
          </w:tcPr>
          <w:p>
            <w:pPr>
              <w:spacing w:after="0"/>
              <w:rPr>
                <w:sz w:val="20"/>
                <w:szCs w:val="20"/>
                <w:color w:val="auto"/>
              </w:rPr>
            </w:pPr>
          </w:p>
        </w:tc>
        <w:tc>
          <w:tcPr>
            <w:tcW w:w="1560" w:type="dxa"/>
            <w:vAlign w:val="bottom"/>
            <w:tcBorders>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8/15/2022</w:t>
            </w:r>
          </w:p>
        </w:tc>
        <w:tc>
          <w:tcPr>
            <w:tcW w:w="1560" w:type="dxa"/>
            <w:vAlign w:val="bottom"/>
            <w:tcBorders>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1,221</w:t>
            </w:r>
          </w:p>
        </w:tc>
        <w:tc>
          <w:tcPr>
            <w:tcW w:w="1540" w:type="dxa"/>
            <w:vAlign w:val="bottom"/>
            <w:tcBorders>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33,382</w:t>
            </w:r>
          </w:p>
        </w:tc>
        <w:tc>
          <w:tcPr>
            <w:tcW w:w="0" w:type="dxa"/>
            <w:vAlign w:val="bottom"/>
          </w:tcPr>
          <w:p>
            <w:pPr>
              <w:spacing w:after="0"/>
              <w:rPr>
                <w:sz w:val="1"/>
                <w:szCs w:val="1"/>
                <w:color w:val="auto"/>
              </w:rPr>
            </w:pPr>
          </w:p>
        </w:tc>
      </w:tr>
      <w:tr>
        <w:trPr>
          <w:trHeight w:val="245"/>
        </w:trPr>
        <w:tc>
          <w:tcPr>
            <w:tcW w:w="6420" w:type="dxa"/>
            <w:vAlign w:val="bottom"/>
            <w:tcBorders>
              <w:left w:val="single" w:sz="8" w:color="02AE90"/>
              <w:bottom w:val="single" w:sz="8" w:color="02AE90"/>
            </w:tcBorders>
          </w:tcPr>
          <w:p>
            <w:pPr>
              <w:spacing w:after="0"/>
              <w:rPr>
                <w:sz w:val="21"/>
                <w:szCs w:val="21"/>
                <w:color w:val="auto"/>
              </w:rPr>
            </w:pPr>
          </w:p>
        </w:tc>
        <w:tc>
          <w:tcPr>
            <w:tcW w:w="160" w:type="dxa"/>
            <w:vAlign w:val="bottom"/>
            <w:tcBorders>
              <w:bottom w:val="single" w:sz="8" w:color="02AE90"/>
              <w:right w:val="single" w:sz="8" w:color="02AE90"/>
            </w:tcBorders>
          </w:tcPr>
          <w:p>
            <w:pPr>
              <w:spacing w:after="0"/>
              <w:rPr>
                <w:sz w:val="21"/>
                <w:szCs w:val="21"/>
                <w:color w:val="auto"/>
              </w:rPr>
            </w:pPr>
          </w:p>
        </w:tc>
        <w:tc>
          <w:tcPr>
            <w:tcW w:w="1560" w:type="dxa"/>
            <w:vAlign w:val="bottom"/>
            <w:tcBorders>
              <w:bottom w:val="single" w:sz="8" w:color="02AE90"/>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11/15/2022</w:t>
            </w:r>
          </w:p>
        </w:tc>
        <w:tc>
          <w:tcPr>
            <w:tcW w:w="15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1,222</w:t>
            </w:r>
          </w:p>
        </w:tc>
        <w:tc>
          <w:tcPr>
            <w:tcW w:w="15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26,297</w:t>
            </w:r>
          </w:p>
        </w:tc>
        <w:tc>
          <w:tcPr>
            <w:tcW w:w="0" w:type="dxa"/>
            <w:vAlign w:val="bottom"/>
          </w:tcPr>
          <w:p>
            <w:pPr>
              <w:spacing w:after="0"/>
              <w:rPr>
                <w:sz w:val="1"/>
                <w:szCs w:val="1"/>
                <w:color w:val="auto"/>
              </w:rPr>
            </w:pPr>
          </w:p>
        </w:tc>
      </w:tr>
      <w:tr>
        <w:trPr>
          <w:trHeight w:val="236"/>
        </w:trPr>
        <w:tc>
          <w:tcPr>
            <w:tcW w:w="642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Lindsay Nelson</w:t>
            </w:r>
          </w:p>
        </w:tc>
        <w:tc>
          <w:tcPr>
            <w:tcW w:w="160" w:type="dxa"/>
            <w:vAlign w:val="bottom"/>
            <w:tcBorders>
              <w:bottom w:val="single" w:sz="8" w:color="02AE90"/>
              <w:right w:val="single" w:sz="8" w:color="02AE90"/>
            </w:tcBorders>
          </w:tcPr>
          <w:p>
            <w:pPr>
              <w:spacing w:after="0"/>
              <w:rPr>
                <w:sz w:val="20"/>
                <w:szCs w:val="20"/>
                <w:color w:val="auto"/>
              </w:rPr>
            </w:pPr>
          </w:p>
        </w:tc>
        <w:tc>
          <w:tcPr>
            <w:tcW w:w="1560" w:type="dxa"/>
            <w:vAlign w:val="bottom"/>
            <w:tcBorders>
              <w:bottom w:val="single" w:sz="8" w:color="02AE90"/>
              <w:right w:val="single" w:sz="8" w:color="02AE90"/>
            </w:tcBorders>
          </w:tcPr>
          <w:p>
            <w:pPr>
              <w:jc w:val="center"/>
              <w:ind w:right="73"/>
              <w:spacing w:after="0"/>
              <w:rPr>
                <w:sz w:val="20"/>
                <w:szCs w:val="20"/>
                <w:color w:val="auto"/>
              </w:rPr>
            </w:pPr>
            <w:r>
              <w:rPr>
                <w:rFonts w:ascii="Times New Roman" w:cs="Times New Roman" w:eastAsia="Times New Roman" w:hAnsi="Times New Roman"/>
                <w:sz w:val="18"/>
                <w:szCs w:val="18"/>
                <w:color w:val="auto"/>
                <w:w w:val="98"/>
              </w:rPr>
              <w:t>2/15/2022</w:t>
            </w:r>
          </w:p>
        </w:tc>
        <w:tc>
          <w:tcPr>
            <w:tcW w:w="1560" w:type="dxa"/>
            <w:vAlign w:val="bottom"/>
            <w:tcBorders>
              <w:bottom w:val="single" w:sz="8" w:color="02AE90"/>
              <w:right w:val="single" w:sz="8" w:color="02AE90"/>
            </w:tcBorders>
          </w:tcPr>
          <w:p>
            <w:pPr>
              <w:jc w:val="right"/>
              <w:ind w:right="74"/>
              <w:spacing w:after="0"/>
              <w:rPr>
                <w:sz w:val="20"/>
                <w:szCs w:val="20"/>
                <w:color w:val="auto"/>
              </w:rPr>
            </w:pPr>
            <w:r>
              <w:rPr>
                <w:rFonts w:ascii="Times New Roman" w:cs="Times New Roman" w:eastAsia="Times New Roman" w:hAnsi="Times New Roman"/>
                <w:sz w:val="18"/>
                <w:szCs w:val="18"/>
                <w:color w:val="auto"/>
              </w:rPr>
              <w:t>16,089</w:t>
            </w:r>
          </w:p>
        </w:tc>
        <w:tc>
          <w:tcPr>
            <w:tcW w:w="1540" w:type="dxa"/>
            <w:vAlign w:val="bottom"/>
            <w:tcBorders>
              <w:bottom w:val="single" w:sz="8" w:color="02AE90"/>
              <w:right w:val="single" w:sz="8" w:color="02AE90"/>
            </w:tcBorders>
          </w:tcPr>
          <w:p>
            <w:pPr>
              <w:jc w:val="right"/>
              <w:ind w:right="54"/>
              <w:spacing w:after="0"/>
              <w:rPr>
                <w:sz w:val="20"/>
                <w:szCs w:val="20"/>
                <w:color w:val="auto"/>
              </w:rPr>
            </w:pPr>
            <w:r>
              <w:rPr>
                <w:rFonts w:ascii="Times New Roman" w:cs="Times New Roman" w:eastAsia="Times New Roman" w:hAnsi="Times New Roman"/>
                <w:sz w:val="18"/>
                <w:szCs w:val="18"/>
                <w:color w:val="auto"/>
              </w:rPr>
              <w:t>456,445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-3229610</wp:posOffset>
            </wp:positionV>
            <wp:extent cx="1973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103" w:lineRule="exact"/>
        <w:rPr>
          <w:sz w:val="20"/>
          <w:szCs w:val="20"/>
          <w:color w:val="auto"/>
        </w:rPr>
      </w:pPr>
    </w:p>
    <w:p>
      <w:pPr>
        <w:ind w:left="380" w:hanging="374"/>
        <w:spacing w:after="0" w:line="252" w:lineRule="auto"/>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gross number of shares acquired upon the vesting of RSUs without taking into account any shares that may have been withheld to satisfy applicable tax obligations.</w:t>
      </w:r>
    </w:p>
    <w:p>
      <w:pPr>
        <w:spacing w:after="0" w:line="60" w:lineRule="exact"/>
        <w:rPr>
          <w:rFonts w:ascii="Times New Roman" w:cs="Times New Roman" w:eastAsia="Times New Roman" w:hAnsi="Times New Roman"/>
          <w:sz w:val="14"/>
          <w:szCs w:val="14"/>
          <w:color w:val="auto"/>
        </w:rPr>
      </w:pPr>
    </w:p>
    <w:p>
      <w:pPr>
        <w:jc w:val="both"/>
        <w:ind w:left="380" w:hanging="374"/>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dollar value realized upon the vesting of RSUs calculated by multiplying the gross number of RSUs vested by the closing price of Tripadvisor common stock on The Nasdaq Stock Market on the vesting date or, if the vesting occurred on a day on which The Nasdaq Stock Market was closed for trading, the next trading day.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4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14"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We do not currently have any other defined contribution or other plan that provides for deferred compensation on a basis that is not tax-qualified for our employees.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entered into employment agreements with each of Messrs. Goldberg, Noonan, Kalvert, Kaufer and Teunissen and offer letters with Lindsay Nelson and Kanika Soni. Pursuant to these agreements, each of our named executive officers is eligible to receive certain severance payments and benefits in the event of a qualifying termination of employment. The material terms of these employment agreements are described below.</w:t>
      </w:r>
    </w:p>
    <w:p>
      <w:pPr>
        <w:spacing w:after="0" w:line="17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believe that a strong and experienced management team is essential and in the best interests of our company and our stockholders. In addition, we recognize that the possibility of a change in control could arise and that such an event could result in the departure of our senior leaders to the detriment of the Company and our stockholders. As a result, we adopted the Severance Plan applicable to certain senior leaders. The plan formalizes and standardizes our severance practices for our most senior leaders. Adoption of the Severance Plan was approved by the Compensation Committees. The Severance Plan applies to all named executive officers, including Mr. Kaufer. While the benefits are generally consistent with the severance benefits provided for in individual employment agreements, there are some differences. In addition, under the terms of the Severance Plan, in the event of any conflict or inconsistency between the terms of any employment agreement and the Severance Plan, the terms more beneficial to the officer will prevail.</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11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2023 Plan provides that, unless otherwise specified in the applicable award agreement, upon a named executive officer’s termination of employment by the Company within 30 days prior to or the two-year period following a Change in Control other than for “Cause” or “Disability,” or by the participant for “Good Reason,” as each term is defined in the plans, the following shall occur:</w:t>
      </w:r>
    </w:p>
    <w:p>
      <w:pPr>
        <w:spacing w:after="0" w:line="71" w:lineRule="exact"/>
        <w:rPr>
          <w:sz w:val="20"/>
          <w:szCs w:val="20"/>
          <w:color w:val="auto"/>
        </w:rPr>
      </w:pPr>
    </w:p>
    <w:p>
      <w:pPr>
        <w:jc w:val="both"/>
        <w:ind w:left="1140" w:hanging="370"/>
        <w:spacing w:after="0" w:line="283" w:lineRule="auto"/>
        <w:tabs>
          <w:tab w:leader="none" w:pos="1140" w:val="left"/>
        </w:tabs>
        <w:numPr>
          <w:ilvl w:val="0"/>
          <w:numId w:val="51"/>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stock options and stock appreciation rights held by such participant will automatically become fully exercisable and will remain exercisable until the later of (i) the last day on which such option or stock appreciation right is exercisable as specified in the applicable award agreement or (ii) the earlier of the first anniversary of the change in control and the expiration of the term of the option or stock appreciation right; and</w:t>
      </w:r>
    </w:p>
    <w:p>
      <w:pPr>
        <w:spacing w:after="0" w:line="52" w:lineRule="exact"/>
        <w:rPr>
          <w:rFonts w:ascii="Times New Roman" w:cs="Times New Roman" w:eastAsia="Times New Roman" w:hAnsi="Times New Roman"/>
          <w:sz w:val="17"/>
          <w:szCs w:val="17"/>
          <w:color w:val="02AE90"/>
        </w:rPr>
      </w:pPr>
    </w:p>
    <w:p>
      <w:pPr>
        <w:ind w:left="1140" w:hanging="370"/>
        <w:spacing w:after="0" w:line="275" w:lineRule="auto"/>
        <w:tabs>
          <w:tab w:leader="none" w:pos="1140" w:val="left"/>
        </w:tabs>
        <w:numPr>
          <w:ilvl w:val="0"/>
          <w:numId w:val="5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all other awards will become fully vested (with any performance-based awards being deemed met at target) and the restrictions and conditions on all other awards will automatically be deemed waived.</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Matt Goldberg Employment Arrangement</w:t>
      </w:r>
    </w:p>
    <w:p>
      <w:pPr>
        <w:spacing w:after="0" w:line="116"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On May 2, 2022, Tripadvisor, LLC entered into an employment agreement with Mr. Goldberg. The employment agreement provides that during the term of his employment:</w:t>
      </w:r>
    </w:p>
    <w:p>
      <w:pPr>
        <w:spacing w:after="0" w:line="57" w:lineRule="exact"/>
        <w:rPr>
          <w:sz w:val="20"/>
          <w:szCs w:val="20"/>
          <w:color w:val="auto"/>
        </w:rPr>
      </w:pPr>
    </w:p>
    <w:p>
      <w:pPr>
        <w:ind w:left="1140" w:hanging="370"/>
        <w:spacing w:after="0"/>
        <w:tabs>
          <w:tab w:leader="none" w:pos="1140" w:val="left"/>
        </w:tabs>
        <w:numPr>
          <w:ilvl w:val="0"/>
          <w:numId w:val="5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Goldberg will be paid an annual base salary of $800,000, which base salary will increase to $900,000 effective January 1, 2023.</w:t>
      </w:r>
    </w:p>
    <w:p>
      <w:pPr>
        <w:spacing w:after="0" w:line="111"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5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Goldberg received a signing bonus of $500,000, but he will be required to repay such amount to the Company in full if Mr. Goldberg terminates his employment with the Company by resigning without Good Reason or if the Company terminates his employment for Cause (as such terms are defined in the employment agreement) prior to Mr. Goldberg completing 12 months of employment.</w:t>
      </w:r>
    </w:p>
    <w:p>
      <w:pPr>
        <w:spacing w:after="0" w:line="7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5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For a period of no less than twelve months commencing on his start date, the Company will pay Mr. Goldberg $10,000 per month to maintain a residence within 20 miles of the Company’s Needham office.</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50" w:lineRule="auto"/>
        <w:tabs>
          <w:tab w:leader="none" w:pos="1140" w:val="left"/>
        </w:tabs>
        <w:numPr>
          <w:ilvl w:val="0"/>
          <w:numId w:val="5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Pursuant to the 2018 Plan, Mr. Goldberg received a one-time equity award of market based restricted stock units (MSUs”) with a grant date value of $3,500,000. The MSUs will vest on the third anniversary of his start date (the “Vesting Date”), based on the achievement of the following stock price hurdles: 25% vesting if the Reference Price (as defined below) is equal to or greater than $35.00 but less than $45.00, 50% of the MSUs vesting if the Reference Price is equal to or greater than $45.00 but less than $55.00; and 100% of the MSUs vesting if the reference price is equal to or greater than $55.00, subject to Mr. Goldberg remaining employed with the Company through the Vesting Date (except for certain termination events, as summarized below. Reference Price means a volume weighted average price of a share as reported on Bloomberg (or equivalent wire service) over a thirty trading day period between the first anniversary of the state date the Vesting Date, with such Reference Prices to be binary with no interpolation.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72" w:name="page73"/>
    <w:bookmarkEnd w:id="72"/>
    <w:p>
      <w:pPr>
        <w:jc w:val="both"/>
        <w:ind w:left="1140" w:hanging="370"/>
        <w:spacing w:after="0" w:line="253" w:lineRule="auto"/>
        <w:tabs>
          <w:tab w:leader="none" w:pos="1140" w:val="left"/>
        </w:tabs>
        <w:numPr>
          <w:ilvl w:val="0"/>
          <w:numId w:val="5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Goldberg will receive an award of RSUs and stock options pursuant to the 2018 Stock Plan, such awards representing annual awards for 2022 and 2023. The RSUs will have an award value of $4,762,500 and the stock options will have an award value of $4,762,500, and will each vest 25% on the first anniversary of the start date, and 6.25% on the first day of each of the next 12 quarters, such that both awards are fully vested on the fourth anniversary of the start date, in each case, subject to Mr. Goldberg remaining employed with the Company through the applicable vesting date (except for certain termination events summarized below.</w:t>
      </w:r>
    </w:p>
    <w:p>
      <w:pPr>
        <w:spacing w:after="0" w:line="77"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5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Goldberg will be eligible for an annual bonus, subject to achievement of individual and corporate objectives to be established and to approval of the Company’s Compensation Committee, with a target of 100% of base salary. For 2022 only, Mr. Goldberg will receive a minimum bonus amount of $800,000 that will be pro rated based on his start date.</w:t>
      </w:r>
    </w:p>
    <w:p>
      <w:pPr>
        <w:spacing w:after="0" w:line="71" w:lineRule="exact"/>
        <w:rPr>
          <w:rFonts w:ascii="Times New Roman" w:cs="Times New Roman" w:eastAsia="Times New Roman" w:hAnsi="Times New Roman"/>
          <w:sz w:val="18"/>
          <w:szCs w:val="18"/>
          <w:color w:val="02AE90"/>
        </w:rPr>
      </w:pPr>
    </w:p>
    <w:p>
      <w:pPr>
        <w:jc w:val="both"/>
        <w:ind w:left="1140" w:hanging="370"/>
        <w:spacing w:after="0" w:line="283" w:lineRule="auto"/>
        <w:tabs>
          <w:tab w:leader="none" w:pos="1140" w:val="left"/>
        </w:tabs>
        <w:numPr>
          <w:ilvl w:val="0"/>
          <w:numId w:val="53"/>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Beginning in 2024, Mr. Goldberg will be eligible for annual equity grants pursuant to the Company’s 2023 Plan, with an annual target award value of $6,350,000 in a combination of RSUs, stock options and/or other forms of equity award, subject to achievement of individual and corporate objectives and other terms and conditions, including with respect to vesting, approval by the Company’s Compensation Committee.</w:t>
      </w:r>
    </w:p>
    <w:p>
      <w:pPr>
        <w:spacing w:after="0" w:line="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Goldberg will participate in the Tripadvisor, Inc. Executive Severance Plan (the “Severance Plan”) and, as such, is eligible to receive severance benefits pursuant to the Severance Plan under certain circumstances, including involuntary termination of employment by the Company without Cause, outside of a Change in Control or an involuntary termination of his employment by the Company without Cause or by Mr. Goldberg for Good Reason in connection with such Change in Control, as each of those terms is used in the Severance Plan. In addition to the benefits that he would otherwise be entitled to under the Severance Plan, Mr. Goldberg will be entitled to the following rights and benefits:</w:t>
      </w:r>
    </w:p>
    <w:p>
      <w:pPr>
        <w:spacing w:after="0" w:line="78" w:lineRule="exact"/>
        <w:rPr>
          <w:sz w:val="20"/>
          <w:szCs w:val="20"/>
          <w:color w:val="auto"/>
        </w:rPr>
      </w:pPr>
    </w:p>
    <w:p>
      <w:pPr>
        <w:ind w:left="1140" w:hanging="370"/>
        <w:spacing w:after="0" w:line="275" w:lineRule="auto"/>
        <w:tabs>
          <w:tab w:leader="none" w:pos="1140" w:val="left"/>
        </w:tabs>
        <w:numPr>
          <w:ilvl w:val="0"/>
          <w:numId w:val="5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the case of the termination of his employment due to his death, payment of his 2022 annual bonus (if not paid) and the full acceleration of any outstanding and unvested equity awards, with the Reference Price for the MSUs being deemed to be achieved at 100%;</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52" w:lineRule="auto"/>
        <w:tabs>
          <w:tab w:leader="none" w:pos="1140" w:val="left"/>
        </w:tabs>
        <w:numPr>
          <w:ilvl w:val="0"/>
          <w:numId w:val="5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the case of the termination of his employment without Cause or for Good Reason (as such terms are defined in the employment agreement), not in connection with a Change in Control (as such term is defined in the Severance Plan), (A) the Company will consider in good faith the payment of an annual bonus on a pro rata basis for the year in which the termination of employment occurs, and (B) all equity awards that are outstanding and unvested at the time of such termination but which would but for termination of employment have vested during the 18 month following such termination shall vest as of the date of such termination (including on a pro-rata basis for cliff vesting), subject to the achievement of any performance conditions applicable to such equity awards (including the PSUs); and</w:t>
      </w:r>
    </w:p>
    <w:p>
      <w:pPr>
        <w:spacing w:after="0" w:line="77"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54"/>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the case of death or a termination of employment by the Company without Cause or by Mr. Goldberg for Good Reason outside of a Change in Control (as such terms are defined in the Letter Agreement), any vested stock options (including pursuant to any acceleration provisions) shall remain exercisable through the date that is 18 months following the date of any termination of his employment.</w:t>
      </w:r>
    </w:p>
    <w:p>
      <w:pPr>
        <w:spacing w:after="0" w:line="28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Mr. Goldberg has agreed to be restricted from competing with the Company or any of its subsidiaries or affiliates, or soliciting their employees, consultants, independent contractors, customers, suppliers or business partners, among others, from the Effective Date through 12 months after the termination of employment.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Michael Noonan Employment Arrangement</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October 10, 2022, Tripadvisor, LLC entered into an employment letter agreement with Mr. Noonan. The employment letter agreement, provides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3" w:lineRule="exact"/>
        <w:rPr>
          <w:sz w:val="20"/>
          <w:szCs w:val="20"/>
          <w:color w:val="auto"/>
        </w:rPr>
      </w:pPr>
    </w:p>
    <w:p>
      <w:pPr>
        <w:ind w:left="1140" w:hanging="370"/>
        <w:spacing w:after="0"/>
        <w:tabs>
          <w:tab w:leader="none" w:pos="1140" w:val="left"/>
        </w:tabs>
        <w:numPr>
          <w:ilvl w:val="0"/>
          <w:numId w:val="5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During his employment, Mr. Noonan will be paid an annual base salary of $525,000.</w:t>
      </w:r>
    </w:p>
    <w:p>
      <w:pPr>
        <w:spacing w:after="0" w:line="111" w:lineRule="exact"/>
        <w:rPr>
          <w:rFonts w:ascii="Times New Roman" w:cs="Times New Roman" w:eastAsia="Times New Roman" w:hAnsi="Times New Roman"/>
          <w:sz w:val="18"/>
          <w:szCs w:val="18"/>
          <w:color w:val="02AE90"/>
        </w:rPr>
      </w:pPr>
    </w:p>
    <w:p>
      <w:pPr>
        <w:jc w:val="both"/>
        <w:ind w:left="1140" w:hanging="370"/>
        <w:spacing w:after="0" w:line="255" w:lineRule="auto"/>
        <w:tabs>
          <w:tab w:leader="none" w:pos="1140" w:val="left"/>
        </w:tabs>
        <w:numPr>
          <w:ilvl w:val="0"/>
          <w:numId w:val="5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Noonan received a signing bonus of $400,000 payable in January 2023 but will be required to repay such amount to the Company in full if Mr. Noonan terminate his employment with the Company due to his death, resigns without Good Reason (as defined in the employment agreement) or if the Company terminates his employment for Cause (as defined in the Severance Plan) prior to completing 12 months of employment from his start date.</w:t>
      </w:r>
    </w:p>
    <w:p>
      <w:pPr>
        <w:spacing w:after="0" w:line="76" w:lineRule="exact"/>
        <w:rPr>
          <w:rFonts w:ascii="Times New Roman" w:cs="Times New Roman" w:eastAsia="Times New Roman" w:hAnsi="Times New Roman"/>
          <w:sz w:val="18"/>
          <w:szCs w:val="18"/>
          <w:color w:val="02AE90"/>
        </w:rPr>
      </w:pPr>
    </w:p>
    <w:p>
      <w:pPr>
        <w:jc w:val="both"/>
        <w:ind w:left="1140" w:hanging="370"/>
        <w:spacing w:after="0" w:line="251" w:lineRule="auto"/>
        <w:tabs>
          <w:tab w:leader="none" w:pos="1140" w:val="left"/>
        </w:tabs>
        <w:numPr>
          <w:ilvl w:val="0"/>
          <w:numId w:val="5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Noonan received a one-time equity award pursuant to the 2018 Plan with an aggregate grant date value of $2,750,000. Of such award, $916,667 was issued in form of RSUs, $916,667 was issued in the form of MSUs and $916,667 was issued in the form of Options. The MSUs will vest on the third anniversary of the grant date (the “Vesting Date”) based on achievement of the following stock price hurdles: 25% of the MSUs vesting if the Reference Price (as defined below) is equal to or greater than $35.00 but less than $45.00; 50% of the MSUs vesting if the Reference Price is equal to or greater than $45.00 but less than $55.00; and 100% of the MSUs vesting if the Reference Price is equal to or greater than $55.00, subject to Mr. Noonan remaining employed with the Company through the Vesting Date except for certain termination events, as summarized below). Reference Price means a volume weighted average price of a share as reported on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jc w:val="both"/>
        <w:ind w:left="1140"/>
        <w:spacing w:after="0" w:line="253" w:lineRule="auto"/>
        <w:rPr>
          <w:sz w:val="20"/>
          <w:szCs w:val="20"/>
          <w:color w:val="auto"/>
        </w:rPr>
      </w:pPr>
      <w:r>
        <w:rPr>
          <w:rFonts w:ascii="Times New Roman" w:cs="Times New Roman" w:eastAsia="Times New Roman" w:hAnsi="Times New Roman"/>
          <w:sz w:val="18"/>
          <w:szCs w:val="18"/>
          <w:color w:val="auto"/>
        </w:rPr>
        <w:t>Bloomberg (or equivalent wire service) over a thirty trading day period between the first anniversary of the grant date and the Vesting Date, such Reference Prices to be binary with no interpolation. Both RSU and Option awards will vest 25% on the first anniversary of the grant date, and 6.25% will vest quarterly thereafter, subject to earlier forfeiture in the event of his separation of employment for any reason by Mr. Noonan or by the Company. The Options shall have an exercise price per share equal to the closing price of the shares of common stock on the grant date.</w:t>
      </w:r>
    </w:p>
    <w:p>
      <w:pPr>
        <w:spacing w:after="0" w:line="78" w:lineRule="exact"/>
        <w:rPr>
          <w:sz w:val="20"/>
          <w:szCs w:val="20"/>
          <w:color w:val="auto"/>
        </w:rPr>
      </w:pPr>
    </w:p>
    <w:p>
      <w:pPr>
        <w:jc w:val="both"/>
        <w:ind w:left="1140" w:hanging="370"/>
        <w:spacing w:after="0" w:line="253" w:lineRule="auto"/>
        <w:tabs>
          <w:tab w:leader="none" w:pos="1140" w:val="left"/>
        </w:tabs>
        <w:numPr>
          <w:ilvl w:val="0"/>
          <w:numId w:val="5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In the first quarter of 2023, at the same time that the Company awarded its annual equity grants to employees pursuant to the 2018 Plan and as part of the Company’s long-term equity incentive program, Mr. Noonan will receive another award of equity award pursuant to the 2018 Plan, with a target aggregate grant date value for 2023 in the amount of $2,750,000 (the “Annual Grant”). Vesting of the Annual Grant will be in the same form, subject the same vesting schedule and subject to the achievement of the same individual and Company performance metrics as the Company provides for its other senior executives.</w:t>
      </w:r>
    </w:p>
    <w:p>
      <w:pPr>
        <w:spacing w:after="0" w:line="77"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5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During his employment, Mr. Noonan will be eligible for an annual bonus, subject to achievement of individual and corporate objectives to be established and to the approval of the Company’s Compensation Committee, with a target of 80% of base salary. For 2022, Mr. Noonan will receive a pro-rated bonus in an amount no less than $100,000.</w:t>
      </w:r>
    </w:p>
    <w:p>
      <w:pPr>
        <w:spacing w:after="0" w:line="71" w:lineRule="exact"/>
        <w:rPr>
          <w:rFonts w:ascii="Times New Roman" w:cs="Times New Roman" w:eastAsia="Times New Roman" w:hAnsi="Times New Roman"/>
          <w:sz w:val="18"/>
          <w:szCs w:val="18"/>
          <w:color w:val="02AE90"/>
        </w:rPr>
      </w:pPr>
    </w:p>
    <w:p>
      <w:pPr>
        <w:jc w:val="both"/>
        <w:ind w:left="1140" w:hanging="370"/>
        <w:spacing w:after="0" w:line="299" w:lineRule="auto"/>
        <w:tabs>
          <w:tab w:leader="none" w:pos="1140" w:val="left"/>
        </w:tabs>
        <w:numPr>
          <w:ilvl w:val="0"/>
          <w:numId w:val="56"/>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Beginning in 2024, Mr. Noonan will be eligible for annual equity grants pursuant to the Company’s 2023 Plan, with an annual target award value of $2,750,000 in a combination of RSUs, Options and/or other forms of equity award, subject to achievement of individual and corporate objectives and other terms and conditions, including with respect to vesting, approval by the Company’s Compensation Committee.</w:t>
      </w:r>
    </w:p>
    <w:p>
      <w:pPr>
        <w:spacing w:after="0" w:line="39" w:lineRule="exact"/>
        <w:rPr>
          <w:rFonts w:ascii="Times New Roman" w:cs="Times New Roman" w:eastAsia="Times New Roman" w:hAnsi="Times New Roman"/>
          <w:sz w:val="17"/>
          <w:szCs w:val="17"/>
          <w:color w:val="02AE90"/>
        </w:rPr>
      </w:pPr>
    </w:p>
    <w:p>
      <w:pPr>
        <w:jc w:val="both"/>
        <w:ind w:left="1140" w:hanging="370"/>
        <w:spacing w:after="0" w:line="252" w:lineRule="auto"/>
        <w:tabs>
          <w:tab w:leader="none" w:pos="1140" w:val="left"/>
        </w:tabs>
        <w:numPr>
          <w:ilvl w:val="0"/>
          <w:numId w:val="56"/>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Noonan will participate in the Severance Plan and, as such, is eligible to receive severance benefits pursuant to the Severance Plan under certain circumstances, including involuntary termination of employment by the Company without Cause, not in connection with a Change in Control (as such term is defined in the Severance Plan), and the involuntary termination of his employment by the Company without Cause or resignation by him for Good Reason (as each such term is defined in the Severance Plan). In addition, Mr. Noonan is eligible to receive severance benefits in the event he resigns for Good Reason (as defined in the employment agreement) not in connection with a Change in Control.</w:t>
      </w:r>
    </w:p>
    <w:p>
      <w:pPr>
        <w:spacing w:after="0" w:line="290"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Mr. Noonan has agreed to be restricted from competing with the Company or any of its subsidiaries or affiliates, or soliciting their employees, consultants, independent contractors, customers, suppliers or business partners, among others, from his start date through the 12-month period after a termination of his service with the Company. The non-compete will not apply if Mr. Noonan’s employment is terminated by the Company without cause or in connection with a position elimination or layoff. All post-employment restrictions will be extended to 24 months if Mr. Noonan breaches his fiduciary duty to the Company or unlawfully takes, physically or electronically, property belonging to the Company or any of its parents, subsidiaries, divisions or units.</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Seth J. Kalvert Employment Arrangement</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Effective May 19, 2016, the Company entered into an employment agreement with Mr. Kalvert that is subject to a two-year term, although this agreement was amended effective February 19, 2018 to, among other things, extend the term to March 31, 2021. Effective March 29, 2021, Mr. Kalvert’s employment agreement was replaced and superseded in its entirety by a new letter agreement. The terms of the new letter agreement are generally consistent with those originally provided for in the employment agreement and are described below.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employment arrangement with Mr. Kalvert, in the event that he terminates his employment for Good Reason or is terminated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without Cause (in each case as such terms are defined in the employment agreement and as set forth below), then:</w:t>
      </w:r>
    </w:p>
    <w:p>
      <w:pPr>
        <w:spacing w:after="0" w:line="93" w:lineRule="exact"/>
        <w:rPr>
          <w:sz w:val="20"/>
          <w:szCs w:val="20"/>
          <w:color w:val="auto"/>
        </w:rPr>
      </w:pPr>
    </w:p>
    <w:p>
      <w:pPr>
        <w:ind w:left="1140" w:hanging="370"/>
        <w:spacing w:after="0" w:line="275" w:lineRule="auto"/>
        <w:tabs>
          <w:tab w:leader="none" w:pos="1140" w:val="left"/>
        </w:tabs>
        <w:numPr>
          <w:ilvl w:val="0"/>
          <w:numId w:val="5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Company will continue to pay his base salary for 12 months following the termination date, provided that such payments will be offset by any amount earned from another employer during such time period;</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5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Company will consider in good faith the payment of bonuses on a pro rata basis based on actual performance for the year in which termination of employment occurs;</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5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Company will pay COBRA health insurance coverage for Mr. Kalvert and his eligible dependents until the earlier of 12 months following termination or the date Mr. Kalvert becomes re-employed or otherwise ineligible for COBRA coverage;</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5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All equity awards held by Mr. Kalvert that otherwise would have vested during the later of the 12-month period following termination of his employment or August 31, 2022, will accelerate and become fully vested and exercisable (provided that equity awards that vest less frequently than annually shall be treated as though such awards vested annually); and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ind w:left="1140" w:hanging="370"/>
        <w:spacing w:after="0" w:line="275" w:lineRule="auto"/>
        <w:tabs>
          <w:tab w:leader="none" w:pos="1140" w:val="left"/>
        </w:tabs>
        <w:numPr>
          <w:ilvl w:val="0"/>
          <w:numId w:val="5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Kalvert will have 18 months following such date of termination of employment to exercise any vested stock options (including stock options accelerated pursuant to the terms of his employment agreement) or, if earlier, through the scheduled expiration date of the options.</w:t>
      </w:r>
    </w:p>
    <w:p>
      <w:pPr>
        <w:spacing w:after="0" w:line="16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his employment terminates by reason of his death, Mr. Kalvert will be entitled to continued payment of base salary through the end of the month in which such death occurs. In the event Mr. Kalvert is absent from full-time performance of his duties due to disability, the Company will continue to pay, through the termination of employment, Mr. Kalvert’s base salary offset by any amounts payable during such period under any disability insurance plan or policy provided by the Company. In addition, any outstanding equity awards will continue to vest during such period and until his termination of employment.</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Receipt of the severance payments and benefits set forth above is contingent upon Mr. Kalvert executing and not revoking a separation and release in favor of the Company. In addition, Mr. Kalvert agreed to be restricted from competing with the Company or any of its subsidiaries or affiliates or soliciting their employees, consultants, independent contractors, customers, suppliers or business partners, among others, through one year after the effective date of the termination of employment.</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Stephen Kaufer Employment Arrangement</w:t>
      </w:r>
    </w:p>
    <w:p>
      <w:pPr>
        <w:spacing w:after="0" w:line="116"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In March 2014, Tripadvisor, LLC entered into an employment agreement with Mr. Kaufer, with an original term of five years. This agreement was amended effective November 28, 2017 to, among other things, extend the term to March 31, 2023.</w:t>
      </w:r>
    </w:p>
    <w:p>
      <w:pPr>
        <w:spacing w:after="0" w:line="5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light of Mr. Kaufer's retirement announcement, on May 3, 2022, the Company entered into a Consulting Services Agreement with Mr. Kaufer, Co-Founder, President and Chief Executive Officer of the Company, in order to facilitate an orderly transition to Mr. Goldberg, the successor President and Chief Executive Officer. Mr. Kaufer will step down from his role as President and Chief Executive Officer of the Company concurrently with Mr. Goldberg joining the Company in such role. The term of the Consulting Services Agreement shall commence on July 2, 2022 and continue until July 1, 2024. Pursuant to such agreement, Mr. Kaufer will continue to provide strategic advisory and consulting services to Mr. Goldberg, or other senior executives of the Company or members of the Tripadvisor Board of Directors. Mr. Kaufer also agreed to continue to comply with certain restrictive covenants regarding nondisclosure, developments and non-competition.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consideration for such agreements and the provision of the services described in the Consulting Services Agreement, the Company agreed that:</w:t>
      </w:r>
    </w:p>
    <w:p>
      <w:pPr>
        <w:spacing w:after="0" w:line="112" w:lineRule="exact"/>
        <w:rPr>
          <w:sz w:val="20"/>
          <w:szCs w:val="20"/>
          <w:color w:val="auto"/>
        </w:rPr>
      </w:pPr>
    </w:p>
    <w:p>
      <w:pPr>
        <w:ind w:left="1140" w:right="20" w:hanging="370"/>
        <w:spacing w:after="0" w:line="275" w:lineRule="auto"/>
        <w:tabs>
          <w:tab w:leader="none" w:pos="1140" w:val="left"/>
        </w:tabs>
        <w:numPr>
          <w:ilvl w:val="0"/>
          <w:numId w:val="5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Certain unvested equity awards granted to Mr. Kaufer, that would otherwise be forfeited, shall continue to vest during the term of the Consulting Services Agreement in their normal course in accordance with the terms of the award documents, and</w:t>
      </w:r>
    </w:p>
    <w:p>
      <w:pPr>
        <w:spacing w:after="0" w:line="56"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59"/>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All vested stock options shall expire either 90 days from the termination of the Consulting Services Agreement or upon the original expiration date, whichever is earlier</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Ernst Teunissen Employment Arrangement</w:t>
      </w:r>
    </w:p>
    <w:p>
      <w:pPr>
        <w:spacing w:after="0" w:line="11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On October 6, 2015, the Company entered into an agreement with Mr. Teunissen, effective November 9, 2015. Such employment agreement commenced on November 9, 2015 and was to expire on March 31, 2018, unless sooner terminated in accordance with its terms. This agreement was amended effective November 28, 2017 to, among other things, extend the term to March 31, 2021. This agreement was amended again on May 8, 2020, to, among other things, extend the term to May 31, 2022 and provide for a target payment, to be paid in cash or shares of the Company’s common stock (in the Company’s sole discretion), in an amount equal to the difference between a maximum payment of $7 million and the aggregate intrinsic value of Mr. Teunissen’s equity awards that were scheduled to vest between May 1, 2020 and May 31, 2022, as measured using the average market price of the Company’s common stock for the ten trading days immediately prior to May 31, 2022.</w:t>
      </w:r>
    </w:p>
    <w:p>
      <w:pPr>
        <w:spacing w:after="0" w:line="78"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Following Mr. Teunissen resignation from the Company, on October 10, 2022, the Company entered into a Transition Services Agreement (the “Transition Services Agreement”) with Mr. Teunissen, Senior Vice President and Chief Financial Officer of the Company, in order to facilitate an orderly transition to Mr. Noonan, the successor Chief Financial Officer. Mr. Teunissen will step down from his role as Chief Financial Officer of the Company concurrently with Mr. Noonan joining the Company in such role but will remain as Senior Vice President and Chief Executive of Viator, TheFork and Cruise Critic through January 1, 2023 (the “Transition Period”) and facilitate the transition to the Company’s new Chief Financial Officer. Pursuant to the Transition Services Agreement, Mr. Teunissen will continue to provide strategic advisory and consulting services to the Company’s Chief Executive Officer on key strategy and finance initiatives, as well as facilitate the transition of the Company’s new Chief Financial Officer. Mr. Teunissen also agreed to continue to comply with certain restrictive covenants regarding nondisclosure, developments and non-competition. In consideration for such agreements and the provision of the services described in the Transition Services Agreement, the Company agreed as follows:</w:t>
      </w:r>
    </w:p>
    <w:p>
      <w:pPr>
        <w:spacing w:after="0" w:line="86" w:lineRule="exact"/>
        <w:rPr>
          <w:sz w:val="20"/>
          <w:szCs w:val="20"/>
          <w:color w:val="auto"/>
        </w:rPr>
      </w:pPr>
    </w:p>
    <w:p>
      <w:pPr>
        <w:jc w:val="center"/>
        <w:ind w:left="5540" w:right="880" w:hanging="4770"/>
        <w:spacing w:after="0" w:line="398" w:lineRule="auto"/>
        <w:tabs>
          <w:tab w:leader="none" w:pos="1149" w:val="left"/>
        </w:tabs>
        <w:numPr>
          <w:ilvl w:val="0"/>
          <w:numId w:val="6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Teunissen’s annual compensation and benefits shall continue, as they currently exist, through the end of the Transition Period;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jc w:val="both"/>
        <w:ind w:left="1140" w:hanging="370"/>
        <w:spacing w:after="0" w:line="255" w:lineRule="auto"/>
        <w:tabs>
          <w:tab w:leader="none" w:pos="1140" w:val="left"/>
        </w:tabs>
        <w:numPr>
          <w:ilvl w:val="0"/>
          <w:numId w:val="6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Although Mr. Teunissen will not be employed by the Company on the date the Company will pay out its annual bonuses for the fiscal year ended December 31, 2022 pursuant to the Stock Plan, Mr. Teunissen shall nonetheless be entitled to receive an annual bonus for the fiscal year 2022, based on actual performance (including previously established individual and Company performance metrics), provided that Mr. Teunissen does not resign and the Company does not terminate his employment for cause prior to the end of the Transition Period.</w:t>
      </w:r>
    </w:p>
    <w:p>
      <w:pPr>
        <w:spacing w:after="0" w:line="7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6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Mr. Teunissen’s equity awards will continue to vest through the Transition Period in their normal course in accordance with the terms of the award documents.</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52" w:lineRule="auto"/>
        <w:tabs>
          <w:tab w:leader="none" w:pos="1140" w:val="left"/>
        </w:tabs>
        <w:numPr>
          <w:ilvl w:val="0"/>
          <w:numId w:val="6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At the end of the Transition Period, Mr. Teunissen’s equity awards that are time-based and that are outstanding and unvested as of the end of the Transition Period, but that would have vested from January 2, 2023 through May 30, 2023 had Mr. Teunissen’s employment continued through this period, shall accelerate and vest as of January 1, 2023. In the case of Mr. Teunissen’s PSUs, vesting will be based on actual performance through December 31, 2022 in accordance with the terms of the award documents. Stock options that have vested, including those through acceleration, shall remain exercisable through the date that is the earlier of (1) December 31, 2024 or (2) the expiration date of the relevant stock option.</w:t>
      </w:r>
    </w:p>
    <w:p>
      <w:pPr>
        <w:spacing w:after="0" w:line="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During the Transition Period, it is contemplated that Mr. Teunissen will enter into a Consulting Agreement with the Company pursuant to which he will continue to provide consulting services, including facilitating a smooth CFO transition, from January through March 2023.</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Kanika Soni Employment Arrangement</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 2019, the Company entered into an offer letter with Ms. Soni with a start date effective April 15, 2019. Pursuant to the offer letter, Ms. Soni is entitled to the benefits of the Company’s Severance Plan for senior leaders as described in more detail below. Simultaneous with entering into the new offer letter, Ms. Soni entered into a Non-Disclosure, Developments and Non-Competition Agreement, pursuant to which Ms. Soni agreed to be restricted from competing with Tripadvisor or any of its subsidiaries or affiliates or soliciting their employees, consultants, independent contractors, customers, suppliers or business partners, among others, through one year after the effective date of the termination of employment.</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28, 2022, the Company and Ms. Soni agreed that Ms. Soni would leave her position as Chief Commercial Officer of the Company, effective January 15, 2023. During the period from January 16, 2023 through April 1, 2023, Ms. Soni will serve as an Advisor to the Company’s Chief Executive Officer working on such projects as determined by him. For purposes of the Company’s Executive Severance Plan and Summary Plan Description (the “Severance Plan”), Ms. Soni’s departure will be treated as a termination of employment without Cause, as defined in the Severance Plan, as of April 1, 2023 (the “Termination Date”).</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consideration for such service, through the Termination Date, Ms. Soni shall:</w:t>
      </w:r>
    </w:p>
    <w:p>
      <w:pPr>
        <w:spacing w:after="0" w:line="112" w:lineRule="exact"/>
        <w:rPr>
          <w:sz w:val="20"/>
          <w:szCs w:val="20"/>
          <w:color w:val="auto"/>
        </w:rPr>
      </w:pPr>
    </w:p>
    <w:p>
      <w:pPr>
        <w:ind w:left="1140" w:hanging="370"/>
        <w:spacing w:after="0"/>
        <w:tabs>
          <w:tab w:leader="none" w:pos="1140" w:val="left"/>
        </w:tabs>
        <w:numPr>
          <w:ilvl w:val="0"/>
          <w:numId w:val="6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Continue to receive her current base salary;</w:t>
      </w:r>
    </w:p>
    <w:p>
      <w:pPr>
        <w:spacing w:after="0" w:line="111"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6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Continue to be eligible to participate in the employee benefit plans made available by the Company to its employees, including vacation and sick time;</w:t>
      </w:r>
    </w:p>
    <w:p>
      <w:pPr>
        <w:spacing w:after="0" w:line="56"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62"/>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Continue to remain eligible to vest in outstanding awards under the Company’s 2018 Stock and Annual Incentive Plan, as amended (the “Stock Plan”); and</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83" w:lineRule="auto"/>
        <w:tabs>
          <w:tab w:leader="none" w:pos="1140" w:val="left"/>
        </w:tabs>
        <w:numPr>
          <w:ilvl w:val="0"/>
          <w:numId w:val="62"/>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Receive a 2022 corporate bonus payout based on actual performance, such bonus to be calculated in the same manner as 2022 earned corporate bonuses are calculated for the Company’s employees generally and to be paid, less required withholding taxes or other similar governmental payments or charges, at the same time that the 2022 earned corporate bonuses are paid to the Company’s employees generally.</w:t>
      </w:r>
    </w:p>
    <w:p>
      <w:pPr>
        <w:spacing w:after="0" w:line="52"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In addition to the benefits mentioned above, Ms. Soni’s equity awards issued pursuant to the Stock Plan (e.g. restricted stock units, stock options or similar instruments), that are time-based and that are outstanding and unvested as of the Termination Date, but that would have vested from April 2, 2023 through April 1, 2024 had Ms. Soni’s employment continued through this period, shall accelerate and vest as of the Termination Date. Consistent with the Severance Plan, Ms. Soni will receive continued base salary payments for the twelve-month period following the Termination Date (which are subject to offset by any amount earned from a subsequent employer), and up to twelve months of payments of the Company’s portion of COBRA premiums for health insurance plan continuation coverage. The restricted stock units will settle in accordance with the terms of their respective award agreement. Stock options that have vested as of the Termination Date, including those with accelerated vesting as described above, shall remain exercisable through the date that is the earlier of (i) the date that is eighteen (18) months following the Termination Date or (ii) the expiration date of the relevant stock option. Ms. Soni’s severance benefits are conditioned on her execution and non-revocation of a general release of claims in favor of the Company at the time she initially executes the separation agreement and on the Termination Date, and the continued compliance with certain restrictive covenant obligations, including non-disparagement and non-solicitation covenants.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Lindsay Nelson Employment Arrangement</w:t>
      </w:r>
    </w:p>
    <w:p>
      <w:pPr>
        <w:spacing w:after="0" w:line="11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On September 25, 2018, the Company entered into an offer letter with Ms. Nelson with a start date effective November 5, 2018. Pursuant to the employment arrangement, Ms. Nelson is entitled to the benefits of the Company’s Severance Plan for senior leaders as described in more detail below. Simultaneously with entering into the new offer letter, Ms. Nelson entered into a Non-Disclosure, Developments and Non-Competition Agreement, pursuant to which Ms. Nelson agreed to be restricted from competing with Tripadvisor or any of its subsidiaries or affiliates or soliciting their employees, consultants, independent contractors, customers, suppliers or business partners, among others, through one year after the effective date of the termination of employment.</w:t>
      </w:r>
    </w:p>
    <w:p>
      <w:pPr>
        <w:spacing w:after="0" w:line="6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Effective November 16, 2021, the Company and Ms. Nelson entered into a Separation Agreement pursuant to which they agreed that Ms. Nelson would leave her position as Chief Brand and Marketing Officer of the Company effective January 9, 2022. Thereafter, Ms. Nelson served the Company in an advisory role through February 28, 2022. The Separation Agreement provided that, for purposes of the Company’s Severance Plan, Ms. Nelson’s departure was treated as a termination of employment without Cause as of January 9, 2022. In addition to the benefits to which Ms. Nelson is entitled under these circumstances pursuant to Section 3.1 of the Severance Plan, Ms. Nelson also received the following benefits:</w:t>
      </w:r>
    </w:p>
    <w:p>
      <w:pPr>
        <w:spacing w:after="0" w:line="78" w:lineRule="exact"/>
        <w:rPr>
          <w:sz w:val="20"/>
          <w:szCs w:val="20"/>
          <w:color w:val="auto"/>
        </w:rPr>
      </w:pPr>
    </w:p>
    <w:p>
      <w:pPr>
        <w:jc w:val="both"/>
        <w:ind w:left="1140" w:hanging="370"/>
        <w:spacing w:after="0" w:line="252" w:lineRule="auto"/>
        <w:tabs>
          <w:tab w:leader="none" w:pos="1140" w:val="left"/>
        </w:tabs>
        <w:numPr>
          <w:ilvl w:val="0"/>
          <w:numId w:val="6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During the period from January 10, 2022 through February 28, 2022 (the “Transition Period”), Ms. Nelson continued to serve as a part-time employee of the Company working on such projects as determined by the Company’s Chief Executive Officer. In consideration for such service, during the Transition Period, Ms. Nelson (i) received a reduced salary of $2,000 bi-weekly; (ii) continued to be eligible to participate in the employee benefit plans made available by the Company to its employees, including vacation and sick time; and (iii) was treated as an employee for purposes of the 2018 Plan. Following the Transition Period, all issued but unvested equity awards held by Ms. Nelson were canceled.</w:t>
      </w:r>
    </w:p>
    <w:p>
      <w:pPr>
        <w:spacing w:after="0" w:line="77" w:lineRule="exact"/>
        <w:rPr>
          <w:rFonts w:ascii="Times New Roman" w:cs="Times New Roman" w:eastAsia="Times New Roman" w:hAnsi="Times New Roman"/>
          <w:sz w:val="18"/>
          <w:szCs w:val="18"/>
          <w:color w:val="02AE90"/>
        </w:rPr>
      </w:pPr>
    </w:p>
    <w:p>
      <w:pPr>
        <w:jc w:val="both"/>
        <w:ind w:left="1140" w:hanging="370"/>
        <w:spacing w:after="0" w:line="253" w:lineRule="auto"/>
        <w:tabs>
          <w:tab w:leader="none" w:pos="1140" w:val="left"/>
        </w:tabs>
        <w:numPr>
          <w:ilvl w:val="0"/>
          <w:numId w:val="63"/>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The Company also agreed to consider in good faith the payment of an annual bonus based on actual performance for 2021; such amount to be paid (if any) and calculated in the same manner as 2021 earned corporate bonuses are calculated for the Company’s employees generally and at the same time as 2021 earned corporate bonuses are paid to the Company’s employees and will be subject to the approval of the Compensation Committee of the Board. As described above, the Compensation Committees ultimately determined to pay Ms. Nelson an annual bonus for 2021 in the amount of $192,780.</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such termination, Ms. Nelson executed a separation and release in favor of Tripadvisor.</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116"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Under the terms of the employment arrangements, 2018 Plan and Severance Plan, except as otherwise indicated, the following terms have the following meanings:</w:t>
      </w:r>
    </w:p>
    <w:p>
      <w:pPr>
        <w:spacing w:after="0" w:line="5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Cause means: (i) the plea of guilty or nolo contendere to, or conviction for, a felony offense by the executive; provided, however, that after indictment, Tripadvisor may suspend the executive from rendition of services but without limiting or modifying in any other way Tripadvisor’s obligations under the applicable employment agreement, (ii) a material breach by the executive of a fiduciary duty owed to Tripadvisor or its subsidiaries, (iii) material breach by the executive of certain covenants of the applicable employment agreement, (iv) the willful or gross neglect by the executive of the material duties required by the applicable employment agreement or (v) a knowing and material violation by the executive of any Tripadvisor policy pertaining to ethics, legal compliance, wrongdoing or conflicts of interest that, in the cases of the conduct described in clauses (iv) and (v) above, if curable, is not cured by the executive within 30 days after the executive is provided with written notice thereof.</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 in Control means any of the following events:</w:t>
      </w:r>
    </w:p>
    <w:p>
      <w:pPr>
        <w:spacing w:after="0" w:line="112" w:lineRule="exact"/>
        <w:rPr>
          <w:sz w:val="20"/>
          <w:szCs w:val="20"/>
          <w:color w:val="auto"/>
        </w:rPr>
      </w:pPr>
    </w:p>
    <w:p>
      <w:pPr>
        <w:jc w:val="both"/>
        <w:ind w:left="1140" w:hanging="505"/>
        <w:spacing w:after="0" w:line="250"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by any individual entity or group (within the meaning of Section 13(d)(3) or 14(d)(2) of the Exchange Act), other than LTRIP and its affiliates (a “Person”)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“Outstanding Company Voting Securities”);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complies with clauses (A), (B) and (C) of subsection (iii); or</w:t>
      </w:r>
    </w:p>
    <w:p>
      <w:pPr>
        <w:spacing w:after="0" w:line="81" w:lineRule="exact"/>
        <w:rPr>
          <w:rFonts w:ascii="Times New Roman" w:cs="Times New Roman" w:eastAsia="Times New Roman" w:hAnsi="Times New Roman"/>
          <w:sz w:val="18"/>
          <w:szCs w:val="18"/>
          <w:color w:val="auto"/>
        </w:rPr>
      </w:pPr>
    </w:p>
    <w:p>
      <w:pPr>
        <w:jc w:val="both"/>
        <w:ind w:left="1140" w:hanging="505"/>
        <w:spacing w:after="0" w:line="269" w:lineRule="auto"/>
        <w:tabs>
          <w:tab w:leader="none" w:pos="11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Individuals who, as of the Effective Date, constitute the Board (the “Incumbent Board”) cease for any reason to constitute at least a majority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jc w:val="both"/>
        <w:ind w:left="1140" w:hanging="505"/>
        <w:spacing w:after="0" w:line="248"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conversion or consolidation or sale or other disposition of all or substantially all of the assets of the Company or the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LTRIP and its respective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86" w:lineRule="exact"/>
        <w:rPr>
          <w:rFonts w:ascii="Times New Roman" w:cs="Times New Roman" w:eastAsia="Times New Roman" w:hAnsi="Times New Roman"/>
          <w:sz w:val="18"/>
          <w:szCs w:val="18"/>
          <w:color w:val="auto"/>
        </w:rPr>
      </w:pPr>
    </w:p>
    <w:p>
      <w:pPr>
        <w:ind w:left="1140" w:hanging="505"/>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our stockholders of a complete liquidation or dissolution of the Company.</w:t>
      </w:r>
    </w:p>
    <w:p>
      <w:pPr>
        <w:spacing w:after="0" w:line="21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Good Reason means the occurrence of any of the following without the executive’s prior written consent: (A) the Company's material breach of any material provision of the applicable employment agreement, (B) the material reduction in the executive’s title, duties, reporting responsibilities or level of responsibilities in such executive’s position at the Company, (C) the material reduction in the executive’s base salary or the executive’s total annual compensation opportunity, or (D) the relocation of the executive’s principal place of employment more than 20 miles outside of their location of employment; provided that in no event shall the executive’s resignation be for Good Reason unless (x) an event or circumstance set forth in clauses (A) through (D) will have occurred and the executive provides the Company with written notice thereof within 30 days after the executive has knowledge of the occurrence or existence of such event or circumstance, which notice specifically identifies the event or circumstance that the executive believes constitutes Good Reason,</w:t>
      </w:r>
    </w:p>
    <w:p>
      <w:pPr>
        <w:spacing w:after="0" w:line="1" w:lineRule="exact"/>
        <w:rPr>
          <w:sz w:val="20"/>
          <w:szCs w:val="20"/>
          <w:color w:val="auto"/>
        </w:rPr>
      </w:pPr>
    </w:p>
    <w:p>
      <w:pPr>
        <w:ind w:firstLine="6"/>
        <w:spacing w:after="0" w:line="252" w:lineRule="auto"/>
        <w:tabs>
          <w:tab w:leader="none" w:pos="2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correct the event or circumstance so identified within 30 days after receipt of such notice, and (z) the executive resigns within 90 days after the date of delivery of the notice referred to in clause (x) above.</w:t>
      </w:r>
    </w:p>
    <w:p>
      <w:pPr>
        <w:spacing w:after="0" w:line="1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Notwithstanding the terms of the employment arrangements described above, under the terms of the Severance Plan in the event of any conflict or inconsistency between the terms of any employment agreement and the Severance Plan, the terms more beneficial to the employee will prevail. For a description and quantification of the estimated potential payments in the event of a termination without Cause, resignation for Good Reason, Change in Control and termination without Cause or resignation for Good Reason in connection with a Change in Control, please see the section above entitled “Potential Payments Upon Termination or Change in Control.” The amounts reflected in this table reflect the “better of” the terms between the employment arrangements, the 2023 Plan and the Severance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1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Effective August 7, 2017, the Company adopted the Severance Plan applicable to certain senior leaders of the Company, including all of the NEOs. The Severance Plan formalizes and standardizes the Company’s severance practices for certain designated employees. Employees covered by the Severance Plan generally will be eligible to receive severance benefits in the event of a termination by the Company without Cause or, under certain circumstances, resignation by the employee for Good Reason. If a termination of employment occurs in connection with a Change in Control, the participants would generally be eligible to receive enhanced severance benefits. The severance benefits provided pursuant to the Severance Plan are determined based on the job classification of the employees and, in certain cases, his or her years of service with the Company.</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Under the Severance Plan, in the event of a termination by the Company without Cause more than three months prior to a Change in Control or more than 12 months following a Change in Control, the severance benefits for the employee generally shall consist of the following:</w:t>
      </w:r>
    </w:p>
    <w:p>
      <w:pPr>
        <w:spacing w:after="0" w:line="57" w:lineRule="exact"/>
        <w:rPr>
          <w:sz w:val="20"/>
          <w:szCs w:val="20"/>
          <w:color w:val="auto"/>
        </w:rPr>
      </w:pPr>
    </w:p>
    <w:p>
      <w:pPr>
        <w:ind w:left="1140" w:hanging="370"/>
        <w:spacing w:after="0" w:line="275" w:lineRule="auto"/>
        <w:tabs>
          <w:tab w:leader="none" w:pos="1140" w:val="left"/>
        </w:tabs>
        <w:numPr>
          <w:ilvl w:val="0"/>
          <w:numId w:val="6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continued payment of base salary for a period ranging from six to 18 months following the date of such employee’s termination of employment (in such case, based on the employee’s classification within the organization and years of service); and</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67"/>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continuation of coverage under the Company’s health insurance plan through the Company’s payment of COBRA premiums for a period ranging from six to 18 months following the date of such employee’s termination of employment (in such case, based on the employee’s classification within the organization and years of service).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ind w:firstLine="509"/>
        <w:spacing w:after="0" w:line="275" w:lineRule="auto"/>
        <w:rPr>
          <w:sz w:val="20"/>
          <w:szCs w:val="20"/>
          <w:color w:val="auto"/>
        </w:rPr>
      </w:pPr>
      <w:r>
        <w:rPr>
          <w:rFonts w:ascii="Times New Roman" w:cs="Times New Roman" w:eastAsia="Times New Roman" w:hAnsi="Times New Roman"/>
          <w:sz w:val="18"/>
          <w:szCs w:val="18"/>
          <w:color w:val="auto"/>
        </w:rPr>
        <w:t>Under the Severance Plan, in the event of a termination by the Company without Cause or by the employee for Good Reason, in each case within three months prior to or 12 months following a Change in Control, the severance benefits for the participant shall consist of the following:</w:t>
      </w:r>
    </w:p>
    <w:p>
      <w:pPr>
        <w:spacing w:after="0" w:line="57" w:lineRule="exact"/>
        <w:rPr>
          <w:sz w:val="20"/>
          <w:szCs w:val="20"/>
          <w:color w:val="auto"/>
        </w:rPr>
      </w:pPr>
    </w:p>
    <w:p>
      <w:pPr>
        <w:ind w:left="1140" w:hanging="370"/>
        <w:spacing w:after="0" w:line="275" w:lineRule="auto"/>
        <w:tabs>
          <w:tab w:leader="none" w:pos="1140" w:val="left"/>
        </w:tabs>
        <w:numPr>
          <w:ilvl w:val="0"/>
          <w:numId w:val="6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payment of a lump sum amount equal to (i) a minimum of 12 and up to 24 months of the participant’s base salary, plus (ii) the participant’s target bonus multiplied by 1, 1.5 or 2 (in each case, based on employee’s classification within the organization and years of service); and</w:t>
      </w:r>
    </w:p>
    <w:p>
      <w:pPr>
        <w:spacing w:after="0" w:line="56"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68"/>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payment of a lump sum amount equal to the premiums required to continue the participant’s medical coverage under the Company’s health insurance plan for a period ranging from 12 to 24 months (in such case, based on employee’s classification within the organization and years of service).</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Severance Plan, which is incorporated herein by reference to Exhibit 10.4 to the Company’s Quarterly Report on Form 10-Q as filed with the SEC on August 7, 2017.</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Potential Incremental Payments</w:t>
      </w:r>
    </w:p>
    <w:p>
      <w:pPr>
        <w:spacing w:after="0" w:line="11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table below reflects the estimated amount of incremental compensation payable to each of our named executive officers (except with respect to Mr. Kaufer and Ms. Nelson whose severance benefits actually received upon terminations of employment in 2022 are described below in the table) in the following circumstances: (i) termination of employment as a result of death of the NEO; (ii) a termination of employment by the Company without Cause not in connection with a Change in Control, (iii) resignation by him or her for Good Reason not in connection with a Change in Control, (iv) a Change in Control or (v) a termination of employment by the Company without Cause or by him or her for Good Reason in connection with a Change in Control. No benefits are payable upon a resignation by the NEO without Good Reason, termination of employment by the Company for Cause. Upon a termination of employment due to the NEO's disability or retirement, no benefits are provided, other than an extension of time for the exercise of any outstanding options.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amounts shown in the table (i) assume that the triggering event was effective December 31, 2022; (ii) are based on the terms of the employment arrangements in effect as of December 31, 2022 and do not reflect any subsequent amendments; and (iii) are based on the “better of” the terms set forth in the respective employment arrangements or the terms of the Severance Plan. The price of the Company's common stock on which certain calculations are based was $17.98 per share, the closing price of the Company's common stock on Nasdaq on December 31, 2022. These amounts are estimates of the incremental amounts that would be paid out to each NEO upon such triggering event. The actual amounts to be paid out can only be determined at the time of the triggering event, if any.</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discussed above, Ms. Nelson and Mr. Kaufer's employment with the Company terminated on January 9, 2022 and July 1, 2022, respectively. Accordingly, information regarding the amount of compensation actually received by Ms. Nelson and Mr. Kaufer in connection with their respective terminations of employment is set forth in narrative disclosure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884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860" cy="1488440"/>
                    </a:xfrm>
                    <a:prstGeom prst="rect">
                      <a:avLst/>
                    </a:prstGeom>
                    <a:noFill/>
                  </pic:spPr>
                </pic:pic>
              </a:graphicData>
            </a:graphic>
          </wp:anchor>
        </w:drawing>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660" w:type="dxa"/>
            <w:vAlign w:val="bottom"/>
            <w:tcBorders>
              <w:left w:val="single" w:sz="8" w:color="02AE90"/>
              <w:right w:val="single" w:sz="8" w:color="02AE90"/>
            </w:tcBorders>
            <w:shd w:val="clear" w:color="auto" w:fill="02AE90"/>
          </w:tcPr>
          <w:p>
            <w:pPr>
              <w:spacing w:after="0"/>
              <w:rPr>
                <w:sz w:val="13"/>
                <w:szCs w:val="13"/>
                <w:color w:val="auto"/>
              </w:rPr>
            </w:pPr>
          </w:p>
        </w:tc>
        <w:tc>
          <w:tcPr>
            <w:tcW w:w="1120" w:type="dxa"/>
            <w:vAlign w:val="bottom"/>
            <w:tcBorders>
              <w:right w:val="single" w:sz="8" w:color="02AE90"/>
            </w:tcBorders>
            <w:shd w:val="clear" w:color="auto" w:fill="02AE90"/>
          </w:tcPr>
          <w:p>
            <w:pPr>
              <w:spacing w:after="0"/>
              <w:rPr>
                <w:sz w:val="13"/>
                <w:szCs w:val="13"/>
                <w:color w:val="auto"/>
              </w:rPr>
            </w:pPr>
          </w:p>
        </w:tc>
        <w:tc>
          <w:tcPr>
            <w:tcW w:w="1120" w:type="dxa"/>
            <w:vAlign w:val="bottom"/>
            <w:tcBorders>
              <w:right w:val="single" w:sz="8" w:color="02AE90"/>
            </w:tcBorders>
            <w:shd w:val="clear" w:color="auto" w:fill="02AE90"/>
          </w:tcPr>
          <w:p>
            <w:pPr>
              <w:spacing w:after="0"/>
              <w:rPr>
                <w:sz w:val="13"/>
                <w:szCs w:val="13"/>
                <w:color w:val="auto"/>
              </w:rPr>
            </w:pPr>
          </w:p>
        </w:tc>
        <w:tc>
          <w:tcPr>
            <w:tcW w:w="1080" w:type="dxa"/>
            <w:vAlign w:val="bottom"/>
            <w:tcBorders>
              <w:right w:val="single" w:sz="8" w:color="02AE90"/>
            </w:tcBorders>
            <w:shd w:val="clear" w:color="auto" w:fill="02AE90"/>
          </w:tcPr>
          <w:p>
            <w:pPr>
              <w:spacing w:after="0"/>
              <w:rPr>
                <w:sz w:val="13"/>
                <w:szCs w:val="13"/>
                <w:color w:val="auto"/>
              </w:rPr>
            </w:pPr>
          </w:p>
        </w:tc>
        <w:tc>
          <w:tcPr>
            <w:tcW w:w="1100" w:type="dxa"/>
            <w:vAlign w:val="bottom"/>
            <w:tcBorders>
              <w:right w:val="single" w:sz="8" w:color="02AE90"/>
            </w:tcBorders>
            <w:shd w:val="clear" w:color="auto" w:fill="02AE90"/>
          </w:tcPr>
          <w:p>
            <w:pPr>
              <w:spacing w:after="0"/>
              <w:rPr>
                <w:sz w:val="13"/>
                <w:szCs w:val="13"/>
                <w:color w:val="auto"/>
              </w:rPr>
            </w:pPr>
          </w:p>
        </w:tc>
        <w:tc>
          <w:tcPr>
            <w:tcW w:w="1080" w:type="dxa"/>
            <w:vAlign w:val="bottom"/>
            <w:tcBorders>
              <w:right w:val="single" w:sz="8" w:color="02AE90"/>
            </w:tcBorders>
            <w:shd w:val="clear" w:color="auto" w:fill="02AE90"/>
          </w:tcPr>
          <w:p>
            <w:pPr>
              <w:jc w:val="center"/>
              <w:ind w:right="35"/>
              <w:spacing w:after="0"/>
              <w:rPr>
                <w:sz w:val="20"/>
                <w:szCs w:val="20"/>
                <w:color w:val="auto"/>
              </w:rPr>
            </w:pPr>
            <w:r>
              <w:rPr>
                <w:rFonts w:ascii="Times New Roman" w:cs="Times New Roman" w:eastAsia="Times New Roman" w:hAnsi="Times New Roman"/>
                <w:sz w:val="14"/>
                <w:szCs w:val="14"/>
                <w:b w:val="1"/>
                <w:bCs w:val="1"/>
                <w:color w:val="FFFFFF"/>
              </w:rPr>
              <w:t>Termination</w:t>
            </w:r>
          </w:p>
        </w:tc>
        <w:tc>
          <w:tcPr>
            <w:tcW w:w="980" w:type="dxa"/>
            <w:vAlign w:val="bottom"/>
            <w:shd w:val="clear" w:color="auto" w:fill="02AE90"/>
          </w:tcPr>
          <w:p>
            <w:pPr>
              <w:spacing w:after="0"/>
              <w:rPr>
                <w:sz w:val="13"/>
                <w:szCs w:val="13"/>
                <w:color w:val="auto"/>
              </w:rPr>
            </w:pPr>
          </w:p>
        </w:tc>
        <w:tc>
          <w:tcPr>
            <w:tcW w:w="100" w:type="dxa"/>
            <w:vAlign w:val="bottom"/>
            <w:tcBorders>
              <w:right w:val="single" w:sz="8" w:color="02AE90"/>
            </w:tcBorders>
            <w:shd w:val="clear" w:color="auto" w:fill="02AE90"/>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Borders>
              <w:left w:val="single" w:sz="8" w:color="02AE90"/>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spacing w:after="0"/>
              <w:rPr>
                <w:sz w:val="12"/>
                <w:szCs w:val="12"/>
                <w:color w:val="auto"/>
              </w:rPr>
            </w:pPr>
          </w:p>
        </w:tc>
        <w:tc>
          <w:tcPr>
            <w:tcW w:w="1100" w:type="dxa"/>
            <w:vAlign w:val="bottom"/>
            <w:tcBorders>
              <w:right w:val="single" w:sz="8" w:color="02AE90"/>
            </w:tcBorders>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FFFFFF"/>
              </w:rPr>
              <w:t>w/o Cause</w:t>
            </w:r>
          </w:p>
        </w:tc>
        <w:tc>
          <w:tcPr>
            <w:tcW w:w="1080" w:type="dxa"/>
            <w:vAlign w:val="bottom"/>
            <w:tcBorders>
              <w:right w:val="single" w:sz="8" w:color="02AE90"/>
            </w:tcBorders>
            <w:gridSpan w:val="2"/>
            <w:vMerge w:val="restart"/>
            <w:shd w:val="clear" w:color="auto" w:fill="02AE90"/>
          </w:tcPr>
          <w:p>
            <w:pPr>
              <w:jc w:val="center"/>
              <w:ind w:right="100"/>
              <w:spacing w:after="0"/>
              <w:rPr>
                <w:sz w:val="20"/>
                <w:szCs w:val="20"/>
                <w:color w:val="auto"/>
              </w:rPr>
            </w:pPr>
            <w:r>
              <w:rPr>
                <w:rFonts w:ascii="Times New Roman" w:cs="Times New Roman" w:eastAsia="Times New Roman" w:hAnsi="Times New Roman"/>
                <w:sz w:val="14"/>
                <w:szCs w:val="14"/>
                <w:b w:val="1"/>
                <w:bCs w:val="1"/>
                <w:color w:val="FFFFFF"/>
                <w:w w:val="99"/>
              </w:rPr>
              <w:t>Equity Awards</w:t>
            </w:r>
          </w:p>
        </w:tc>
        <w:tc>
          <w:tcPr>
            <w:tcW w:w="0" w:type="dxa"/>
            <w:vAlign w:val="bottom"/>
          </w:tcPr>
          <w:p>
            <w:pPr>
              <w:spacing w:after="0"/>
              <w:rPr>
                <w:sz w:val="1"/>
                <w:szCs w:val="1"/>
                <w:color w:val="auto"/>
              </w:rPr>
            </w:pPr>
          </w:p>
        </w:tc>
      </w:tr>
      <w:tr>
        <w:trPr>
          <w:trHeight w:val="146"/>
        </w:trPr>
        <w:tc>
          <w:tcPr>
            <w:tcW w:w="4660" w:type="dxa"/>
            <w:vAlign w:val="bottom"/>
            <w:tcBorders>
              <w:left w:val="single" w:sz="8" w:color="02AE90"/>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spacing w:after="0"/>
              <w:rPr>
                <w:sz w:val="12"/>
                <w:szCs w:val="12"/>
                <w:color w:val="auto"/>
              </w:rPr>
            </w:pPr>
          </w:p>
        </w:tc>
        <w:tc>
          <w:tcPr>
            <w:tcW w:w="1100" w:type="dxa"/>
            <w:vAlign w:val="bottom"/>
            <w:tcBorders>
              <w:right w:val="single" w:sz="8" w:color="02AE90"/>
            </w:tcBorders>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FFFFFF"/>
              </w:rPr>
              <w:t>or for Good</w:t>
            </w:r>
          </w:p>
        </w:tc>
        <w:tc>
          <w:tcPr>
            <w:tcW w:w="1080" w:type="dxa"/>
            <w:vAlign w:val="bottom"/>
            <w:tcBorders>
              <w:right w:val="single" w:sz="8" w:color="02AE90"/>
            </w:tcBorders>
            <w:gridSpan w:val="2"/>
            <w:vMerge w:val="continue"/>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tcBorders>
              <w:left w:val="single" w:sz="8" w:color="02AE90"/>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vMerge w:val="restart"/>
            <w:shd w:val="clear" w:color="auto" w:fill="02AE90"/>
          </w:tcPr>
          <w:p>
            <w:pPr>
              <w:jc w:val="center"/>
              <w:ind w:right="53"/>
              <w:spacing w:after="0"/>
              <w:rPr>
                <w:sz w:val="20"/>
                <w:szCs w:val="20"/>
                <w:color w:val="auto"/>
              </w:rPr>
            </w:pPr>
            <w:r>
              <w:rPr>
                <w:rFonts w:ascii="Times New Roman" w:cs="Times New Roman" w:eastAsia="Times New Roman" w:hAnsi="Times New Roman"/>
                <w:sz w:val="14"/>
                <w:szCs w:val="14"/>
                <w:b w:val="1"/>
                <w:bCs w:val="1"/>
                <w:color w:val="FFFFFF"/>
                <w:w w:val="98"/>
              </w:rPr>
              <w:t>Termination</w:t>
            </w:r>
          </w:p>
        </w:tc>
        <w:tc>
          <w:tcPr>
            <w:tcW w:w="1080" w:type="dxa"/>
            <w:vAlign w:val="bottom"/>
            <w:tcBorders>
              <w:right w:val="single" w:sz="8" w:color="02AE90"/>
            </w:tcBorders>
            <w:vMerge w:val="restart"/>
            <w:shd w:val="clear" w:color="auto" w:fill="02AE90"/>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Resignation</w:t>
            </w:r>
          </w:p>
        </w:tc>
        <w:tc>
          <w:tcPr>
            <w:tcW w:w="1100" w:type="dxa"/>
            <w:vAlign w:val="bottom"/>
            <w:tcBorders>
              <w:right w:val="single" w:sz="8" w:color="02AE90"/>
            </w:tcBorders>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FFFFFF"/>
              </w:rPr>
              <w:t>Reason in</w:t>
            </w:r>
          </w:p>
        </w:tc>
        <w:tc>
          <w:tcPr>
            <w:tcW w:w="1080" w:type="dxa"/>
            <w:vAlign w:val="bottom"/>
            <w:tcBorders>
              <w:right w:val="single" w:sz="8" w:color="02AE90"/>
            </w:tcBorders>
            <w:gridSpan w:val="2"/>
            <w:shd w:val="clear" w:color="auto" w:fill="02AE90"/>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FFFFFF"/>
                <w:w w:val="99"/>
              </w:rPr>
              <w:t>Vesting Post</w:t>
            </w:r>
          </w:p>
        </w:tc>
        <w:tc>
          <w:tcPr>
            <w:tcW w:w="0" w:type="dxa"/>
            <w:vAlign w:val="bottom"/>
          </w:tcPr>
          <w:p>
            <w:pPr>
              <w:spacing w:after="0"/>
              <w:rPr>
                <w:sz w:val="1"/>
                <w:szCs w:val="1"/>
                <w:color w:val="auto"/>
              </w:rPr>
            </w:pPr>
          </w:p>
        </w:tc>
      </w:tr>
      <w:tr>
        <w:trPr>
          <w:trHeight w:val="146"/>
        </w:trPr>
        <w:tc>
          <w:tcPr>
            <w:tcW w:w="4660" w:type="dxa"/>
            <w:vAlign w:val="bottom"/>
            <w:tcBorders>
              <w:left w:val="single" w:sz="8" w:color="02AE90"/>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shd w:val="clear" w:color="auto" w:fill="02AE90"/>
          </w:tcPr>
          <w:p>
            <w:pPr>
              <w:spacing w:after="0"/>
              <w:rPr>
                <w:sz w:val="12"/>
                <w:szCs w:val="12"/>
                <w:color w:val="auto"/>
              </w:rPr>
            </w:pPr>
          </w:p>
        </w:tc>
        <w:tc>
          <w:tcPr>
            <w:tcW w:w="1120" w:type="dxa"/>
            <w:vAlign w:val="bottom"/>
            <w:tcBorders>
              <w:right w:val="single" w:sz="8" w:color="02AE90"/>
            </w:tcBorders>
            <w:vMerge w:val="continue"/>
            <w:shd w:val="clear" w:color="auto" w:fill="02AE90"/>
          </w:tcPr>
          <w:p>
            <w:pPr>
              <w:spacing w:after="0"/>
              <w:rPr>
                <w:sz w:val="12"/>
                <w:szCs w:val="12"/>
                <w:color w:val="auto"/>
              </w:rPr>
            </w:pPr>
          </w:p>
        </w:tc>
        <w:tc>
          <w:tcPr>
            <w:tcW w:w="1080" w:type="dxa"/>
            <w:vAlign w:val="bottom"/>
            <w:tcBorders>
              <w:right w:val="single" w:sz="8" w:color="02AE90"/>
            </w:tcBorders>
            <w:vMerge w:val="continue"/>
            <w:shd w:val="clear" w:color="auto" w:fill="02AE90"/>
          </w:tcPr>
          <w:p>
            <w:pPr>
              <w:spacing w:after="0"/>
              <w:rPr>
                <w:sz w:val="12"/>
                <w:szCs w:val="12"/>
                <w:color w:val="auto"/>
              </w:rPr>
            </w:pPr>
          </w:p>
        </w:tc>
        <w:tc>
          <w:tcPr>
            <w:tcW w:w="1100" w:type="dxa"/>
            <w:vAlign w:val="bottom"/>
            <w:tcBorders>
              <w:right w:val="single" w:sz="8" w:color="02AE90"/>
            </w:tcBorders>
            <w:vMerge w:val="restart"/>
            <w:shd w:val="clear" w:color="auto" w:fill="02AE90"/>
          </w:tcPr>
          <w:p>
            <w:pPr>
              <w:ind w:left="180"/>
              <w:spacing w:after="0"/>
              <w:rPr>
                <w:sz w:val="20"/>
                <w:szCs w:val="20"/>
                <w:color w:val="auto"/>
              </w:rPr>
            </w:pPr>
            <w:r>
              <w:rPr>
                <w:rFonts w:ascii="Times New Roman" w:cs="Times New Roman" w:eastAsia="Times New Roman" w:hAnsi="Times New Roman"/>
                <w:sz w:val="14"/>
                <w:szCs w:val="14"/>
                <w:b w:val="1"/>
                <w:bCs w:val="1"/>
                <w:color w:val="FFFFFF"/>
              </w:rPr>
              <w:t>Change in</w:t>
            </w:r>
          </w:p>
        </w:tc>
        <w:tc>
          <w:tcPr>
            <w:tcW w:w="1080" w:type="dxa"/>
            <w:vAlign w:val="bottom"/>
            <w:tcBorders>
              <w:right w:val="single" w:sz="8" w:color="02AE90"/>
            </w:tcBorders>
            <w:shd w:val="clear" w:color="auto" w:fill="02AE90"/>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FFFFFF"/>
              </w:rPr>
              <w:t>connection with</w:t>
            </w:r>
          </w:p>
        </w:tc>
        <w:tc>
          <w:tcPr>
            <w:tcW w:w="1080" w:type="dxa"/>
            <w:vAlign w:val="bottom"/>
            <w:tcBorders>
              <w:right w:val="single" w:sz="8" w:color="02AE90"/>
            </w:tcBorders>
            <w:gridSpan w:val="2"/>
            <w:shd w:val="clear" w:color="auto" w:fill="02AE90"/>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FFFFFF"/>
              </w:rPr>
              <w:t>Termination</w:t>
            </w:r>
          </w:p>
        </w:tc>
        <w:tc>
          <w:tcPr>
            <w:tcW w:w="0" w:type="dxa"/>
            <w:vAlign w:val="bottom"/>
          </w:tcPr>
          <w:p>
            <w:pPr>
              <w:spacing w:after="0"/>
              <w:rPr>
                <w:sz w:val="1"/>
                <w:szCs w:val="1"/>
                <w:color w:val="auto"/>
              </w:rPr>
            </w:pPr>
          </w:p>
        </w:tc>
      </w:tr>
      <w:tr>
        <w:trPr>
          <w:trHeight w:val="146"/>
        </w:trPr>
        <w:tc>
          <w:tcPr>
            <w:tcW w:w="466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 and Benefit</w:t>
            </w:r>
          </w:p>
        </w:tc>
        <w:tc>
          <w:tcPr>
            <w:tcW w:w="1120" w:type="dxa"/>
            <w:vAlign w:val="bottom"/>
            <w:tcBorders>
              <w:right w:val="single" w:sz="8" w:color="02AE90"/>
            </w:tcBorders>
            <w:vMerge w:val="restart"/>
            <w:shd w:val="clear" w:color="auto" w:fill="02AE90"/>
          </w:tcPr>
          <w:p>
            <w:pPr>
              <w:jc w:val="right"/>
              <w:ind w:right="212"/>
              <w:spacing w:after="0"/>
              <w:rPr>
                <w:sz w:val="20"/>
                <w:szCs w:val="20"/>
                <w:color w:val="auto"/>
              </w:rPr>
            </w:pPr>
            <w:r>
              <w:rPr>
                <w:rFonts w:ascii="Times New Roman" w:cs="Times New Roman" w:eastAsia="Times New Roman" w:hAnsi="Times New Roman"/>
                <w:sz w:val="14"/>
                <w:szCs w:val="14"/>
                <w:b w:val="1"/>
                <w:bCs w:val="1"/>
                <w:color w:val="FFFFFF"/>
              </w:rPr>
              <w:t>Death ($)</w:t>
            </w:r>
            <w:r>
              <w:rPr>
                <w:rFonts w:ascii="Times New Roman" w:cs="Times New Roman" w:eastAsia="Times New Roman" w:hAnsi="Times New Roman"/>
                <w:sz w:val="18"/>
                <w:szCs w:val="18"/>
                <w:b w:val="1"/>
                <w:bCs w:val="1"/>
                <w:color w:val="FFFFFF"/>
                <w:vertAlign w:val="superscript"/>
              </w:rPr>
              <w:t>(1)</w:t>
            </w:r>
          </w:p>
        </w:tc>
        <w:tc>
          <w:tcPr>
            <w:tcW w:w="1120" w:type="dxa"/>
            <w:vAlign w:val="bottom"/>
            <w:tcBorders>
              <w:right w:val="single" w:sz="8" w:color="02AE90"/>
            </w:tcBorders>
            <w:shd w:val="clear" w:color="auto" w:fill="02AE90"/>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FFFFFF"/>
              </w:rPr>
              <w:t>Without</w:t>
            </w:r>
          </w:p>
        </w:tc>
        <w:tc>
          <w:tcPr>
            <w:tcW w:w="1080" w:type="dxa"/>
            <w:vAlign w:val="bottom"/>
            <w:tcBorders>
              <w:right w:val="single" w:sz="8" w:color="02AE90"/>
            </w:tcBorders>
            <w:shd w:val="clear" w:color="auto" w:fill="02AE90"/>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FFFFFF"/>
              </w:rPr>
              <w:t>for Good</w:t>
            </w:r>
          </w:p>
        </w:tc>
        <w:tc>
          <w:tcPr>
            <w:tcW w:w="1100" w:type="dxa"/>
            <w:vAlign w:val="bottom"/>
            <w:tcBorders>
              <w:right w:val="single" w:sz="8" w:color="02AE90"/>
            </w:tcBorders>
            <w:vMerge w:val="continue"/>
            <w:shd w:val="clear" w:color="auto" w:fill="02AE90"/>
          </w:tcPr>
          <w:p>
            <w:pPr>
              <w:spacing w:after="0"/>
              <w:rPr>
                <w:sz w:val="12"/>
                <w:szCs w:val="12"/>
                <w:color w:val="auto"/>
              </w:rPr>
            </w:pPr>
          </w:p>
        </w:tc>
        <w:tc>
          <w:tcPr>
            <w:tcW w:w="1080" w:type="dxa"/>
            <w:vAlign w:val="bottom"/>
            <w:tcBorders>
              <w:right w:val="single" w:sz="8" w:color="02AE90"/>
            </w:tcBorders>
            <w:shd w:val="clear" w:color="auto" w:fill="02AE90"/>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FFFFFF"/>
              </w:rPr>
              <w:t>Change in</w:t>
            </w:r>
          </w:p>
        </w:tc>
        <w:tc>
          <w:tcPr>
            <w:tcW w:w="1080" w:type="dxa"/>
            <w:vAlign w:val="bottom"/>
            <w:tcBorders>
              <w:right w:val="single" w:sz="8" w:color="02AE90"/>
            </w:tcBorders>
            <w:gridSpan w:val="2"/>
            <w:shd w:val="clear" w:color="auto" w:fill="02AE90"/>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FFFFFF"/>
              </w:rPr>
              <w:t>other than</w:t>
            </w:r>
          </w:p>
        </w:tc>
        <w:tc>
          <w:tcPr>
            <w:tcW w:w="0" w:type="dxa"/>
            <w:vAlign w:val="bottom"/>
          </w:tcPr>
          <w:p>
            <w:pPr>
              <w:spacing w:after="0"/>
              <w:rPr>
                <w:sz w:val="1"/>
                <w:szCs w:val="1"/>
                <w:color w:val="auto"/>
              </w:rPr>
            </w:pPr>
          </w:p>
        </w:tc>
      </w:tr>
      <w:tr>
        <w:trPr>
          <w:trHeight w:val="197"/>
        </w:trPr>
        <w:tc>
          <w:tcPr>
            <w:tcW w:w="4660" w:type="dxa"/>
            <w:vAlign w:val="bottom"/>
            <w:tcBorders>
              <w:left w:val="single" w:sz="8" w:color="02AE90"/>
              <w:right w:val="single" w:sz="8" w:color="02AE90"/>
            </w:tcBorders>
            <w:vMerge w:val="continue"/>
            <w:shd w:val="clear" w:color="auto" w:fill="02AE90"/>
          </w:tcPr>
          <w:p>
            <w:pPr>
              <w:spacing w:after="0"/>
              <w:rPr>
                <w:sz w:val="17"/>
                <w:szCs w:val="17"/>
                <w:color w:val="auto"/>
              </w:rPr>
            </w:pPr>
          </w:p>
        </w:tc>
        <w:tc>
          <w:tcPr>
            <w:tcW w:w="1120" w:type="dxa"/>
            <w:vAlign w:val="bottom"/>
            <w:tcBorders>
              <w:right w:val="single" w:sz="8" w:color="02AE90"/>
            </w:tcBorders>
            <w:vMerge w:val="continue"/>
            <w:shd w:val="clear" w:color="auto" w:fill="02AE90"/>
          </w:tcPr>
          <w:p>
            <w:pPr>
              <w:spacing w:after="0"/>
              <w:rPr>
                <w:sz w:val="17"/>
                <w:szCs w:val="17"/>
                <w:color w:val="auto"/>
              </w:rPr>
            </w:pPr>
          </w:p>
        </w:tc>
        <w:tc>
          <w:tcPr>
            <w:tcW w:w="1120" w:type="dxa"/>
            <w:vAlign w:val="bottom"/>
            <w:tcBorders>
              <w:right w:val="single" w:sz="8" w:color="02AE90"/>
            </w:tcBorders>
            <w:shd w:val="clear" w:color="auto" w:fill="02AE90"/>
          </w:tcPr>
          <w:p>
            <w:pPr>
              <w:jc w:val="center"/>
              <w:ind w:right="53"/>
              <w:spacing w:after="0"/>
              <w:rPr>
                <w:sz w:val="20"/>
                <w:szCs w:val="20"/>
                <w:color w:val="auto"/>
              </w:rPr>
            </w:pPr>
            <w:r>
              <w:rPr>
                <w:rFonts w:ascii="Times New Roman" w:cs="Times New Roman" w:eastAsia="Times New Roman" w:hAnsi="Times New Roman"/>
                <w:sz w:val="14"/>
                <w:szCs w:val="14"/>
                <w:b w:val="1"/>
                <w:bCs w:val="1"/>
                <w:color w:val="FFFFFF"/>
              </w:rPr>
              <w:t>Cause ($)</w:t>
            </w:r>
          </w:p>
        </w:tc>
        <w:tc>
          <w:tcPr>
            <w:tcW w:w="1080" w:type="dxa"/>
            <w:vAlign w:val="bottom"/>
            <w:tcBorders>
              <w:right w:val="single" w:sz="8" w:color="02AE90"/>
            </w:tcBorders>
            <w:shd w:val="clear" w:color="auto" w:fill="02AE90"/>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Reason ($)</w:t>
            </w:r>
          </w:p>
        </w:tc>
        <w:tc>
          <w:tcPr>
            <w:tcW w:w="1100" w:type="dxa"/>
            <w:vAlign w:val="bottom"/>
            <w:tcBorders>
              <w:right w:val="single" w:sz="8" w:color="02AE90"/>
            </w:tcBorders>
            <w:shd w:val="clear" w:color="auto" w:fill="02AE90"/>
          </w:tcPr>
          <w:p>
            <w:pPr>
              <w:ind w:left="160"/>
              <w:spacing w:after="0"/>
              <w:rPr>
                <w:sz w:val="20"/>
                <w:szCs w:val="20"/>
                <w:color w:val="auto"/>
              </w:rPr>
            </w:pPr>
            <w:r>
              <w:rPr>
                <w:rFonts w:ascii="Times New Roman" w:cs="Times New Roman" w:eastAsia="Times New Roman" w:hAnsi="Times New Roman"/>
                <w:sz w:val="14"/>
                <w:szCs w:val="14"/>
                <w:b w:val="1"/>
                <w:bCs w:val="1"/>
                <w:color w:val="FFFFFF"/>
              </w:rPr>
              <w:t>Control ($)</w:t>
            </w:r>
          </w:p>
        </w:tc>
        <w:tc>
          <w:tcPr>
            <w:tcW w:w="1080" w:type="dxa"/>
            <w:vAlign w:val="bottom"/>
            <w:tcBorders>
              <w:right w:val="single" w:sz="8" w:color="02AE90"/>
            </w:tcBorders>
            <w:shd w:val="clear" w:color="auto" w:fill="02AE90"/>
          </w:tcPr>
          <w:p>
            <w:pPr>
              <w:jc w:val="center"/>
              <w:ind w:right="35"/>
              <w:spacing w:after="0"/>
              <w:rPr>
                <w:sz w:val="20"/>
                <w:szCs w:val="20"/>
                <w:color w:val="auto"/>
              </w:rPr>
            </w:pPr>
            <w:r>
              <w:rPr>
                <w:rFonts w:ascii="Times New Roman" w:cs="Times New Roman" w:eastAsia="Times New Roman" w:hAnsi="Times New Roman"/>
                <w:sz w:val="14"/>
                <w:szCs w:val="14"/>
                <w:b w:val="1"/>
                <w:bCs w:val="1"/>
                <w:color w:val="FFFFFF"/>
              </w:rPr>
              <w:t>Control ($)</w:t>
            </w:r>
          </w:p>
        </w:tc>
        <w:tc>
          <w:tcPr>
            <w:tcW w:w="1080" w:type="dxa"/>
            <w:vAlign w:val="bottom"/>
            <w:tcBorders>
              <w:right w:val="single" w:sz="8" w:color="02AE90"/>
            </w:tcBorders>
            <w:gridSpan w:val="2"/>
            <w:shd w:val="clear" w:color="auto" w:fill="02AE90"/>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Death</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Matt Goldberg</w:t>
            </w:r>
          </w:p>
        </w:tc>
        <w:tc>
          <w:tcPr>
            <w:tcW w:w="1120" w:type="dxa"/>
            <w:vAlign w:val="bottom"/>
            <w:tcBorders>
              <w:bottom w:val="single" w:sz="8" w:color="02AE90"/>
            </w:tcBorders>
          </w:tcPr>
          <w:p>
            <w:pPr>
              <w:spacing w:after="0"/>
              <w:rPr>
                <w:sz w:val="20"/>
                <w:szCs w:val="20"/>
                <w:color w:val="auto"/>
              </w:rPr>
            </w:pPr>
          </w:p>
        </w:tc>
        <w:tc>
          <w:tcPr>
            <w:tcW w:w="112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110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6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1,200,000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1,600,000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right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Bonus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480,000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480,000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802,192</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Equity Awards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17,780,355</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3,857,168</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3,857,168</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17,780,355</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Health &amp; Benefits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44,388</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44,388</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59,184</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left w:val="single" w:sz="8" w:color="02AE90"/>
              <w:bottom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value</w:t>
            </w:r>
          </w:p>
        </w:tc>
        <w:tc>
          <w:tcPr>
            <w:tcW w:w="1120" w:type="dxa"/>
            <w:vAlign w:val="bottom"/>
            <w:tcBorders>
              <w:bottom w:val="single" w:sz="8" w:color="02AE90"/>
              <w:right w:val="single" w:sz="8" w:color="02AE90"/>
            </w:tcBorders>
            <w:shd w:val="clear" w:color="auto" w:fill="E5F6F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17,780,355</w:t>
            </w:r>
          </w:p>
        </w:tc>
        <w:tc>
          <w:tcPr>
            <w:tcW w:w="1120" w:type="dxa"/>
            <w:vAlign w:val="bottom"/>
            <w:tcBorders>
              <w:bottom w:val="single" w:sz="8" w:color="02AE90"/>
              <w:right w:val="single" w:sz="8" w:color="02AE90"/>
            </w:tcBorders>
            <w:shd w:val="clear" w:color="auto" w:fill="E5F6F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5,581,556</w:t>
            </w:r>
          </w:p>
        </w:tc>
        <w:tc>
          <w:tcPr>
            <w:tcW w:w="1080" w:type="dxa"/>
            <w:vAlign w:val="bottom"/>
            <w:tcBorders>
              <w:bottom w:val="single" w:sz="8" w:color="02AE90"/>
              <w:right w:val="single" w:sz="8" w:color="02AE90"/>
            </w:tcBorders>
            <w:shd w:val="clear" w:color="auto" w:fill="E5F6F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5,581,556</w:t>
            </w:r>
          </w:p>
        </w:tc>
        <w:tc>
          <w:tcPr>
            <w:tcW w:w="1100" w:type="dxa"/>
            <w:vAlign w:val="bottom"/>
            <w:tcBorders>
              <w:bottom w:val="single" w:sz="8" w:color="02AE90"/>
              <w:right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shd w:val="clear" w:color="auto" w:fill="E5F6F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20,241,731</w:t>
            </w:r>
          </w:p>
        </w:tc>
        <w:tc>
          <w:tcPr>
            <w:tcW w:w="980" w:type="dxa"/>
            <w:vAlign w:val="bottom"/>
            <w:tcBorders>
              <w:bottom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02AE90"/>
              <w:right w:val="single" w:sz="8" w:color="02AE90"/>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Michael Noonan</w:t>
            </w:r>
          </w:p>
        </w:tc>
        <w:tc>
          <w:tcPr>
            <w:tcW w:w="1120" w:type="dxa"/>
            <w:vAlign w:val="bottom"/>
            <w:tcBorders>
              <w:bottom w:val="single" w:sz="8" w:color="02AE90"/>
            </w:tcBorders>
          </w:tcPr>
          <w:p>
            <w:pPr>
              <w:spacing w:after="0"/>
              <w:rPr>
                <w:sz w:val="20"/>
                <w:szCs w:val="20"/>
                <w:color w:val="auto"/>
              </w:rPr>
            </w:pPr>
          </w:p>
        </w:tc>
        <w:tc>
          <w:tcPr>
            <w:tcW w:w="112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110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6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525,000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525,000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787,500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right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Bonus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105,288</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Equity Awards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2,395,545</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230,034</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230,034</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2,395,545</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Health &amp; Benefits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28,661</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28,661</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42,991</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left w:val="single" w:sz="8" w:color="02AE90"/>
              <w:bottom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value</w:t>
            </w:r>
          </w:p>
        </w:tc>
        <w:tc>
          <w:tcPr>
            <w:tcW w:w="1120" w:type="dxa"/>
            <w:vAlign w:val="bottom"/>
            <w:tcBorders>
              <w:bottom w:val="single" w:sz="8" w:color="02AE90"/>
              <w:right w:val="single" w:sz="8" w:color="02AE90"/>
            </w:tcBorders>
            <w:shd w:val="clear" w:color="auto" w:fill="E5F6F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2,395,545</w:t>
            </w:r>
          </w:p>
        </w:tc>
        <w:tc>
          <w:tcPr>
            <w:tcW w:w="1120" w:type="dxa"/>
            <w:vAlign w:val="bottom"/>
            <w:tcBorders>
              <w:bottom w:val="single" w:sz="8" w:color="02AE90"/>
              <w:right w:val="single" w:sz="8" w:color="02AE90"/>
            </w:tcBorders>
            <w:shd w:val="clear" w:color="auto" w:fill="E5F6F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883,695</w:t>
            </w:r>
          </w:p>
        </w:tc>
        <w:tc>
          <w:tcPr>
            <w:tcW w:w="1080" w:type="dxa"/>
            <w:vAlign w:val="bottom"/>
            <w:tcBorders>
              <w:bottom w:val="single" w:sz="8" w:color="02AE90"/>
              <w:right w:val="single" w:sz="8" w:color="02AE90"/>
            </w:tcBorders>
            <w:shd w:val="clear" w:color="auto" w:fill="E5F6F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883,695</w:t>
            </w:r>
          </w:p>
        </w:tc>
        <w:tc>
          <w:tcPr>
            <w:tcW w:w="1100" w:type="dxa"/>
            <w:vAlign w:val="bottom"/>
            <w:tcBorders>
              <w:bottom w:val="single" w:sz="8" w:color="02AE90"/>
              <w:right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shd w:val="clear" w:color="auto" w:fill="E5F6F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3,331,324</w:t>
            </w:r>
          </w:p>
        </w:tc>
        <w:tc>
          <w:tcPr>
            <w:tcW w:w="980" w:type="dxa"/>
            <w:vAlign w:val="bottom"/>
            <w:tcBorders>
              <w:bottom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02AE90"/>
              <w:right w:val="single" w:sz="8" w:color="02AE90"/>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Seth J. Kalvert</w:t>
            </w:r>
          </w:p>
        </w:tc>
        <w:tc>
          <w:tcPr>
            <w:tcW w:w="1120" w:type="dxa"/>
            <w:vAlign w:val="bottom"/>
            <w:tcBorders>
              <w:bottom w:val="single" w:sz="8" w:color="02AE90"/>
            </w:tcBorders>
          </w:tcPr>
          <w:p>
            <w:pPr>
              <w:spacing w:after="0"/>
              <w:rPr>
                <w:sz w:val="20"/>
                <w:szCs w:val="20"/>
                <w:color w:val="auto"/>
              </w:rPr>
            </w:pPr>
          </w:p>
        </w:tc>
        <w:tc>
          <w:tcPr>
            <w:tcW w:w="112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110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6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515,000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515,000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772,500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right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Bonus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475,000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475,000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618,000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Equity Awards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2,592,048</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1,520,143</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1,520,143</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2,592,048</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Health &amp; Benefits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28,880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28,880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43,320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value</w:t>
            </w:r>
          </w:p>
        </w:tc>
        <w:tc>
          <w:tcPr>
            <w:tcW w:w="1120" w:type="dxa"/>
            <w:vAlign w:val="bottom"/>
            <w:tcBorders>
              <w:right w:val="single" w:sz="8" w:color="02AE90"/>
            </w:tcBorders>
            <w:shd w:val="clear" w:color="auto" w:fill="E5F6F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2,592,048</w:t>
            </w:r>
          </w:p>
        </w:tc>
        <w:tc>
          <w:tcPr>
            <w:tcW w:w="1120" w:type="dxa"/>
            <w:vAlign w:val="bottom"/>
            <w:tcBorders>
              <w:right w:val="single" w:sz="8" w:color="02AE90"/>
            </w:tcBorders>
            <w:shd w:val="clear" w:color="auto" w:fill="E5F6F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2,539,023</w:t>
            </w:r>
          </w:p>
        </w:tc>
        <w:tc>
          <w:tcPr>
            <w:tcW w:w="1080" w:type="dxa"/>
            <w:vAlign w:val="bottom"/>
            <w:tcBorders>
              <w:right w:val="single" w:sz="8" w:color="02AE90"/>
            </w:tcBorders>
            <w:shd w:val="clear" w:color="auto" w:fill="E5F6F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2,539,023</w:t>
            </w:r>
          </w:p>
        </w:tc>
        <w:tc>
          <w:tcPr>
            <w:tcW w:w="1100" w:type="dxa"/>
            <w:vAlign w:val="bottom"/>
            <w:tcBorders>
              <w:right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02AE90"/>
            </w:tcBorders>
            <w:shd w:val="clear" w:color="auto" w:fill="E5F6F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4,025,869</w:t>
            </w:r>
          </w:p>
        </w:tc>
        <w:tc>
          <w:tcPr>
            <w:tcW w:w="980" w:type="dxa"/>
            <w:vAlign w:val="bottom"/>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Ernst Teunissen</w:t>
            </w:r>
          </w:p>
        </w:tc>
        <w:tc>
          <w:tcPr>
            <w:tcW w:w="1120" w:type="dxa"/>
            <w:vAlign w:val="bottom"/>
            <w:tcBorders>
              <w:bottom w:val="single" w:sz="8" w:color="02AE90"/>
            </w:tcBorders>
          </w:tcPr>
          <w:p>
            <w:pPr>
              <w:spacing w:after="0"/>
              <w:rPr>
                <w:sz w:val="20"/>
                <w:szCs w:val="20"/>
                <w:color w:val="auto"/>
              </w:rPr>
            </w:pPr>
          </w:p>
        </w:tc>
        <w:tc>
          <w:tcPr>
            <w:tcW w:w="112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110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6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552,000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552,000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828,000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right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Bonus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520,000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520,000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662,400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Equity Awards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1,558,691</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1,558,691</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1,558,691</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1,558,691</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Health &amp; Benefits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28,661</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28,661</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42,991</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left w:val="single" w:sz="8" w:color="02AE90"/>
              <w:bottom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value</w:t>
            </w:r>
          </w:p>
        </w:tc>
        <w:tc>
          <w:tcPr>
            <w:tcW w:w="1120" w:type="dxa"/>
            <w:vAlign w:val="bottom"/>
            <w:tcBorders>
              <w:bottom w:val="single" w:sz="8" w:color="02AE90"/>
              <w:right w:val="single" w:sz="8" w:color="02AE90"/>
            </w:tcBorders>
            <w:shd w:val="clear" w:color="auto" w:fill="E5F6F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1,558,691</w:t>
            </w:r>
          </w:p>
        </w:tc>
        <w:tc>
          <w:tcPr>
            <w:tcW w:w="1120" w:type="dxa"/>
            <w:vAlign w:val="bottom"/>
            <w:tcBorders>
              <w:bottom w:val="single" w:sz="8" w:color="02AE90"/>
              <w:right w:val="single" w:sz="8" w:color="02AE90"/>
            </w:tcBorders>
            <w:shd w:val="clear" w:color="auto" w:fill="E5F6F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2,659,352</w:t>
            </w:r>
          </w:p>
        </w:tc>
        <w:tc>
          <w:tcPr>
            <w:tcW w:w="1080" w:type="dxa"/>
            <w:vAlign w:val="bottom"/>
            <w:tcBorders>
              <w:bottom w:val="single" w:sz="8" w:color="02AE90"/>
              <w:right w:val="single" w:sz="8" w:color="02AE90"/>
            </w:tcBorders>
            <w:shd w:val="clear" w:color="auto" w:fill="E5F6F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2,659,352</w:t>
            </w:r>
          </w:p>
        </w:tc>
        <w:tc>
          <w:tcPr>
            <w:tcW w:w="1100" w:type="dxa"/>
            <w:vAlign w:val="bottom"/>
            <w:tcBorders>
              <w:bottom w:val="single" w:sz="8" w:color="02AE90"/>
              <w:right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shd w:val="clear" w:color="auto" w:fill="E5F6F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3,092,083</w:t>
            </w:r>
          </w:p>
        </w:tc>
        <w:tc>
          <w:tcPr>
            <w:tcW w:w="980" w:type="dxa"/>
            <w:vAlign w:val="bottom"/>
            <w:tcBorders>
              <w:bottom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02AE90"/>
              <w:right w:val="single" w:sz="8" w:color="02AE90"/>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Kanika Soni</w:t>
            </w:r>
          </w:p>
        </w:tc>
        <w:tc>
          <w:tcPr>
            <w:tcW w:w="1120" w:type="dxa"/>
            <w:vAlign w:val="bottom"/>
            <w:tcBorders>
              <w:bottom w:val="single" w:sz="8" w:color="02AE90"/>
            </w:tcBorders>
          </w:tcPr>
          <w:p>
            <w:pPr>
              <w:spacing w:after="0"/>
              <w:rPr>
                <w:sz w:val="20"/>
                <w:szCs w:val="20"/>
                <w:color w:val="auto"/>
              </w:rPr>
            </w:pPr>
          </w:p>
        </w:tc>
        <w:tc>
          <w:tcPr>
            <w:tcW w:w="112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1100" w:type="dxa"/>
            <w:vAlign w:val="bottom"/>
            <w:tcBorders>
              <w:bottom w:val="single" w:sz="8" w:color="02AE90"/>
            </w:tcBorders>
          </w:tcPr>
          <w:p>
            <w:pPr>
              <w:spacing w:after="0"/>
              <w:rPr>
                <w:sz w:val="20"/>
                <w:szCs w:val="20"/>
                <w:color w:val="auto"/>
              </w:rPr>
            </w:pPr>
          </w:p>
        </w:tc>
        <w:tc>
          <w:tcPr>
            <w:tcW w:w="1080" w:type="dxa"/>
            <w:vAlign w:val="bottom"/>
            <w:tcBorders>
              <w:bottom w:val="single" w:sz="8" w:color="02AE90"/>
            </w:tcBorders>
          </w:tcPr>
          <w:p>
            <w:pPr>
              <w:spacing w:after="0"/>
              <w:rPr>
                <w:sz w:val="20"/>
                <w:szCs w:val="20"/>
                <w:color w:val="auto"/>
              </w:rPr>
            </w:pPr>
          </w:p>
        </w:tc>
        <w:tc>
          <w:tcPr>
            <w:tcW w:w="980" w:type="dxa"/>
            <w:vAlign w:val="bottom"/>
            <w:tcBorders>
              <w:bottom w:val="single" w:sz="8" w:color="02AE90"/>
            </w:tcBorders>
          </w:tcPr>
          <w:p>
            <w:pPr>
              <w:spacing w:after="0"/>
              <w:rPr>
                <w:sz w:val="20"/>
                <w:szCs w:val="20"/>
                <w:color w:val="auto"/>
              </w:rPr>
            </w:pPr>
          </w:p>
        </w:tc>
        <w:tc>
          <w:tcPr>
            <w:tcW w:w="10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66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Salary</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530,000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530,000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795,000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660" w:type="dxa"/>
            <w:vAlign w:val="bottom"/>
            <w:tcBorders>
              <w:left w:val="single" w:sz="8" w:color="02AE90"/>
              <w:bottom w:val="single" w:sz="8" w:color="02AE90"/>
              <w:right w:val="single" w:sz="8" w:color="02AE90"/>
            </w:tcBorders>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Bonus </w:t>
            </w:r>
            <w:r>
              <w:rPr>
                <w:rFonts w:ascii="Times New Roman" w:cs="Times New Roman" w:eastAsia="Times New Roman" w:hAnsi="Times New Roman"/>
                <w:sz w:val="23"/>
                <w:szCs w:val="23"/>
                <w:color w:val="auto"/>
                <w:vertAlign w:val="superscript"/>
              </w:rPr>
              <w:t>(2)</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430,000</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430,000</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715,500</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Equity Awards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2,389,992</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1,516,373</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1,516,373</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2,389,992</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660" w:type="dxa"/>
            <w:vAlign w:val="bottom"/>
            <w:tcBorders>
              <w:left w:val="single" w:sz="8" w:color="02AE90"/>
              <w:bottom w:val="single" w:sz="8" w:color="02AE90"/>
              <w:right w:val="single" w:sz="8" w:color="02AE90"/>
            </w:tcBorders>
          </w:tcPr>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Health &amp; Benefits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02AE90"/>
              <w:right w:val="single" w:sz="8" w:color="02AE90"/>
            </w:tcBorders>
          </w:tcPr>
          <w:p>
            <w:pPr>
              <w:jc w:val="right"/>
              <w:ind w:right="53"/>
              <w:spacing w:after="0"/>
              <w:rPr>
                <w:sz w:val="20"/>
                <w:szCs w:val="20"/>
                <w:color w:val="auto"/>
              </w:rPr>
            </w:pPr>
            <w:r>
              <w:rPr>
                <w:rFonts w:ascii="Times New Roman" w:cs="Times New Roman" w:eastAsia="Times New Roman" w:hAnsi="Times New Roman"/>
                <w:sz w:val="18"/>
                <w:szCs w:val="18"/>
                <w:color w:val="auto"/>
              </w:rPr>
              <w:t>20,274</w:t>
            </w:r>
          </w:p>
        </w:tc>
        <w:tc>
          <w:tcPr>
            <w:tcW w:w="1080" w:type="dxa"/>
            <w:vAlign w:val="bottom"/>
            <w:tcBorders>
              <w:bottom w:val="single" w:sz="8" w:color="02AE90"/>
              <w:right w:val="single" w:sz="8" w:color="02AE90"/>
            </w:tcBorders>
          </w:tcPr>
          <w:p>
            <w:pPr>
              <w:jc w:val="right"/>
              <w:ind w:right="33"/>
              <w:spacing w:after="0"/>
              <w:rPr>
                <w:sz w:val="20"/>
                <w:szCs w:val="20"/>
                <w:color w:val="auto"/>
              </w:rPr>
            </w:pPr>
            <w:r>
              <w:rPr>
                <w:rFonts w:ascii="Times New Roman" w:cs="Times New Roman" w:eastAsia="Times New Roman" w:hAnsi="Times New Roman"/>
                <w:sz w:val="18"/>
                <w:szCs w:val="18"/>
                <w:color w:val="auto"/>
              </w:rPr>
              <w:t>20,274</w:t>
            </w:r>
          </w:p>
        </w:tc>
        <w:tc>
          <w:tcPr>
            <w:tcW w:w="1100" w:type="dxa"/>
            <w:vAlign w:val="bottom"/>
            <w:tcBorders>
              <w:bottom w:val="single" w:sz="8" w:color="02AE90"/>
              <w:right w:val="single" w:sz="8" w:color="02AE90"/>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tcPr>
          <w:p>
            <w:pPr>
              <w:jc w:val="right"/>
              <w:ind w:right="35"/>
              <w:spacing w:after="0"/>
              <w:rPr>
                <w:sz w:val="20"/>
                <w:szCs w:val="20"/>
                <w:color w:val="auto"/>
              </w:rPr>
            </w:pPr>
            <w:r>
              <w:rPr>
                <w:rFonts w:ascii="Times New Roman" w:cs="Times New Roman" w:eastAsia="Times New Roman" w:hAnsi="Times New Roman"/>
                <w:sz w:val="18"/>
                <w:szCs w:val="18"/>
                <w:color w:val="auto"/>
              </w:rPr>
              <w:t>30,412</w:t>
            </w:r>
          </w:p>
        </w:tc>
        <w:tc>
          <w:tcPr>
            <w:tcW w:w="1080" w:type="dxa"/>
            <w:vAlign w:val="bottom"/>
            <w:tcBorders>
              <w:bottom w:val="single" w:sz="8" w:color="02AE90"/>
              <w:right w:val="single" w:sz="8" w:color="02AE90"/>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left w:val="single" w:sz="8" w:color="02AE90"/>
              <w:bottom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value</w:t>
            </w:r>
          </w:p>
        </w:tc>
        <w:tc>
          <w:tcPr>
            <w:tcW w:w="1120" w:type="dxa"/>
            <w:vAlign w:val="bottom"/>
            <w:tcBorders>
              <w:bottom w:val="single" w:sz="8" w:color="02AE90"/>
              <w:right w:val="single" w:sz="8" w:color="02AE90"/>
            </w:tcBorders>
            <w:shd w:val="clear" w:color="auto" w:fill="E5F6F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2,389,992</w:t>
            </w:r>
          </w:p>
        </w:tc>
        <w:tc>
          <w:tcPr>
            <w:tcW w:w="1120" w:type="dxa"/>
            <w:vAlign w:val="bottom"/>
            <w:tcBorders>
              <w:bottom w:val="single" w:sz="8" w:color="02AE90"/>
              <w:right w:val="single" w:sz="8" w:color="02AE90"/>
            </w:tcBorders>
            <w:shd w:val="clear" w:color="auto" w:fill="E5F6F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2,496,648</w:t>
            </w:r>
          </w:p>
        </w:tc>
        <w:tc>
          <w:tcPr>
            <w:tcW w:w="1080" w:type="dxa"/>
            <w:vAlign w:val="bottom"/>
            <w:tcBorders>
              <w:bottom w:val="single" w:sz="8" w:color="02AE90"/>
              <w:right w:val="single" w:sz="8" w:color="02AE90"/>
            </w:tcBorders>
            <w:shd w:val="clear" w:color="auto" w:fill="E5F6F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2,496,648</w:t>
            </w:r>
          </w:p>
        </w:tc>
        <w:tc>
          <w:tcPr>
            <w:tcW w:w="1100" w:type="dxa"/>
            <w:vAlign w:val="bottom"/>
            <w:tcBorders>
              <w:bottom w:val="single" w:sz="8" w:color="02AE90"/>
              <w:right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02AE90"/>
              <w:right w:val="single" w:sz="8" w:color="02AE90"/>
            </w:tcBorders>
            <w:shd w:val="clear" w:color="auto" w:fill="E5F6F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3,930,903</w:t>
            </w:r>
          </w:p>
        </w:tc>
        <w:tc>
          <w:tcPr>
            <w:tcW w:w="980" w:type="dxa"/>
            <w:vAlign w:val="bottom"/>
            <w:tcBorders>
              <w:bottom w:val="single" w:sz="8" w:color="02AE90"/>
            </w:tcBorders>
            <w:shd w:val="clear" w:color="auto" w:fill="E5F6F3"/>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02AE90"/>
              <w:right w:val="single" w:sz="8" w:color="02AE9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380" w:hanging="374"/>
        <w:spacing w:after="0" w:line="252" w:lineRule="auto"/>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Company’s 2018 Plan, upon a participant’s termination of employment by reason of death, any award that was unvested at the time of death will automatically vest, including performance awards which will vest at target.</w:t>
      </w:r>
    </w:p>
    <w:p>
      <w:pPr>
        <w:spacing w:after="0" w:line="7"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actual bonus amount for 2022, the payment of which the Company must consider in good faith pursuant to the terms of the employment agreement.</w:t>
      </w:r>
    </w:p>
    <w:p>
      <w:pPr>
        <w:spacing w:after="0" w:line="38" w:lineRule="exact"/>
        <w:rPr>
          <w:rFonts w:ascii="Times New Roman" w:cs="Times New Roman" w:eastAsia="Times New Roman" w:hAnsi="Times New Roman"/>
          <w:sz w:val="14"/>
          <w:szCs w:val="14"/>
          <w:color w:val="auto"/>
        </w:rPr>
      </w:pPr>
    </w:p>
    <w:p>
      <w:pPr>
        <w:jc w:val="both"/>
        <w:ind w:left="380" w:hanging="374"/>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2018 Plan and/or the employment arrangements entered into with the executives, (i) upon a termination of employment by death, all unvested awards automatically vest and options remain exercisable until the earlier of (A) the first anniversary of the date of death, and (B) the expiration of the term of the option; (ii) upon a termination of employment without Cause or a resignation by the employee for Good Reason, not in connection with a Change in Control, all equity awards held by such executive officers that otherwise would have vested during the 12-month period following termination, accelerate and become fully vested and exercisable (provided that equity awards that vest less frequently than annually shall be treated as though such awards vested annually); and (iii) upon a termination of employment without Cause or a resignation by the employee for Good Reason, in connection with a Change in Control, all equity awards held by such executive officers accelerate and become fully vested and exercisable and performance awards shall be considered earned at target and all restrictions shall lapse.</w:t>
      </w:r>
    </w:p>
    <w:p>
      <w:pPr>
        <w:spacing w:after="0" w:line="109"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extension of benefits or payment of the cost of benefits for a period of time following termination, pursuant to the terms of the employment agreement or the Severance Plan.</w:t>
      </w:r>
    </w:p>
    <w:p>
      <w:pPr>
        <w:sectPr>
          <w:pgSz w:w="11900" w:h="16838" w:orient="portrait"/>
          <w:cols w:equalWidth="0" w:num="1">
            <w:col w:w="11240"/>
          </w:cols>
          <w:pgMar w:left="320" w:top="334" w:right="3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80" w:name="page81"/>
    <w:bookmarkEnd w:id="8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Actual Payments upon Termination of Employment</w:t>
      </w:r>
    </w:p>
    <w:p>
      <w:pPr>
        <w:spacing w:after="0" w:line="328"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Ms. Nelson's employment with the Company terminated effective January 9, 2022. In connection with her termination, Ms. Nelson will also receive the following benefits:</w:t>
      </w:r>
    </w:p>
    <w:p>
      <w:pPr>
        <w:spacing w:after="0" w:line="57" w:lineRule="exact"/>
        <w:rPr>
          <w:sz w:val="20"/>
          <w:szCs w:val="20"/>
          <w:color w:val="auto"/>
        </w:rPr>
      </w:pPr>
    </w:p>
    <w:p>
      <w:pPr>
        <w:ind w:left="1140" w:hanging="370"/>
        <w:spacing w:after="0"/>
        <w:tabs>
          <w:tab w:leader="none" w:pos="1140" w:val="left"/>
        </w:tabs>
        <w:numPr>
          <w:ilvl w:val="0"/>
          <w:numId w:val="7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salary continuation for 12 months following the date of termination, in the amount of $419,769;</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7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annual bonus for 2021 in the amount of $192,780;</w:t>
      </w:r>
    </w:p>
    <w:p>
      <w:pPr>
        <w:spacing w:after="0" w:line="111"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70"/>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continuation of health benefits for a period of 12 months following termination, such benefit having a value of $______.</w:t>
      </w:r>
    </w:p>
    <w:p>
      <w:pPr>
        <w:spacing w:after="0" w:line="112"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Mr. Kaufer’s employment with the Company terminated effective as of July 1, 2022. As Mr. Kaufer voluntarily decided to retire from the Company he was not entitled to any payments in connection with the termination of his employment as the President and CEO.</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02AE90"/>
        </w:rPr>
        <w:t>DIRECTOR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Board sets non-employee director compensation which is designed to provide competitive compensation necessary to attract and retain high quality non-employee directors and to encourage ownership of Tripadvisor common stock to further align their interests with those of our stockholders. Each non-employee director of Tripadvisor is eligible to receive the following compensation:</w:t>
      </w:r>
    </w:p>
    <w:p>
      <w:pPr>
        <w:spacing w:after="0" w:line="71" w:lineRule="exact"/>
        <w:rPr>
          <w:sz w:val="20"/>
          <w:szCs w:val="20"/>
          <w:color w:val="auto"/>
        </w:rPr>
      </w:pPr>
    </w:p>
    <w:p>
      <w:pPr>
        <w:ind w:left="1140" w:hanging="370"/>
        <w:spacing w:after="0"/>
        <w:tabs>
          <w:tab w:leader="none" w:pos="1140" w:val="left"/>
        </w:tabs>
        <w:numPr>
          <w:ilvl w:val="0"/>
          <w:numId w:val="7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 annual cash retainer of $50,000, paid in equal quarterly installments;</w:t>
      </w:r>
    </w:p>
    <w:p>
      <w:pPr>
        <w:spacing w:after="0" w:line="111" w:lineRule="exact"/>
        <w:rPr>
          <w:rFonts w:ascii="Times New Roman" w:cs="Times New Roman" w:eastAsia="Times New Roman" w:hAnsi="Times New Roman"/>
          <w:sz w:val="18"/>
          <w:szCs w:val="18"/>
          <w:color w:val="02AE90"/>
        </w:rPr>
      </w:pPr>
    </w:p>
    <w:p>
      <w:pPr>
        <w:jc w:val="both"/>
        <w:ind w:left="1140" w:hanging="370"/>
        <w:spacing w:after="0" w:line="260" w:lineRule="auto"/>
        <w:tabs>
          <w:tab w:leader="none" w:pos="1140" w:val="left"/>
        </w:tabs>
        <w:numPr>
          <w:ilvl w:val="0"/>
          <w:numId w:val="7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 RSU award with a value of $250,000 (based on the closing price of Tripadvisor’s common stock on Nasdaq on the date of grant), upon such director’s election to office, subject to vesting in full on the first anniversary of the grant date and, in the event of a Change in Control (as defined in the 2023 Plan and above), full acceleration of vesting;</w:t>
      </w:r>
    </w:p>
    <w:p>
      <w:pPr>
        <w:spacing w:after="0" w:line="71"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7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 annual cash retainer of $20,000 for each member of the Audit Committee (including the Chairman) and $15,000 for each member of the Compensation Committees (including the Chairman); and</w:t>
      </w:r>
    </w:p>
    <w:p>
      <w:pPr>
        <w:spacing w:after="0" w:line="56" w:lineRule="exact"/>
        <w:rPr>
          <w:rFonts w:ascii="Times New Roman" w:cs="Times New Roman" w:eastAsia="Times New Roman" w:hAnsi="Times New Roman"/>
          <w:sz w:val="18"/>
          <w:szCs w:val="18"/>
          <w:color w:val="02AE90"/>
        </w:rPr>
      </w:pPr>
    </w:p>
    <w:p>
      <w:pPr>
        <w:ind w:left="1140" w:hanging="370"/>
        <w:spacing w:after="0" w:line="275" w:lineRule="auto"/>
        <w:tabs>
          <w:tab w:leader="none" w:pos="1140" w:val="left"/>
        </w:tabs>
        <w:numPr>
          <w:ilvl w:val="0"/>
          <w:numId w:val="71"/>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An additional annual cash retainer of $10,000 for each of the Chairman of the Audit Committee and the Chairman of the Compensation Committees.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pay reasonable travel and accommodation expenses of the non-employee directors in connection with their participation in meetings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199"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Tripadvisor employees do not receive compensation for serving as directors. Accordingly, neither Mr. Goldberg nor Mr. Kaufer received any compensation for their service as directors.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Deferred Compensation Plan</w:t>
      </w:r>
    </w:p>
    <w:p>
      <w:pPr>
        <w:spacing w:after="0" w:line="11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Under Tripadvisor’s Non-Employee Director Deferred Compensation Plan, the non-employee directors may defer all or a portion of their directors’ fees. Eligible directors who defer their directors’ fees may elect to have such deferred fees (i) applied to the purchase of share units representing the number of shares of Tripadvisor common stock that could have been purchased on the date such fees would otherwise be payable or (ii) credited to a cash fund. If any dividends are paid on Tripadvisor common stock, dividend equivalents will be credited on the share units. The cash fund will be credited with deemed interest at an annual rate equal to the average “bank prime loan” rate for such year identified in the U.S. Federal Reserve Statistical Release. Upon termination of service as a director of Tripadvisor, a director will receive (i) with respect to share units, such number of shares of Tripadvisor common stock as the share units represent and (ii) with respect to the cash fund, a cash payment. Payments upon termination will be made in either one lump sum or up to five installments, as elected by the eligible director at the time of the deferral election.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Non-Employee Director Compensation Table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compensation information for the non-employee directors of Tripadvisor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154305</wp:posOffset>
            </wp:positionV>
            <wp:extent cx="6417945" cy="17583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7945" cy="1758315"/>
                    </a:xfrm>
                    <a:prstGeom prst="rect">
                      <a:avLst/>
                    </a:prstGeom>
                    <a:noFill/>
                  </pic:spPr>
                </pic:pic>
              </a:graphicData>
            </a:graphic>
          </wp:anchor>
        </w:drawing>
      </w:r>
    </w:p>
    <w:p>
      <w:pPr>
        <w:spacing w:after="0" w:line="230"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5740" w:type="dxa"/>
            <w:vAlign w:val="bottom"/>
            <w:tcBorders>
              <w:left w:val="single" w:sz="8" w:color="02AE90"/>
              <w:right w:val="single" w:sz="8" w:color="02AE90"/>
            </w:tcBorders>
            <w:shd w:val="clear" w:color="auto" w:fill="02AE90"/>
          </w:tcPr>
          <w:p>
            <w:pPr>
              <w:spacing w:after="0"/>
              <w:rPr>
                <w:sz w:val="13"/>
                <w:szCs w:val="13"/>
                <w:color w:val="auto"/>
              </w:rPr>
            </w:pPr>
          </w:p>
        </w:tc>
        <w:tc>
          <w:tcPr>
            <w:tcW w:w="1420" w:type="dxa"/>
            <w:vAlign w:val="bottom"/>
            <w:tcBorders>
              <w:right w:val="single" w:sz="8" w:color="02AE90"/>
            </w:tcBorders>
            <w:shd w:val="clear" w:color="auto" w:fill="02AE90"/>
          </w:tcPr>
          <w:p>
            <w:pPr>
              <w:jc w:val="center"/>
              <w:ind w:left="19"/>
              <w:spacing w:after="0"/>
              <w:rPr>
                <w:sz w:val="20"/>
                <w:szCs w:val="20"/>
                <w:color w:val="auto"/>
              </w:rPr>
            </w:pPr>
            <w:r>
              <w:rPr>
                <w:rFonts w:ascii="Times New Roman" w:cs="Times New Roman" w:eastAsia="Times New Roman" w:hAnsi="Times New Roman"/>
                <w:sz w:val="14"/>
                <w:szCs w:val="14"/>
                <w:b w:val="1"/>
                <w:bCs w:val="1"/>
                <w:color w:val="FFFFFF"/>
              </w:rPr>
              <w:t>Fees Earned or</w:t>
            </w:r>
          </w:p>
        </w:tc>
        <w:tc>
          <w:tcPr>
            <w:tcW w:w="1420" w:type="dxa"/>
            <w:vAlign w:val="bottom"/>
            <w:tcBorders>
              <w:right w:val="single" w:sz="8" w:color="02AE90"/>
            </w:tcBorders>
            <w:vMerge w:val="restart"/>
            <w:shd w:val="clear" w:color="auto" w:fill="02AE90"/>
          </w:tcPr>
          <w:p>
            <w:pPr>
              <w:jc w:val="right"/>
              <w:ind w:right="158"/>
              <w:spacing w:after="0"/>
              <w:rPr>
                <w:sz w:val="20"/>
                <w:szCs w:val="20"/>
                <w:color w:val="auto"/>
              </w:rPr>
            </w:pPr>
            <w:r>
              <w:rPr>
                <w:rFonts w:ascii="Times New Roman" w:cs="Times New Roman" w:eastAsia="Times New Roman" w:hAnsi="Times New Roman"/>
                <w:sz w:val="14"/>
                <w:szCs w:val="14"/>
                <w:b w:val="1"/>
                <w:bCs w:val="1"/>
                <w:color w:val="FFFFFF"/>
              </w:rPr>
              <w:t>Stock Awards</w:t>
            </w:r>
          </w:p>
        </w:tc>
        <w:tc>
          <w:tcPr>
            <w:tcW w:w="1540" w:type="dxa"/>
            <w:vAlign w:val="bottom"/>
            <w:tcBorders>
              <w:right w:val="single" w:sz="8" w:color="02AE90"/>
            </w:tcBorders>
            <w:vMerge w:val="restart"/>
            <w:shd w:val="clear" w:color="auto" w:fill="02AE90"/>
          </w:tcPr>
          <w:p>
            <w:pPr>
              <w:jc w:val="right"/>
              <w:ind w:right="555"/>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5740" w:type="dxa"/>
            <w:vAlign w:val="bottom"/>
            <w:tcBorders>
              <w:left w:val="single" w:sz="8" w:color="02AE90"/>
              <w:right w:val="single" w:sz="8" w:color="02AE90"/>
            </w:tcBorders>
            <w:vMerge w:val="restart"/>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420" w:type="dxa"/>
            <w:vAlign w:val="bottom"/>
            <w:tcBorders>
              <w:right w:val="single" w:sz="8" w:color="02AE90"/>
            </w:tcBorders>
            <w:shd w:val="clear" w:color="auto" w:fill="02AE90"/>
          </w:tcPr>
          <w:p>
            <w:pPr>
              <w:jc w:val="center"/>
              <w:ind w:left="39"/>
              <w:spacing w:after="0" w:line="144" w:lineRule="exact"/>
              <w:rPr>
                <w:sz w:val="20"/>
                <w:szCs w:val="20"/>
                <w:color w:val="auto"/>
              </w:rPr>
            </w:pPr>
            <w:r>
              <w:rPr>
                <w:rFonts w:ascii="Times New Roman" w:cs="Times New Roman" w:eastAsia="Times New Roman" w:hAnsi="Times New Roman"/>
                <w:sz w:val="14"/>
                <w:szCs w:val="14"/>
                <w:b w:val="1"/>
                <w:bCs w:val="1"/>
                <w:color w:val="FFFFFF"/>
              </w:rPr>
              <w:t>Paid in Cash</w:t>
            </w:r>
          </w:p>
        </w:tc>
        <w:tc>
          <w:tcPr>
            <w:tcW w:w="1420" w:type="dxa"/>
            <w:vAlign w:val="bottom"/>
            <w:tcBorders>
              <w:right w:val="single" w:sz="8" w:color="02AE90"/>
            </w:tcBorders>
            <w:vMerge w:val="continue"/>
            <w:shd w:val="clear" w:color="auto" w:fill="02AE90"/>
          </w:tcPr>
          <w:p>
            <w:pPr>
              <w:spacing w:after="0"/>
              <w:rPr>
                <w:sz w:val="12"/>
                <w:szCs w:val="12"/>
                <w:color w:val="auto"/>
              </w:rPr>
            </w:pPr>
          </w:p>
        </w:tc>
        <w:tc>
          <w:tcPr>
            <w:tcW w:w="1540" w:type="dxa"/>
            <w:vAlign w:val="bottom"/>
            <w:tcBorders>
              <w:right w:val="single" w:sz="8" w:color="02AE90"/>
            </w:tcBorders>
            <w:vMerge w:val="continue"/>
            <w:shd w:val="clear" w:color="auto" w:fill="02AE90"/>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740" w:type="dxa"/>
            <w:vAlign w:val="bottom"/>
            <w:tcBorders>
              <w:left w:val="single" w:sz="8" w:color="02AE90"/>
              <w:right w:val="single" w:sz="8" w:color="02AE90"/>
            </w:tcBorders>
            <w:vMerge w:val="continue"/>
            <w:shd w:val="clear" w:color="auto" w:fill="02AE90"/>
          </w:tcPr>
          <w:p>
            <w:pPr>
              <w:spacing w:after="0"/>
              <w:rPr>
                <w:sz w:val="16"/>
                <w:szCs w:val="16"/>
                <w:color w:val="auto"/>
              </w:rPr>
            </w:pPr>
          </w:p>
        </w:tc>
        <w:tc>
          <w:tcPr>
            <w:tcW w:w="1420" w:type="dxa"/>
            <w:vAlign w:val="bottom"/>
            <w:tcBorders>
              <w:right w:val="single" w:sz="8" w:color="02AE90"/>
            </w:tcBorders>
            <w:shd w:val="clear" w:color="auto" w:fill="02AE90"/>
          </w:tcPr>
          <w:p>
            <w:pPr>
              <w:jc w:val="center"/>
              <w:ind w:left="19"/>
              <w:spacing w:after="0" w:line="173" w:lineRule="exact"/>
              <w:rPr>
                <w:sz w:val="20"/>
                <w:szCs w:val="20"/>
                <w:color w:val="auto"/>
              </w:rPr>
            </w:pPr>
            <w:r>
              <w:rPr>
                <w:rFonts w:ascii="Times New Roman" w:cs="Times New Roman" w:eastAsia="Times New Roman" w:hAnsi="Times New Roman"/>
                <w:sz w:val="20"/>
                <w:szCs w:val="20"/>
                <w:b w:val="1"/>
                <w:bCs w:val="1"/>
                <w:color w:val="FFFFFF"/>
                <w:vertAlign w:val="subscript"/>
              </w:rPr>
              <w:t>($)</w:t>
            </w:r>
            <w:r>
              <w:rPr>
                <w:rFonts w:ascii="Times New Roman" w:cs="Times New Roman" w:eastAsia="Times New Roman" w:hAnsi="Times New Roman"/>
                <w:sz w:val="8"/>
                <w:szCs w:val="8"/>
                <w:b w:val="1"/>
                <w:bCs w:val="1"/>
                <w:color w:val="FFFFFF"/>
              </w:rPr>
              <w:t>(1)</w:t>
            </w:r>
          </w:p>
        </w:tc>
        <w:tc>
          <w:tcPr>
            <w:tcW w:w="1420" w:type="dxa"/>
            <w:vAlign w:val="bottom"/>
            <w:tcBorders>
              <w:right w:val="single" w:sz="8" w:color="02AE90"/>
            </w:tcBorders>
            <w:shd w:val="clear" w:color="auto" w:fill="02AE90"/>
          </w:tcPr>
          <w:p>
            <w:pPr>
              <w:jc w:val="right"/>
              <w:ind w:right="378"/>
              <w:spacing w:after="0" w:line="173" w:lineRule="exact"/>
              <w:rPr>
                <w:sz w:val="20"/>
                <w:szCs w:val="20"/>
                <w:color w:val="auto"/>
              </w:rPr>
            </w:pPr>
            <w:r>
              <w:rPr>
                <w:rFonts w:ascii="Times New Roman" w:cs="Times New Roman" w:eastAsia="Times New Roman" w:hAnsi="Times New Roman"/>
                <w:sz w:val="20"/>
                <w:szCs w:val="20"/>
                <w:b w:val="1"/>
                <w:bCs w:val="1"/>
                <w:color w:val="FFFFFF"/>
                <w:vertAlign w:val="subscript"/>
              </w:rPr>
              <w:t>($)</w:t>
            </w:r>
            <w:r>
              <w:rPr>
                <w:rFonts w:ascii="Times New Roman" w:cs="Times New Roman" w:eastAsia="Times New Roman" w:hAnsi="Times New Roman"/>
                <w:sz w:val="8"/>
                <w:szCs w:val="8"/>
                <w:b w:val="1"/>
                <w:bCs w:val="1"/>
                <w:color w:val="FFFFFF"/>
              </w:rPr>
              <w:t>(2)(3)</w:t>
            </w:r>
          </w:p>
        </w:tc>
        <w:tc>
          <w:tcPr>
            <w:tcW w:w="1540" w:type="dxa"/>
            <w:vAlign w:val="bottom"/>
            <w:tcBorders>
              <w:right w:val="single" w:sz="8" w:color="02AE90"/>
            </w:tcBorders>
            <w:shd w:val="clear" w:color="auto" w:fill="02AE90"/>
          </w:tcPr>
          <w:p>
            <w:pPr>
              <w:jc w:val="right"/>
              <w:ind w:right="615"/>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35"/>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Gregory B. Maffei</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314,984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Jay C. Hoag</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314,984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Betsy L. Morgan</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324,984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M. Greg O’Hara</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299,984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Jeremy Philips</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319,984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Albert Rosenthaler</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299,984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Trynka Shineman Blake</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319,984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Jane Jie Sun</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299,984</w:t>
            </w:r>
          </w:p>
        </w:tc>
        <w:tc>
          <w:tcPr>
            <w:tcW w:w="0" w:type="dxa"/>
            <w:vAlign w:val="bottom"/>
          </w:tcPr>
          <w:p>
            <w:pPr>
              <w:spacing w:after="0"/>
              <w:rPr>
                <w:sz w:val="1"/>
                <w:szCs w:val="1"/>
                <w:color w:val="auto"/>
              </w:rPr>
            </w:pPr>
          </w:p>
        </w:tc>
      </w:tr>
      <w:tr>
        <w:trPr>
          <w:trHeight w:val="232"/>
        </w:trPr>
        <w:tc>
          <w:tcPr>
            <w:tcW w:w="5740" w:type="dxa"/>
            <w:vAlign w:val="bottom"/>
            <w:tcBorders>
              <w:left w:val="single" w:sz="8" w:color="02AE90"/>
              <w:bottom w:val="single" w:sz="8" w:color="02AE90"/>
              <w:right w:val="single" w:sz="8" w:color="02AE90"/>
            </w:tcBorders>
          </w:tcPr>
          <w:p>
            <w:pPr>
              <w:ind w:left="100"/>
              <w:spacing w:after="0"/>
              <w:rPr>
                <w:sz w:val="20"/>
                <w:szCs w:val="20"/>
                <w:color w:val="auto"/>
              </w:rPr>
            </w:pPr>
            <w:r>
              <w:rPr>
                <w:rFonts w:ascii="Times New Roman" w:cs="Times New Roman" w:eastAsia="Times New Roman" w:hAnsi="Times New Roman"/>
                <w:sz w:val="18"/>
                <w:szCs w:val="18"/>
                <w:color w:val="auto"/>
              </w:rPr>
              <w:t>Robert S. Wiesenthal</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20" w:type="dxa"/>
            <w:vAlign w:val="bottom"/>
            <w:tcBorders>
              <w:bottom w:val="single" w:sz="8" w:color="02AE90"/>
              <w:right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249,984</w:t>
            </w:r>
          </w:p>
        </w:tc>
        <w:tc>
          <w:tcPr>
            <w:tcW w:w="1540" w:type="dxa"/>
            <w:vAlign w:val="bottom"/>
            <w:tcBorders>
              <w:bottom w:val="single" w:sz="8" w:color="02AE90"/>
              <w:right w:val="single" w:sz="8" w:color="02AE90"/>
            </w:tcBorders>
          </w:tcPr>
          <w:p>
            <w:pPr>
              <w:jc w:val="right"/>
              <w:ind w:right="75"/>
              <w:spacing w:after="0"/>
              <w:rPr>
                <w:sz w:val="20"/>
                <w:szCs w:val="20"/>
                <w:color w:val="auto"/>
              </w:rPr>
            </w:pPr>
            <w:r>
              <w:rPr>
                <w:rFonts w:ascii="Times New Roman" w:cs="Times New Roman" w:eastAsia="Times New Roman" w:hAnsi="Times New Roman"/>
                <w:sz w:val="18"/>
                <w:szCs w:val="18"/>
                <w:color w:val="auto"/>
              </w:rPr>
              <w:t>329,984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900" w:hanging="384"/>
        <w:spacing w:after="0" w:line="252" w:lineRule="auto"/>
        <w:tabs>
          <w:tab w:leader="none" w:pos="9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annual cash retainer amounts for services in 2022, including fees with respect to which directors elected to defer and credit towards the purchase of share units representing shares of the Company common stock pursuant to the Company’s Non-Employee Director Deferred Compensation Plan.</w:t>
      </w:r>
    </w:p>
    <w:p>
      <w:pPr>
        <w:spacing w:after="0" w:line="60" w:lineRule="exact"/>
        <w:rPr>
          <w:rFonts w:ascii="Times New Roman" w:cs="Times New Roman" w:eastAsia="Times New Roman" w:hAnsi="Times New Roman"/>
          <w:sz w:val="14"/>
          <w:szCs w:val="14"/>
          <w:color w:val="auto"/>
        </w:rPr>
      </w:pPr>
    </w:p>
    <w:p>
      <w:pPr>
        <w:ind w:left="900" w:hanging="384"/>
        <w:spacing w:after="0" w:line="252" w:lineRule="auto"/>
        <w:tabs>
          <w:tab w:leader="none" w:pos="9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RSU awards computed in accordance with FASB ASC Topic 718, and therefore may not correspond to the actual value that will be recognized by the non-employee directors from their awards.</w:t>
      </w:r>
    </w:p>
    <w:p>
      <w:pPr>
        <w:spacing w:after="0" w:line="60" w:lineRule="exact"/>
        <w:rPr>
          <w:rFonts w:ascii="Times New Roman" w:cs="Times New Roman" w:eastAsia="Times New Roman" w:hAnsi="Times New Roman"/>
          <w:sz w:val="14"/>
          <w:szCs w:val="14"/>
          <w:color w:val="auto"/>
        </w:rPr>
      </w:pPr>
    </w:p>
    <w:p>
      <w:pPr>
        <w:ind w:left="900" w:hanging="384"/>
        <w:spacing w:after="0"/>
        <w:tabs>
          <w:tab w:leader="none" w:pos="9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each of the directors held 12,800 RSUs.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SECURITY OWNERSHIP OF CERTAIN BENEFICIAL OWNERS AND MANAGEMENT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p>
      <w:pPr>
        <w:spacing w:after="0" w:line="11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following table presents information as of April 17, 2023, relating to the beneficial ownership of Tripadvisor’s capital stock by (i) each person or entity known to Tripadvisor to own beneficially more than 5% of the outstanding shares of Tripadvisor’s common stock or Class B common stock, (ii) each director and director nominee of Tripadvisor, (iii) the named executive officers and (iv) our executive officers and directors, as a group. In each case, except as otherwise indicated in the footnotes to the table, the shares are owned directly by the named owners, with sole voting and dispositive power. Unless otherwise indicated, beneficial owners listed in the table may be contacted at Tripadvisor’s corporate headquarters at 400 1st Avenue, Needham, Massachusetts 02494.</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Shares of Tripadvisor Class B common stock may, at the option of the holder, be converted on a one-for-one basis into shares of Tripadvisor common stock; therefore, the common stock column below includes shares of Class B common stock held by each such listed person, entity or group, and the beneficial ownership percentage of each such listed person assumes the conversion of all Class B common stock into common stock. For each listed person, entity or group, the number of shares of Tripadvisor common stock and Class B common stock and the percentage of each such class listed also include shares of common stock and Class B common stock that may be acquired by such person, entity or group on the conversion or exercise of equity securities, such as stock options, which can be converted or exercised, and RSUs that have or will have vested, within 60 days of April 17, 2023, but do not assume the conversion or exercise of any equity securities (other than the conversion of the Class B common stock) owned by any other person, entity or group.</w:t>
      </w:r>
    </w:p>
    <w:p>
      <w:pPr>
        <w:spacing w:after="0" w:line="92"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7"/>
          <w:szCs w:val="17"/>
          <w:color w:val="auto"/>
        </w:rPr>
        <w:t>The percentage of votes for all classes of Tripadvisor’s capital stock is based on one vote for each share of common stock and ten votes for each share of Class B common stock. There were [126,819,417] shares of common stock and 12,799,999 shares of Class B common stock outstanding on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105410</wp:posOffset>
            </wp:positionV>
            <wp:extent cx="3339465" cy="3543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39465" cy="354330"/>
                    </a:xfrm>
                    <a:prstGeom prst="rect">
                      <a:avLst/>
                    </a:prstGeom>
                    <a:noFill/>
                  </pic:spPr>
                </pic:pic>
              </a:graphicData>
            </a:graphic>
          </wp:anchor>
        </w:drawing>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980" w:type="dxa"/>
            <w:vAlign w:val="bottom"/>
            <w:tcBorders>
              <w:left w:val="single" w:sz="8" w:color="02AE90"/>
              <w:right w:val="single" w:sz="8" w:color="02AE90"/>
            </w:tcBorders>
            <w:shd w:val="clear" w:color="auto" w:fill="02AE90"/>
          </w:tcPr>
          <w:p>
            <w:pPr>
              <w:spacing w:after="0"/>
              <w:rPr>
                <w:sz w:val="13"/>
                <w:szCs w:val="13"/>
                <w:color w:val="auto"/>
              </w:rPr>
            </w:pPr>
          </w:p>
        </w:tc>
        <w:tc>
          <w:tcPr>
            <w:tcW w:w="1820" w:type="dxa"/>
            <w:vAlign w:val="bottom"/>
            <w:gridSpan w:val="3"/>
            <w:vMerge w:val="restart"/>
            <w:shd w:val="clear" w:color="auto" w:fill="02AE90"/>
          </w:tcPr>
          <w:p>
            <w:pPr>
              <w:ind w:left="800"/>
              <w:spacing w:after="0"/>
              <w:rPr>
                <w:sz w:val="20"/>
                <w:szCs w:val="20"/>
                <w:color w:val="auto"/>
              </w:rPr>
            </w:pPr>
            <w:r>
              <w:rPr>
                <w:rFonts w:ascii="Times New Roman" w:cs="Times New Roman" w:eastAsia="Times New Roman" w:hAnsi="Times New Roman"/>
                <w:sz w:val="14"/>
                <w:szCs w:val="14"/>
                <w:b w:val="1"/>
                <w:bCs w:val="1"/>
                <w:color w:val="FFFFFF"/>
              </w:rPr>
              <w:t>Common Stock</w:t>
            </w:r>
          </w:p>
        </w:tc>
        <w:tc>
          <w:tcPr>
            <w:tcW w:w="840" w:type="dxa"/>
            <w:vAlign w:val="bottom"/>
            <w:tcBorders>
              <w:right w:val="single" w:sz="8" w:color="02AE90"/>
            </w:tcBorders>
            <w:shd w:val="clear" w:color="auto" w:fill="02AE90"/>
          </w:tcPr>
          <w:p>
            <w:pPr>
              <w:spacing w:after="0"/>
              <w:rPr>
                <w:sz w:val="13"/>
                <w:szCs w:val="13"/>
                <w:color w:val="auto"/>
              </w:rPr>
            </w:pPr>
          </w:p>
        </w:tc>
        <w:tc>
          <w:tcPr>
            <w:tcW w:w="1760" w:type="dxa"/>
            <w:vAlign w:val="bottom"/>
            <w:gridSpan w:val="3"/>
            <w:shd w:val="clear" w:color="auto" w:fill="02AE90"/>
          </w:tcPr>
          <w:p>
            <w:pPr>
              <w:jc w:val="center"/>
              <w:ind w:left="574"/>
              <w:spacing w:after="0"/>
              <w:rPr>
                <w:sz w:val="20"/>
                <w:szCs w:val="20"/>
                <w:color w:val="auto"/>
              </w:rPr>
            </w:pPr>
            <w:r>
              <w:rPr>
                <w:rFonts w:ascii="Times New Roman" w:cs="Times New Roman" w:eastAsia="Times New Roman" w:hAnsi="Times New Roman"/>
                <w:sz w:val="14"/>
                <w:szCs w:val="14"/>
                <w:b w:val="1"/>
                <w:bCs w:val="1"/>
                <w:color w:val="FFFFFF"/>
              </w:rPr>
              <w:t>Class B</w:t>
            </w:r>
          </w:p>
        </w:tc>
        <w:tc>
          <w:tcPr>
            <w:tcW w:w="780" w:type="dxa"/>
            <w:vAlign w:val="bottom"/>
            <w:tcBorders>
              <w:right w:val="single" w:sz="8" w:color="02AE90"/>
            </w:tcBorders>
            <w:shd w:val="clear" w:color="auto" w:fill="02AE90"/>
          </w:tcPr>
          <w:p>
            <w:pPr>
              <w:spacing w:after="0"/>
              <w:rPr>
                <w:sz w:val="13"/>
                <w:szCs w:val="13"/>
                <w:color w:val="auto"/>
              </w:rPr>
            </w:pPr>
          </w:p>
        </w:tc>
        <w:tc>
          <w:tcPr>
            <w:tcW w:w="10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Percent (%)</w:t>
            </w:r>
          </w:p>
        </w:tc>
        <w:tc>
          <w:tcPr>
            <w:tcW w:w="0" w:type="dxa"/>
            <w:vAlign w:val="bottom"/>
          </w:tcPr>
          <w:p>
            <w:pPr>
              <w:spacing w:after="0"/>
              <w:rPr>
                <w:sz w:val="1"/>
                <w:szCs w:val="1"/>
                <w:color w:val="auto"/>
              </w:rPr>
            </w:pPr>
          </w:p>
        </w:tc>
      </w:tr>
      <w:tr>
        <w:trPr>
          <w:trHeight w:val="184"/>
        </w:trPr>
        <w:tc>
          <w:tcPr>
            <w:tcW w:w="4980" w:type="dxa"/>
            <w:vAlign w:val="bottom"/>
            <w:tcBorders>
              <w:left w:val="single" w:sz="8" w:color="02AE90"/>
              <w:right w:val="single" w:sz="8" w:color="02AE90"/>
            </w:tcBorders>
            <w:shd w:val="clear" w:color="auto" w:fill="02AE90"/>
          </w:tcPr>
          <w:p>
            <w:pPr>
              <w:spacing w:after="0"/>
              <w:rPr>
                <w:sz w:val="15"/>
                <w:szCs w:val="15"/>
                <w:color w:val="auto"/>
              </w:rPr>
            </w:pPr>
          </w:p>
        </w:tc>
        <w:tc>
          <w:tcPr>
            <w:tcW w:w="1820" w:type="dxa"/>
            <w:vAlign w:val="bottom"/>
            <w:gridSpan w:val="3"/>
            <w:vMerge w:val="continue"/>
            <w:shd w:val="clear" w:color="auto" w:fill="02AE90"/>
          </w:tcPr>
          <w:p>
            <w:pPr>
              <w:spacing w:after="0"/>
              <w:rPr>
                <w:sz w:val="15"/>
                <w:szCs w:val="15"/>
                <w:color w:val="auto"/>
              </w:rPr>
            </w:pPr>
          </w:p>
        </w:tc>
        <w:tc>
          <w:tcPr>
            <w:tcW w:w="840" w:type="dxa"/>
            <w:vAlign w:val="bottom"/>
            <w:tcBorders>
              <w:right w:val="single" w:sz="8" w:color="02AE90"/>
            </w:tcBorders>
            <w:shd w:val="clear" w:color="auto" w:fill="02AE90"/>
          </w:tcPr>
          <w:p>
            <w:pPr>
              <w:spacing w:after="0"/>
              <w:rPr>
                <w:sz w:val="15"/>
                <w:szCs w:val="15"/>
                <w:color w:val="auto"/>
              </w:rPr>
            </w:pPr>
          </w:p>
        </w:tc>
        <w:tc>
          <w:tcPr>
            <w:tcW w:w="1760" w:type="dxa"/>
            <w:vAlign w:val="bottom"/>
            <w:gridSpan w:val="3"/>
            <w:shd w:val="clear" w:color="auto" w:fill="02AE90"/>
          </w:tcPr>
          <w:p>
            <w:pPr>
              <w:jc w:val="center"/>
              <w:ind w:left="574"/>
              <w:spacing w:after="0"/>
              <w:rPr>
                <w:sz w:val="20"/>
                <w:szCs w:val="20"/>
                <w:color w:val="auto"/>
              </w:rPr>
            </w:pPr>
            <w:r>
              <w:rPr>
                <w:rFonts w:ascii="Times New Roman" w:cs="Times New Roman" w:eastAsia="Times New Roman" w:hAnsi="Times New Roman"/>
                <w:sz w:val="14"/>
                <w:szCs w:val="14"/>
                <w:b w:val="1"/>
                <w:bCs w:val="1"/>
                <w:color w:val="FFFFFF"/>
              </w:rPr>
              <w:t>Common Stock</w:t>
            </w:r>
          </w:p>
        </w:tc>
        <w:tc>
          <w:tcPr>
            <w:tcW w:w="780" w:type="dxa"/>
            <w:vAlign w:val="bottom"/>
            <w:tcBorders>
              <w:right w:val="single" w:sz="8" w:color="02AE90"/>
            </w:tcBorders>
            <w:shd w:val="clear" w:color="auto" w:fill="02AE90"/>
          </w:tcPr>
          <w:p>
            <w:pPr>
              <w:spacing w:after="0"/>
              <w:rPr>
                <w:sz w:val="15"/>
                <w:szCs w:val="15"/>
                <w:color w:val="auto"/>
              </w:rPr>
            </w:pPr>
          </w:p>
        </w:tc>
        <w:tc>
          <w:tcPr>
            <w:tcW w:w="10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w w:val="94"/>
              </w:rPr>
              <w:t>of Votes</w:t>
            </w:r>
          </w:p>
        </w:tc>
        <w:tc>
          <w:tcPr>
            <w:tcW w:w="0" w:type="dxa"/>
            <w:vAlign w:val="bottom"/>
          </w:tcPr>
          <w:p>
            <w:pPr>
              <w:spacing w:after="0"/>
              <w:rPr>
                <w:sz w:val="1"/>
                <w:szCs w:val="1"/>
                <w:color w:val="auto"/>
              </w:rPr>
            </w:pPr>
          </w:p>
        </w:tc>
      </w:tr>
      <w:tr>
        <w:trPr>
          <w:trHeight w:val="199"/>
        </w:trPr>
        <w:tc>
          <w:tcPr>
            <w:tcW w:w="4980" w:type="dxa"/>
            <w:vAlign w:val="bottom"/>
            <w:tcBorders>
              <w:left w:val="single" w:sz="8" w:color="02AE90"/>
              <w:right w:val="single" w:sz="8" w:color="02AE90"/>
            </w:tcBorders>
            <w:shd w:val="clear" w:color="auto" w:fill="02AE90"/>
          </w:tcPr>
          <w:p>
            <w:pPr>
              <w:ind w:left="100"/>
              <w:spacing w:after="0"/>
              <w:rPr>
                <w:sz w:val="20"/>
                <w:szCs w:val="20"/>
                <w:color w:val="auto"/>
              </w:rPr>
            </w:pPr>
            <w:r>
              <w:rPr>
                <w:rFonts w:ascii="Times New Roman" w:cs="Times New Roman" w:eastAsia="Times New Roman" w:hAnsi="Times New Roman"/>
                <w:sz w:val="14"/>
                <w:szCs w:val="14"/>
                <w:b w:val="1"/>
                <w:bCs w:val="1"/>
                <w:color w:val="FFFFFF"/>
              </w:rPr>
              <w:t>Beneficial Owner</w:t>
            </w:r>
          </w:p>
        </w:tc>
        <w:tc>
          <w:tcPr>
            <w:tcW w:w="1060" w:type="dxa"/>
            <w:vAlign w:val="bottom"/>
            <w:shd w:val="clear" w:color="auto" w:fill="02AE90"/>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Shares</w:t>
            </w:r>
          </w:p>
        </w:tc>
        <w:tc>
          <w:tcPr>
            <w:tcW w:w="400" w:type="dxa"/>
            <w:vAlign w:val="bottom"/>
            <w:tcBorders>
              <w:right w:val="single" w:sz="8" w:color="02AE90"/>
            </w:tcBorders>
            <w:shd w:val="clear" w:color="auto" w:fill="02AE90"/>
          </w:tcPr>
          <w:p>
            <w:pPr>
              <w:spacing w:after="0"/>
              <w:rPr>
                <w:sz w:val="17"/>
                <w:szCs w:val="17"/>
                <w:color w:val="auto"/>
              </w:rPr>
            </w:pPr>
          </w:p>
        </w:tc>
        <w:tc>
          <w:tcPr>
            <w:tcW w:w="360" w:type="dxa"/>
            <w:vAlign w:val="bottom"/>
            <w:shd w:val="clear" w:color="auto" w:fill="02AE90"/>
          </w:tcPr>
          <w:p>
            <w:pPr>
              <w:spacing w:after="0"/>
              <w:rPr>
                <w:sz w:val="17"/>
                <w:szCs w:val="17"/>
                <w:color w:val="auto"/>
              </w:rPr>
            </w:pPr>
          </w:p>
        </w:tc>
        <w:tc>
          <w:tcPr>
            <w:tcW w:w="840" w:type="dxa"/>
            <w:vAlign w:val="bottom"/>
            <w:tcBorders>
              <w:right w:val="single" w:sz="8" w:color="02AE90"/>
            </w:tcBorders>
            <w:shd w:val="clear" w:color="auto" w:fill="02AE90"/>
          </w:tcPr>
          <w:p>
            <w:pPr>
              <w:jc w:val="right"/>
              <w:ind w:right="512"/>
              <w:spacing w:after="0"/>
              <w:rPr>
                <w:sz w:val="20"/>
                <w:szCs w:val="20"/>
                <w:color w:val="auto"/>
              </w:rPr>
            </w:pPr>
            <w:r>
              <w:rPr>
                <w:rFonts w:ascii="Times New Roman" w:cs="Times New Roman" w:eastAsia="Times New Roman" w:hAnsi="Times New Roman"/>
                <w:sz w:val="14"/>
                <w:szCs w:val="14"/>
                <w:b w:val="1"/>
                <w:bCs w:val="1"/>
                <w:color w:val="FFFFFF"/>
              </w:rPr>
              <w:t>%</w:t>
            </w:r>
          </w:p>
        </w:tc>
        <w:tc>
          <w:tcPr>
            <w:tcW w:w="1060" w:type="dxa"/>
            <w:vAlign w:val="bottom"/>
            <w:shd w:val="clear" w:color="auto" w:fill="02AE90"/>
          </w:tcPr>
          <w:p>
            <w:pPr>
              <w:jc w:val="right"/>
              <w:ind w:right="134"/>
              <w:spacing w:after="0"/>
              <w:rPr>
                <w:sz w:val="20"/>
                <w:szCs w:val="20"/>
                <w:color w:val="auto"/>
              </w:rPr>
            </w:pPr>
            <w:r>
              <w:rPr>
                <w:rFonts w:ascii="Times New Roman" w:cs="Times New Roman" w:eastAsia="Times New Roman" w:hAnsi="Times New Roman"/>
                <w:sz w:val="14"/>
                <w:szCs w:val="14"/>
                <w:b w:val="1"/>
                <w:bCs w:val="1"/>
                <w:color w:val="FFFFFF"/>
              </w:rPr>
              <w:t>Shares</w:t>
            </w:r>
          </w:p>
        </w:tc>
        <w:tc>
          <w:tcPr>
            <w:tcW w:w="320" w:type="dxa"/>
            <w:vAlign w:val="bottom"/>
            <w:tcBorders>
              <w:right w:val="single" w:sz="8" w:color="02AE90"/>
            </w:tcBorders>
            <w:shd w:val="clear" w:color="auto" w:fill="02AE90"/>
          </w:tcPr>
          <w:p>
            <w:pPr>
              <w:spacing w:after="0"/>
              <w:rPr>
                <w:sz w:val="17"/>
                <w:szCs w:val="17"/>
                <w:color w:val="auto"/>
              </w:rPr>
            </w:pPr>
          </w:p>
        </w:tc>
        <w:tc>
          <w:tcPr>
            <w:tcW w:w="380" w:type="dxa"/>
            <w:vAlign w:val="bottom"/>
            <w:shd w:val="clear" w:color="auto" w:fill="02AE90"/>
          </w:tcPr>
          <w:p>
            <w:pPr>
              <w:spacing w:after="0"/>
              <w:rPr>
                <w:sz w:val="17"/>
                <w:szCs w:val="17"/>
                <w:color w:val="auto"/>
              </w:rPr>
            </w:pPr>
          </w:p>
        </w:tc>
        <w:tc>
          <w:tcPr>
            <w:tcW w:w="780" w:type="dxa"/>
            <w:vAlign w:val="bottom"/>
            <w:tcBorders>
              <w:right w:val="single" w:sz="8" w:color="02AE90"/>
            </w:tcBorders>
            <w:shd w:val="clear" w:color="auto" w:fill="02AE90"/>
          </w:tcPr>
          <w:p>
            <w:pPr>
              <w:jc w:val="right"/>
              <w:ind w:right="472"/>
              <w:spacing w:after="0"/>
              <w:rPr>
                <w:sz w:val="20"/>
                <w:szCs w:val="20"/>
                <w:color w:val="auto"/>
              </w:rPr>
            </w:pPr>
            <w:r>
              <w:rPr>
                <w:rFonts w:ascii="Times New Roman" w:cs="Times New Roman" w:eastAsia="Times New Roman" w:hAnsi="Times New Roman"/>
                <w:sz w:val="14"/>
                <w:szCs w:val="14"/>
                <w:b w:val="1"/>
                <w:bCs w:val="1"/>
                <w:color w:val="FFFFFF"/>
              </w:rPr>
              <w:t>%</w:t>
            </w:r>
          </w:p>
        </w:tc>
        <w:tc>
          <w:tcPr>
            <w:tcW w:w="1060" w:type="dxa"/>
            <w:vAlign w:val="bottom"/>
            <w:tcBorders>
              <w:right w:val="single" w:sz="8" w:color="02AE90"/>
            </w:tcBorders>
            <w:shd w:val="clear" w:color="auto" w:fill="02AE90"/>
          </w:tcPr>
          <w:p>
            <w:pPr>
              <w:jc w:val="center"/>
              <w:spacing w:after="0"/>
              <w:rPr>
                <w:sz w:val="20"/>
                <w:szCs w:val="20"/>
                <w:color w:val="auto"/>
              </w:rPr>
            </w:pPr>
            <w:r>
              <w:rPr>
                <w:rFonts w:ascii="Times New Roman" w:cs="Times New Roman" w:eastAsia="Times New Roman" w:hAnsi="Times New Roman"/>
                <w:sz w:val="14"/>
                <w:szCs w:val="14"/>
                <w:b w:val="1"/>
                <w:bCs w:val="1"/>
                <w:color w:val="FFFFFF"/>
              </w:rPr>
              <w:t>(All Classes)</w:t>
            </w:r>
          </w:p>
        </w:tc>
        <w:tc>
          <w:tcPr>
            <w:tcW w:w="0" w:type="dxa"/>
            <w:vAlign w:val="bottom"/>
          </w:tcPr>
          <w:p>
            <w:pPr>
              <w:spacing w:after="0"/>
              <w:rPr>
                <w:sz w:val="1"/>
                <w:szCs w:val="1"/>
                <w:color w:val="auto"/>
              </w:rPr>
            </w:pPr>
          </w:p>
        </w:tc>
      </w:tr>
      <w:tr>
        <w:trPr>
          <w:trHeight w:val="236"/>
        </w:trPr>
        <w:tc>
          <w:tcPr>
            <w:tcW w:w="4980" w:type="dxa"/>
            <w:vAlign w:val="bottom"/>
            <w:tcBorders>
              <w:left w:val="single" w:sz="8" w:color="02AE90"/>
              <w:bottom w:val="single" w:sz="8" w:color="02AE90"/>
              <w:right w:val="single" w:sz="8" w:color="E5F6F3"/>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5% Beneficial Owners</w:t>
            </w:r>
          </w:p>
        </w:tc>
        <w:tc>
          <w:tcPr>
            <w:tcW w:w="1060" w:type="dxa"/>
            <w:vAlign w:val="bottom"/>
            <w:tcBorders>
              <w:bottom w:val="single" w:sz="8" w:color="02AE90"/>
            </w:tcBorders>
            <w:shd w:val="clear" w:color="auto" w:fill="E5F6F3"/>
          </w:tcPr>
          <w:p>
            <w:pPr>
              <w:spacing w:after="0"/>
              <w:rPr>
                <w:sz w:val="20"/>
                <w:szCs w:val="20"/>
                <w:color w:val="auto"/>
              </w:rPr>
            </w:pPr>
          </w:p>
        </w:tc>
        <w:tc>
          <w:tcPr>
            <w:tcW w:w="400" w:type="dxa"/>
            <w:vAlign w:val="bottom"/>
            <w:tcBorders>
              <w:bottom w:val="single" w:sz="8" w:color="02AE90"/>
              <w:right w:val="single" w:sz="8" w:color="E5F6F3"/>
            </w:tcBorders>
            <w:shd w:val="clear" w:color="auto" w:fill="E5F6F3"/>
          </w:tcPr>
          <w:p>
            <w:pPr>
              <w:spacing w:after="0"/>
              <w:rPr>
                <w:sz w:val="20"/>
                <w:szCs w:val="20"/>
                <w:color w:val="auto"/>
              </w:rPr>
            </w:pPr>
          </w:p>
        </w:tc>
        <w:tc>
          <w:tcPr>
            <w:tcW w:w="360" w:type="dxa"/>
            <w:vAlign w:val="bottom"/>
            <w:tcBorders>
              <w:bottom w:val="single" w:sz="8" w:color="02AE90"/>
            </w:tcBorders>
            <w:shd w:val="clear" w:color="auto" w:fill="E5F6F3"/>
          </w:tcPr>
          <w:p>
            <w:pPr>
              <w:spacing w:after="0"/>
              <w:rPr>
                <w:sz w:val="20"/>
                <w:szCs w:val="20"/>
                <w:color w:val="auto"/>
              </w:rPr>
            </w:pPr>
          </w:p>
        </w:tc>
        <w:tc>
          <w:tcPr>
            <w:tcW w:w="840" w:type="dxa"/>
            <w:vAlign w:val="bottom"/>
            <w:tcBorders>
              <w:bottom w:val="single" w:sz="8" w:color="02AE90"/>
              <w:right w:val="single" w:sz="8" w:color="E5F6F3"/>
            </w:tcBorders>
            <w:shd w:val="clear" w:color="auto" w:fill="E5F6F3"/>
          </w:tcPr>
          <w:p>
            <w:pPr>
              <w:spacing w:after="0"/>
              <w:rPr>
                <w:sz w:val="20"/>
                <w:szCs w:val="20"/>
                <w:color w:val="auto"/>
              </w:rPr>
            </w:pPr>
          </w:p>
        </w:tc>
        <w:tc>
          <w:tcPr>
            <w:tcW w:w="1060" w:type="dxa"/>
            <w:vAlign w:val="bottom"/>
            <w:tcBorders>
              <w:bottom w:val="single" w:sz="8" w:color="02AE90"/>
            </w:tcBorders>
            <w:shd w:val="clear" w:color="auto" w:fill="E5F6F3"/>
          </w:tcPr>
          <w:p>
            <w:pPr>
              <w:spacing w:after="0"/>
              <w:rPr>
                <w:sz w:val="20"/>
                <w:szCs w:val="20"/>
                <w:color w:val="auto"/>
              </w:rPr>
            </w:pPr>
          </w:p>
        </w:tc>
        <w:tc>
          <w:tcPr>
            <w:tcW w:w="320" w:type="dxa"/>
            <w:vAlign w:val="bottom"/>
            <w:tcBorders>
              <w:bottom w:val="single" w:sz="8" w:color="02AE90"/>
              <w:right w:val="single" w:sz="8" w:color="E5F6F3"/>
            </w:tcBorders>
            <w:shd w:val="clear" w:color="auto" w:fill="E5F6F3"/>
          </w:tcPr>
          <w:p>
            <w:pPr>
              <w:spacing w:after="0"/>
              <w:rPr>
                <w:sz w:val="20"/>
                <w:szCs w:val="20"/>
                <w:color w:val="auto"/>
              </w:rPr>
            </w:pPr>
          </w:p>
        </w:tc>
        <w:tc>
          <w:tcPr>
            <w:tcW w:w="380" w:type="dxa"/>
            <w:vAlign w:val="bottom"/>
            <w:tcBorders>
              <w:bottom w:val="single" w:sz="8" w:color="02AE90"/>
            </w:tcBorders>
            <w:shd w:val="clear" w:color="auto" w:fill="E5F6F3"/>
          </w:tcPr>
          <w:p>
            <w:pPr>
              <w:spacing w:after="0"/>
              <w:rPr>
                <w:sz w:val="20"/>
                <w:szCs w:val="20"/>
                <w:color w:val="auto"/>
              </w:rPr>
            </w:pPr>
          </w:p>
        </w:tc>
        <w:tc>
          <w:tcPr>
            <w:tcW w:w="780" w:type="dxa"/>
            <w:vAlign w:val="bottom"/>
            <w:tcBorders>
              <w:bottom w:val="single" w:sz="8" w:color="02AE90"/>
              <w:right w:val="single" w:sz="8" w:color="E5F6F3"/>
            </w:tcBorders>
            <w:shd w:val="clear" w:color="auto" w:fill="E5F6F3"/>
          </w:tcPr>
          <w:p>
            <w:pPr>
              <w:spacing w:after="0"/>
              <w:rPr>
                <w:sz w:val="20"/>
                <w:szCs w:val="20"/>
                <w:color w:val="auto"/>
              </w:rPr>
            </w:pPr>
          </w:p>
        </w:tc>
        <w:tc>
          <w:tcPr>
            <w:tcW w:w="1060" w:type="dxa"/>
            <w:vAlign w:val="bottom"/>
            <w:tcBorders>
              <w:bottom w:val="single" w:sz="8" w:color="02AE90"/>
              <w:right w:val="single" w:sz="8" w:color="02AE90"/>
            </w:tcBorders>
            <w:shd w:val="clear" w:color="auto" w:fill="E5F6F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980" w:type="dxa"/>
            <w:vAlign w:val="bottom"/>
            <w:tcBorders>
              <w:left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Liberty TripAdvisor Holdings,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29,245,893</w:t>
            </w:r>
          </w:p>
        </w:tc>
        <w:tc>
          <w:tcPr>
            <w:tcW w:w="400" w:type="dxa"/>
            <w:vAlign w:val="bottom"/>
            <w:tcBorders>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360" w:type="dxa"/>
            <w:vAlign w:val="bottom"/>
          </w:tcPr>
          <w:p>
            <w:pPr>
              <w:spacing w:after="0"/>
              <w:rPr>
                <w:sz w:val="19"/>
                <w:szCs w:val="19"/>
                <w:color w:val="auto"/>
              </w:rPr>
            </w:pPr>
          </w:p>
        </w:tc>
        <w:tc>
          <w:tcPr>
            <w:tcW w:w="840" w:type="dxa"/>
            <w:vAlign w:val="bottom"/>
            <w:tcBorders>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20.6%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12,799,999</w:t>
            </w:r>
          </w:p>
        </w:tc>
        <w:tc>
          <w:tcPr>
            <w:tcW w:w="320" w:type="dxa"/>
            <w:vAlign w:val="bottom"/>
            <w:tcBorders>
              <w:right w:val="single" w:sz="8" w:color="02AE90"/>
            </w:tcBorders>
          </w:tcPr>
          <w:p>
            <w:pPr>
              <w:jc w:val="right"/>
              <w:ind w:right="101"/>
              <w:spacing w:after="0"/>
              <w:rPr>
                <w:sz w:val="20"/>
                <w:szCs w:val="20"/>
                <w:color w:val="auto"/>
              </w:rPr>
            </w:pPr>
            <w:r>
              <w:rPr>
                <w:rFonts w:ascii="Times New Roman" w:cs="Times New Roman" w:eastAsia="Times New Roman" w:hAnsi="Times New Roman"/>
                <w:sz w:val="12"/>
                <w:szCs w:val="12"/>
                <w:color w:val="auto"/>
                <w:w w:val="99"/>
              </w:rPr>
              <w:t>(1)</w:t>
            </w:r>
          </w:p>
        </w:tc>
        <w:tc>
          <w:tcPr>
            <w:tcW w:w="380" w:type="dxa"/>
            <w:vAlign w:val="bottom"/>
          </w:tcPr>
          <w:p>
            <w:pPr>
              <w:spacing w:after="0"/>
              <w:rPr>
                <w:sz w:val="19"/>
                <w:szCs w:val="19"/>
                <w:color w:val="auto"/>
              </w:rPr>
            </w:pPr>
          </w:p>
        </w:tc>
        <w:tc>
          <w:tcPr>
            <w:tcW w:w="780" w:type="dxa"/>
            <w:vAlign w:val="bottom"/>
            <w:tcBorders>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tcBorders>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8"/>
              </w:rPr>
              <w:t>56.2%</w:t>
            </w:r>
          </w:p>
        </w:tc>
        <w:tc>
          <w:tcPr>
            <w:tcW w:w="0" w:type="dxa"/>
            <w:vAlign w:val="bottom"/>
          </w:tcPr>
          <w:p>
            <w:pPr>
              <w:spacing w:after="0"/>
              <w:rPr>
                <w:sz w:val="1"/>
                <w:szCs w:val="1"/>
                <w:color w:val="auto"/>
              </w:rPr>
            </w:pPr>
          </w:p>
        </w:tc>
      </w:tr>
      <w:tr>
        <w:trPr>
          <w:trHeight w:val="240"/>
        </w:trPr>
        <w:tc>
          <w:tcPr>
            <w:tcW w:w="498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12300 Liberty Boulevard Englewood, CO 80112</w:t>
            </w:r>
          </w:p>
        </w:tc>
        <w:tc>
          <w:tcPr>
            <w:tcW w:w="1060" w:type="dxa"/>
            <w:vAlign w:val="bottom"/>
            <w:tcBorders>
              <w:bottom w:val="single" w:sz="8" w:color="02AE90"/>
            </w:tcBorders>
          </w:tcPr>
          <w:p>
            <w:pPr>
              <w:spacing w:after="0"/>
              <w:rPr>
                <w:sz w:val="20"/>
                <w:szCs w:val="20"/>
                <w:color w:val="auto"/>
              </w:rPr>
            </w:pP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tcBorders>
          </w:tcPr>
          <w:p>
            <w:pPr>
              <w:spacing w:after="0"/>
              <w:rPr>
                <w:sz w:val="20"/>
                <w:szCs w:val="20"/>
                <w:color w:val="auto"/>
              </w:rPr>
            </w:pP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80" w:type="dxa"/>
            <w:vAlign w:val="bottom"/>
            <w:tcBorders>
              <w:left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The Vanguard Group</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10,740,789</w:t>
            </w:r>
          </w:p>
        </w:tc>
        <w:tc>
          <w:tcPr>
            <w:tcW w:w="400" w:type="dxa"/>
            <w:vAlign w:val="bottom"/>
            <w:tcBorders>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360" w:type="dxa"/>
            <w:vAlign w:val="bottom"/>
          </w:tcPr>
          <w:p>
            <w:pPr>
              <w:spacing w:after="0"/>
              <w:rPr>
                <w:sz w:val="20"/>
                <w:szCs w:val="20"/>
                <w:color w:val="auto"/>
              </w:rPr>
            </w:pPr>
          </w:p>
        </w:tc>
        <w:tc>
          <w:tcPr>
            <w:tcW w:w="840" w:type="dxa"/>
            <w:vAlign w:val="bottom"/>
            <w:tcBorders>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7.6%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02AE90"/>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4.2%</w:t>
            </w:r>
          </w:p>
        </w:tc>
        <w:tc>
          <w:tcPr>
            <w:tcW w:w="0" w:type="dxa"/>
            <w:vAlign w:val="bottom"/>
          </w:tcPr>
          <w:p>
            <w:pPr>
              <w:spacing w:after="0"/>
              <w:rPr>
                <w:sz w:val="1"/>
                <w:szCs w:val="1"/>
                <w:color w:val="auto"/>
              </w:rPr>
            </w:pPr>
          </w:p>
        </w:tc>
      </w:tr>
      <w:tr>
        <w:trPr>
          <w:trHeight w:val="240"/>
        </w:trPr>
        <w:tc>
          <w:tcPr>
            <w:tcW w:w="498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100 Vanguard Blvd, Malvern, PA 19355</w:t>
            </w:r>
          </w:p>
        </w:tc>
        <w:tc>
          <w:tcPr>
            <w:tcW w:w="1060" w:type="dxa"/>
            <w:vAlign w:val="bottom"/>
            <w:tcBorders>
              <w:bottom w:val="single" w:sz="8" w:color="02AE90"/>
            </w:tcBorders>
          </w:tcPr>
          <w:p>
            <w:pPr>
              <w:spacing w:after="0"/>
              <w:rPr>
                <w:sz w:val="20"/>
                <w:szCs w:val="20"/>
                <w:color w:val="auto"/>
              </w:rPr>
            </w:pP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tcBorders>
          </w:tcPr>
          <w:p>
            <w:pPr>
              <w:spacing w:after="0"/>
              <w:rPr>
                <w:sz w:val="20"/>
                <w:szCs w:val="20"/>
                <w:color w:val="auto"/>
              </w:rPr>
            </w:pP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80" w:type="dxa"/>
            <w:vAlign w:val="bottom"/>
            <w:tcBorders>
              <w:left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BlackRock,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9,644,646</w:t>
            </w:r>
          </w:p>
        </w:tc>
        <w:tc>
          <w:tcPr>
            <w:tcW w:w="400" w:type="dxa"/>
            <w:vAlign w:val="bottom"/>
            <w:tcBorders>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tcPr>
          <w:p>
            <w:pPr>
              <w:spacing w:after="0"/>
              <w:rPr>
                <w:sz w:val="20"/>
                <w:szCs w:val="20"/>
                <w:color w:val="auto"/>
              </w:rPr>
            </w:pPr>
          </w:p>
        </w:tc>
        <w:tc>
          <w:tcPr>
            <w:tcW w:w="840" w:type="dxa"/>
            <w:vAlign w:val="bottom"/>
            <w:tcBorders>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02AE90"/>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3.8%</w:t>
            </w:r>
          </w:p>
        </w:tc>
        <w:tc>
          <w:tcPr>
            <w:tcW w:w="0" w:type="dxa"/>
            <w:vAlign w:val="bottom"/>
          </w:tcPr>
          <w:p>
            <w:pPr>
              <w:spacing w:after="0"/>
              <w:rPr>
                <w:sz w:val="1"/>
                <w:szCs w:val="1"/>
                <w:color w:val="auto"/>
              </w:rPr>
            </w:pPr>
          </w:p>
        </w:tc>
      </w:tr>
      <w:tr>
        <w:trPr>
          <w:trHeight w:val="240"/>
        </w:trPr>
        <w:tc>
          <w:tcPr>
            <w:tcW w:w="498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55 East 52nd Street, New York, NY 10022</w:t>
            </w:r>
          </w:p>
        </w:tc>
        <w:tc>
          <w:tcPr>
            <w:tcW w:w="1060" w:type="dxa"/>
            <w:vAlign w:val="bottom"/>
            <w:tcBorders>
              <w:bottom w:val="single" w:sz="8" w:color="02AE90"/>
            </w:tcBorders>
          </w:tcPr>
          <w:p>
            <w:pPr>
              <w:spacing w:after="0"/>
              <w:rPr>
                <w:sz w:val="20"/>
                <w:szCs w:val="20"/>
                <w:color w:val="auto"/>
              </w:rPr>
            </w:pP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tcBorders>
          </w:tcPr>
          <w:p>
            <w:pPr>
              <w:spacing w:after="0"/>
              <w:rPr>
                <w:sz w:val="20"/>
                <w:szCs w:val="20"/>
                <w:color w:val="auto"/>
              </w:rPr>
            </w:pP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80" w:type="dxa"/>
            <w:vAlign w:val="bottom"/>
            <w:tcBorders>
              <w:left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PAR Investment Partners, L.P.</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400" w:type="dxa"/>
            <w:vAlign w:val="bottom"/>
            <w:tcBorders>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(4)</w:t>
            </w:r>
          </w:p>
        </w:tc>
        <w:tc>
          <w:tcPr>
            <w:tcW w:w="360" w:type="dxa"/>
            <w:vAlign w:val="bottom"/>
          </w:tcPr>
          <w:p>
            <w:pPr>
              <w:spacing w:after="0"/>
              <w:rPr>
                <w:sz w:val="20"/>
                <w:szCs w:val="20"/>
                <w:color w:val="auto"/>
              </w:rPr>
            </w:pPr>
          </w:p>
        </w:tc>
        <w:tc>
          <w:tcPr>
            <w:tcW w:w="840" w:type="dxa"/>
            <w:vAlign w:val="bottom"/>
            <w:tcBorders>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right w:val="single" w:sz="8" w:color="02AE90"/>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3.3%</w:t>
            </w:r>
          </w:p>
        </w:tc>
        <w:tc>
          <w:tcPr>
            <w:tcW w:w="0" w:type="dxa"/>
            <w:vAlign w:val="bottom"/>
          </w:tcPr>
          <w:p>
            <w:pPr>
              <w:spacing w:after="0"/>
              <w:rPr>
                <w:sz w:val="1"/>
                <w:szCs w:val="1"/>
                <w:color w:val="auto"/>
              </w:rPr>
            </w:pPr>
          </w:p>
        </w:tc>
      </w:tr>
      <w:tr>
        <w:trPr>
          <w:trHeight w:val="240"/>
        </w:trPr>
        <w:tc>
          <w:tcPr>
            <w:tcW w:w="4980" w:type="dxa"/>
            <w:vAlign w:val="bottom"/>
            <w:tcBorders>
              <w:left w:val="single" w:sz="8" w:color="02AE90"/>
              <w:bottom w:val="single" w:sz="8" w:color="02AE90"/>
              <w:right w:val="single" w:sz="8" w:color="02AE90"/>
            </w:tcBorders>
          </w:tcPr>
          <w:p>
            <w:pPr>
              <w:ind w:left="200"/>
              <w:spacing w:after="0"/>
              <w:rPr>
                <w:sz w:val="20"/>
                <w:szCs w:val="20"/>
                <w:color w:val="auto"/>
              </w:rPr>
            </w:pPr>
            <w:r>
              <w:rPr>
                <w:rFonts w:ascii="Times New Roman" w:cs="Times New Roman" w:eastAsia="Times New Roman" w:hAnsi="Times New Roman"/>
                <w:sz w:val="18"/>
                <w:szCs w:val="18"/>
                <w:color w:val="auto"/>
              </w:rPr>
              <w:t>200 Clarendon Street, FL 48, Boston, MA 02116</w:t>
            </w:r>
          </w:p>
        </w:tc>
        <w:tc>
          <w:tcPr>
            <w:tcW w:w="1060" w:type="dxa"/>
            <w:vAlign w:val="bottom"/>
            <w:tcBorders>
              <w:bottom w:val="single" w:sz="8" w:color="02AE90"/>
            </w:tcBorders>
          </w:tcPr>
          <w:p>
            <w:pPr>
              <w:spacing w:after="0"/>
              <w:rPr>
                <w:sz w:val="20"/>
                <w:szCs w:val="20"/>
                <w:color w:val="auto"/>
              </w:rPr>
            </w:pP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tcBorders>
          </w:tcPr>
          <w:p>
            <w:pPr>
              <w:spacing w:after="0"/>
              <w:rPr>
                <w:sz w:val="20"/>
                <w:szCs w:val="20"/>
                <w:color w:val="auto"/>
              </w:rPr>
            </w:pP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spacing w:after="0"/>
              <w:rPr>
                <w:sz w:val="20"/>
                <w:szCs w:val="20"/>
                <w:color w:val="auto"/>
              </w:rPr>
            </w:pPr>
          </w:p>
        </w:tc>
        <w:tc>
          <w:tcPr>
            <w:tcW w:w="1060" w:type="dxa"/>
            <w:vAlign w:val="bottom"/>
            <w:tcBorders>
              <w:bottom w:val="single" w:sz="8" w:color="02AE90"/>
              <w:right w:val="single" w:sz="8" w:color="02AE9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80" w:type="dxa"/>
            <w:vAlign w:val="bottom"/>
            <w:tcBorders>
              <w:left w:val="single" w:sz="8" w:color="02AE90"/>
              <w:bottom w:val="single" w:sz="8" w:color="02AE90"/>
              <w:right w:val="single" w:sz="8" w:color="02AE90"/>
            </w:tcBorders>
            <w:shd w:val="clear" w:color="auto" w:fill="E5F6F3"/>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60" w:type="dxa"/>
            <w:vAlign w:val="bottom"/>
            <w:tcBorders>
              <w:bottom w:val="single" w:sz="8" w:color="02AE90"/>
            </w:tcBorders>
            <w:shd w:val="clear" w:color="auto" w:fill="E5F6F3"/>
          </w:tcPr>
          <w:p>
            <w:pPr>
              <w:spacing w:after="0"/>
              <w:rPr>
                <w:sz w:val="20"/>
                <w:szCs w:val="20"/>
                <w:color w:val="auto"/>
              </w:rPr>
            </w:pPr>
          </w:p>
        </w:tc>
        <w:tc>
          <w:tcPr>
            <w:tcW w:w="400" w:type="dxa"/>
            <w:vAlign w:val="bottom"/>
            <w:tcBorders>
              <w:bottom w:val="single" w:sz="8" w:color="02AE90"/>
              <w:right w:val="single" w:sz="8" w:color="02AE90"/>
            </w:tcBorders>
            <w:shd w:val="clear" w:color="auto" w:fill="E5F6F3"/>
          </w:tcPr>
          <w:p>
            <w:pPr>
              <w:spacing w:after="0"/>
              <w:rPr>
                <w:sz w:val="20"/>
                <w:szCs w:val="20"/>
                <w:color w:val="auto"/>
              </w:rPr>
            </w:pPr>
          </w:p>
        </w:tc>
        <w:tc>
          <w:tcPr>
            <w:tcW w:w="360" w:type="dxa"/>
            <w:vAlign w:val="bottom"/>
            <w:tcBorders>
              <w:bottom w:val="single" w:sz="8" w:color="02AE90"/>
            </w:tcBorders>
            <w:shd w:val="clear" w:color="auto" w:fill="E5F6F3"/>
          </w:tcPr>
          <w:p>
            <w:pPr>
              <w:spacing w:after="0"/>
              <w:rPr>
                <w:sz w:val="20"/>
                <w:szCs w:val="20"/>
                <w:color w:val="auto"/>
              </w:rPr>
            </w:pPr>
          </w:p>
        </w:tc>
        <w:tc>
          <w:tcPr>
            <w:tcW w:w="840" w:type="dxa"/>
            <w:vAlign w:val="bottom"/>
            <w:tcBorders>
              <w:bottom w:val="single" w:sz="8" w:color="02AE90"/>
              <w:right w:val="single" w:sz="8" w:color="02AE90"/>
            </w:tcBorders>
            <w:shd w:val="clear" w:color="auto" w:fill="E5F6F3"/>
          </w:tcPr>
          <w:p>
            <w:pPr>
              <w:spacing w:after="0"/>
              <w:rPr>
                <w:sz w:val="20"/>
                <w:szCs w:val="20"/>
                <w:color w:val="auto"/>
              </w:rPr>
            </w:pPr>
          </w:p>
        </w:tc>
        <w:tc>
          <w:tcPr>
            <w:tcW w:w="1060" w:type="dxa"/>
            <w:vAlign w:val="bottom"/>
            <w:tcBorders>
              <w:bottom w:val="single" w:sz="8" w:color="02AE90"/>
            </w:tcBorders>
            <w:shd w:val="clear" w:color="auto" w:fill="E5F6F3"/>
          </w:tcPr>
          <w:p>
            <w:pPr>
              <w:spacing w:after="0"/>
              <w:rPr>
                <w:sz w:val="20"/>
                <w:szCs w:val="20"/>
                <w:color w:val="auto"/>
              </w:rPr>
            </w:pPr>
          </w:p>
        </w:tc>
        <w:tc>
          <w:tcPr>
            <w:tcW w:w="320" w:type="dxa"/>
            <w:vAlign w:val="bottom"/>
            <w:tcBorders>
              <w:bottom w:val="single" w:sz="8" w:color="02AE90"/>
              <w:right w:val="single" w:sz="8" w:color="02AE90"/>
            </w:tcBorders>
            <w:shd w:val="clear" w:color="auto" w:fill="E5F6F3"/>
          </w:tcPr>
          <w:p>
            <w:pPr>
              <w:spacing w:after="0"/>
              <w:rPr>
                <w:sz w:val="20"/>
                <w:szCs w:val="20"/>
                <w:color w:val="auto"/>
              </w:rPr>
            </w:pPr>
          </w:p>
        </w:tc>
        <w:tc>
          <w:tcPr>
            <w:tcW w:w="380" w:type="dxa"/>
            <w:vAlign w:val="bottom"/>
            <w:tcBorders>
              <w:bottom w:val="single" w:sz="8" w:color="02AE90"/>
            </w:tcBorders>
            <w:shd w:val="clear" w:color="auto" w:fill="E5F6F3"/>
          </w:tcPr>
          <w:p>
            <w:pPr>
              <w:spacing w:after="0"/>
              <w:rPr>
                <w:sz w:val="20"/>
                <w:szCs w:val="20"/>
                <w:color w:val="auto"/>
              </w:rPr>
            </w:pPr>
          </w:p>
        </w:tc>
        <w:tc>
          <w:tcPr>
            <w:tcW w:w="780" w:type="dxa"/>
            <w:vAlign w:val="bottom"/>
            <w:tcBorders>
              <w:bottom w:val="single" w:sz="8" w:color="02AE90"/>
              <w:right w:val="single" w:sz="8" w:color="02AE90"/>
            </w:tcBorders>
            <w:shd w:val="clear" w:color="auto" w:fill="E5F6F3"/>
          </w:tcPr>
          <w:p>
            <w:pPr>
              <w:spacing w:after="0"/>
              <w:rPr>
                <w:sz w:val="20"/>
                <w:szCs w:val="20"/>
                <w:color w:val="auto"/>
              </w:rPr>
            </w:pPr>
          </w:p>
        </w:tc>
        <w:tc>
          <w:tcPr>
            <w:tcW w:w="1060" w:type="dxa"/>
            <w:vAlign w:val="bottom"/>
            <w:tcBorders>
              <w:bottom w:val="single" w:sz="8" w:color="02AE90"/>
              <w:right w:val="single" w:sz="8" w:color="02AE90"/>
            </w:tcBorders>
            <w:shd w:val="clear" w:color="auto" w:fill="E5F6F3"/>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Gregory B. Maffei</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107,186</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Stephen Kaufer</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2,920,942</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Trynka Shineman Blake</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Jay C. Hoag</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(8)</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Betsy Morgan</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Greg O’Hara</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1,743,341</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(9)</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Jeremy Philips</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Jane Jie Sun</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(10)</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Albert Rosenthaler</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Robert S. Wiesenthal</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(7)</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Matt Goldberg</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Michael Noonan</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02AE90"/>
              <w:right w:val="single" w:sz="8" w:color="02AE90"/>
            </w:tcBorders>
          </w:tcPr>
          <w:p>
            <w:pPr>
              <w:spacing w:after="0"/>
              <w:rPr>
                <w:sz w:val="20"/>
                <w:szCs w:val="20"/>
                <w:color w:val="auto"/>
              </w:rPr>
            </w:pP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Ernst Teunissen</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485,841</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Seth J. Kalvert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437,485</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(12)</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2"/>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Kanika Soni</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341,208</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4"/>
        </w:trPr>
        <w:tc>
          <w:tcPr>
            <w:tcW w:w="4980" w:type="dxa"/>
            <w:vAlign w:val="bottom"/>
            <w:tcBorders>
              <w:left w:val="single" w:sz="8" w:color="02AE90"/>
              <w:right w:val="single" w:sz="8" w:color="02AE90"/>
            </w:tcBorders>
          </w:tcPr>
          <w:p>
            <w:pPr>
              <w:ind w:left="120"/>
              <w:spacing w:after="0" w:line="204" w:lineRule="exact"/>
              <w:rPr>
                <w:sz w:val="20"/>
                <w:szCs w:val="20"/>
                <w:color w:val="auto"/>
              </w:rPr>
            </w:pPr>
            <w:r>
              <w:rPr>
                <w:rFonts w:ascii="Times New Roman" w:cs="Times New Roman" w:eastAsia="Times New Roman" w:hAnsi="Times New Roman"/>
                <w:sz w:val="18"/>
                <w:szCs w:val="18"/>
                <w:color w:val="auto"/>
              </w:rPr>
              <w:t>All executive officers, directors and director nominees as a group</w:t>
            </w:r>
          </w:p>
        </w:tc>
        <w:tc>
          <w:tcPr>
            <w:tcW w:w="1060" w:type="dxa"/>
            <w:vAlign w:val="bottom"/>
          </w:tcPr>
          <w:p>
            <w:pPr>
              <w:spacing w:after="0"/>
              <w:rPr>
                <w:sz w:val="17"/>
                <w:szCs w:val="17"/>
                <w:color w:val="auto"/>
              </w:rPr>
            </w:pPr>
          </w:p>
        </w:tc>
        <w:tc>
          <w:tcPr>
            <w:tcW w:w="400" w:type="dxa"/>
            <w:vAlign w:val="bottom"/>
            <w:tcBorders>
              <w:right w:val="single" w:sz="8" w:color="02AE90"/>
            </w:tcBorders>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right w:val="single" w:sz="8" w:color="02AE90"/>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right w:val="single" w:sz="8" w:color="02AE90"/>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right w:val="single" w:sz="8" w:color="02AE90"/>
            </w:tcBorders>
          </w:tcPr>
          <w:p>
            <w:pPr>
              <w:spacing w:after="0"/>
              <w:rPr>
                <w:sz w:val="17"/>
                <w:szCs w:val="17"/>
                <w:color w:val="auto"/>
              </w:rPr>
            </w:pPr>
          </w:p>
        </w:tc>
        <w:tc>
          <w:tcPr>
            <w:tcW w:w="1060" w:type="dxa"/>
            <w:vAlign w:val="bottom"/>
            <w:tcBorders>
              <w:right w:val="single" w:sz="8" w:color="02AE90"/>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80" w:type="dxa"/>
            <w:vAlign w:val="bottom"/>
            <w:tcBorders>
              <w:left w:val="single" w:sz="8" w:color="02AE90"/>
              <w:bottom w:val="single" w:sz="8" w:color="02AE90"/>
              <w:right w:val="single" w:sz="8" w:color="02AE90"/>
            </w:tcBorders>
          </w:tcPr>
          <w:p>
            <w:pPr>
              <w:ind w:left="120"/>
              <w:spacing w:after="0"/>
              <w:rPr>
                <w:sz w:val="20"/>
                <w:szCs w:val="20"/>
                <w:color w:val="auto"/>
              </w:rPr>
            </w:pPr>
            <w:r>
              <w:rPr>
                <w:rFonts w:ascii="Times New Roman" w:cs="Times New Roman" w:eastAsia="Times New Roman" w:hAnsi="Times New Roman"/>
                <w:sz w:val="18"/>
                <w:szCs w:val="18"/>
                <w:color w:val="auto"/>
              </w:rPr>
              <w:t>(15 persons)</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6,311,163</w:t>
            </w:r>
          </w:p>
        </w:tc>
        <w:tc>
          <w:tcPr>
            <w:tcW w:w="400" w:type="dxa"/>
            <w:vAlign w:val="bottom"/>
            <w:tcBorders>
              <w:bottom w:val="single" w:sz="8" w:color="02AE90"/>
              <w:right w:val="single" w:sz="8" w:color="02AE90"/>
            </w:tcBorders>
          </w:tcPr>
          <w:p>
            <w:pPr>
              <w:ind w:left="20"/>
              <w:spacing w:after="0"/>
              <w:rPr>
                <w:sz w:val="20"/>
                <w:szCs w:val="20"/>
                <w:color w:val="auto"/>
              </w:rPr>
            </w:pPr>
            <w:r>
              <w:rPr>
                <w:rFonts w:ascii="Times New Roman" w:cs="Times New Roman" w:eastAsia="Times New Roman" w:hAnsi="Times New Roman"/>
                <w:sz w:val="12"/>
                <w:szCs w:val="12"/>
                <w:color w:val="auto"/>
              </w:rPr>
              <w:t>(14)</w:t>
            </w:r>
          </w:p>
        </w:tc>
        <w:tc>
          <w:tcPr>
            <w:tcW w:w="360" w:type="dxa"/>
            <w:vAlign w:val="bottom"/>
            <w:tcBorders>
              <w:bottom w:val="single" w:sz="8" w:color="02AE90"/>
            </w:tcBorders>
          </w:tcPr>
          <w:p>
            <w:pPr>
              <w:spacing w:after="0"/>
              <w:rPr>
                <w:sz w:val="20"/>
                <w:szCs w:val="20"/>
                <w:color w:val="auto"/>
              </w:rPr>
            </w:pPr>
          </w:p>
        </w:tc>
        <w:tc>
          <w:tcPr>
            <w:tcW w:w="840" w:type="dxa"/>
            <w:vAlign w:val="bottom"/>
            <w:tcBorders>
              <w:bottom w:val="single" w:sz="8" w:color="02AE90"/>
              <w:right w:val="single" w:sz="8" w:color="02AE90"/>
            </w:tcBorders>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Borders>
              <w:bottom w:val="single" w:sz="8" w:color="02AE90"/>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02AE90"/>
              <w:right w:val="single" w:sz="8" w:color="02AE90"/>
            </w:tcBorders>
          </w:tcPr>
          <w:p>
            <w:pPr>
              <w:spacing w:after="0"/>
              <w:rPr>
                <w:sz w:val="20"/>
                <w:szCs w:val="20"/>
                <w:color w:val="auto"/>
              </w:rPr>
            </w:pPr>
          </w:p>
        </w:tc>
        <w:tc>
          <w:tcPr>
            <w:tcW w:w="380" w:type="dxa"/>
            <w:vAlign w:val="bottom"/>
            <w:tcBorders>
              <w:bottom w:val="single" w:sz="8" w:color="02AE90"/>
            </w:tcBorders>
          </w:tcPr>
          <w:p>
            <w:pPr>
              <w:spacing w:after="0"/>
              <w:rPr>
                <w:sz w:val="20"/>
                <w:szCs w:val="20"/>
                <w:color w:val="auto"/>
              </w:rPr>
            </w:pPr>
          </w:p>
        </w:tc>
        <w:tc>
          <w:tcPr>
            <w:tcW w:w="780" w:type="dxa"/>
            <w:vAlign w:val="bottom"/>
            <w:tcBorders>
              <w:bottom w:val="single" w:sz="8" w:color="02AE90"/>
              <w:right w:val="single" w:sz="8" w:color="02AE90"/>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Borders>
              <w:bottom w:val="single" w:sz="8" w:color="02AE90"/>
              <w:right w:val="single" w:sz="8" w:color="02AE90"/>
            </w:tcBorders>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20" w:hanging="114"/>
        <w:spacing w:after="0"/>
        <w:tabs>
          <w:tab w:leader="none" w:pos="1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shares beneficially owned does not exceed 1% of the class.</w:t>
      </w:r>
    </w:p>
    <w:p>
      <w:pPr>
        <w:spacing w:after="0" w:line="91"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a Schedule 13D/A filed with the SEC on August 12, 2022, by LTRIP. Consists of 16,445,894 shares of common stock and 12,799,999 shares of Class B Common Stock owned by LTRIP. Excludes shares beneficially owned by the executive officers and directors of LTRIP, as to which LTRIP disclaims beneficial ownership.</w:t>
      </w:r>
    </w:p>
    <w:p>
      <w:pPr>
        <w:spacing w:after="0" w:line="60"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a Schedule 13G/A filed with the SEC on February 9, 2023, by The Vanguard Group (“Vanguard”). According to the Schedule 13G/A, Vanguard beneficially owns 10,740,789 shares of common stock and has sole dispositive power with respect to 10,604,773 shares of common stock.</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ind w:left="38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a Schedule 13G/A filed with the SEC on January 31, 2023, by BlackRock, Inc. According to the Schedule 13G/A, BlackRock beneficially owns and has sole dispositive power with respect to 9,644,646 shares of common stock and has sole voting power with respect to 9,212,788 shares.</w:t>
      </w:r>
    </w:p>
    <w:p>
      <w:pPr>
        <w:spacing w:after="0" w:line="60"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a Schedule 13G/A filed with the SEC on February 14, 2023, by PAR Investment Partners, L.P. According to the Schedule 13G/A, PAR beneficially owns and has sole dispositive power with respect to 8,500,000 shares of common stock and has sole voting power with respect to 8,500,000 shares.</w:t>
      </w:r>
    </w:p>
    <w:p>
      <w:pPr>
        <w:spacing w:after="0" w:line="60"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1,938 shares of common stock that are held by the Maffei Foundation. Mr. Maffei and his wife, as the two directors of the Maffei Foundation, have shared voting and investment power with respect to any shares held by the Maffei Foundation. Also includes 12,800 RSUs that will vest and settle within 60 days of April 17, 2023.</w:t>
      </w:r>
    </w:p>
    <w:p>
      <w:pPr>
        <w:spacing w:after="0" w:line="60" w:lineRule="exact"/>
        <w:rPr>
          <w:rFonts w:ascii="Times New Roman" w:cs="Times New Roman" w:eastAsia="Times New Roman" w:hAnsi="Times New Roman"/>
          <w:sz w:val="14"/>
          <w:szCs w:val="14"/>
          <w:color w:val="auto"/>
        </w:rPr>
      </w:pPr>
    </w:p>
    <w:p>
      <w:pPr>
        <w:ind w:left="380" w:right="2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1,942,715 shares of common stock that are currently exercisable, options to purchase 7,200 shares of common stock that will be exercisable within 60 days of April 17, 2023 and 6,649 RSUs that will vest and settle within 60 days of April 17, 2023.</w:t>
      </w:r>
    </w:p>
    <w:p>
      <w:pPr>
        <w:spacing w:after="0" w:line="60"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12,800 RSUs that will vest and settle within 60 days of April 17, 2023.</w:t>
      </w:r>
    </w:p>
    <w:p>
      <w:pPr>
        <w:spacing w:after="0" w:line="91" w:lineRule="exact"/>
        <w:rPr>
          <w:rFonts w:ascii="Times New Roman" w:cs="Times New Roman" w:eastAsia="Times New Roman" w:hAnsi="Times New Roman"/>
          <w:sz w:val="14"/>
          <w:szCs w:val="14"/>
          <w:color w:val="auto"/>
        </w:rPr>
      </w:pPr>
    </w:p>
    <w:p>
      <w:pPr>
        <w:jc w:val="both"/>
        <w:ind w:left="380" w:hanging="374"/>
        <w:spacing w:after="0" w:line="224"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12,800 RSUs that will vest and settle within 60 days of April 17, 2023. Mr. Hoag holds directly these RSUs and 27,153 shares resulting from RSUs that previously vested and has sole voting and dispositive power over these securities; however, TCV IX Management, L.L.C. has a right to 100% of the pecuniary interest in such securities. Mr. Hoag is a Member of TCV IX Management, L.L.C. and disclaims beneficial ownership of such RSUs and the shares underlying such RSUs except to the extent of his pecuniary interest therein. The remaining 2,281,000 shares are held directly by TCV IX Tumi, L.P., TCV IX Tumi (A), L.P., TCV IX Tumi (B), L.P., and TCV IX Tumi (MF), L.P. (the “TCV Funds”). Mr. Hoag is a Class A Member of Technology Crossover Management IX, Ltd. (“Management IX”) and a limited partner of Technology Crossover Management IX, L.P. (“TCM IX”). Management IX is the sole general partner of TCM IX, which in turn is the sole general partner of TCV IX, L.P., which in turn is the sole member of TCV IX TUMI GP, LLC, which in turn is the sole general partner each of the TCV Funds. Mr. Hoag does not hold voting or dispositive power over the shares held by the TCV Funds and disclaims beneficial ownership of such shares except to the extent of his pecuniary interest therein.</w:t>
      </w:r>
    </w:p>
    <w:p>
      <w:pPr>
        <w:spacing w:after="0" w:line="72" w:lineRule="exact"/>
        <w:rPr>
          <w:rFonts w:ascii="Times New Roman" w:cs="Times New Roman" w:eastAsia="Times New Roman" w:hAnsi="Times New Roman"/>
          <w:sz w:val="14"/>
          <w:szCs w:val="14"/>
          <w:color w:val="auto"/>
        </w:rPr>
      </w:pPr>
    </w:p>
    <w:p>
      <w:pPr>
        <w:jc w:val="both"/>
        <w:ind w:left="380" w:hanging="374"/>
        <w:spacing w:after="0" w:line="229"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1,713,859 shares of the Company’s common stock held by an entity affiliated with Certares Management LLC (together with its affiliates, “Certares”) that Mr. O’Hara may be deemed to beneficially own, and (ii) 12,800 RSUs that will vest and settle within 60 days of April 17, 2023. These RSUs, along with 16,682 shares resulting from RSUs that previously vested, were granted under the Company’s 2018 Plan to Mr. O’Hara in consideration for services rendered as a member of the Board. Mr. O’Hara is an employee of Certares. Pursuant to policies of Certares, Mr. O’Hara holds the RSUs and shares resulting from the vested RSUs described herein for the benefit of Certares. Mr. O’Hara disclaims beneficial ownership of the shares held by Certares except to the extent of Mr. O’Hara’s pecuniary interest in therein.</w:t>
      </w:r>
    </w:p>
    <w:p>
      <w:pPr>
        <w:spacing w:after="0" w:line="68" w:lineRule="exact"/>
        <w:rPr>
          <w:rFonts w:ascii="Times New Roman" w:cs="Times New Roman" w:eastAsia="Times New Roman" w:hAnsi="Times New Roman"/>
          <w:sz w:val="14"/>
          <w:szCs w:val="14"/>
          <w:color w:val="auto"/>
        </w:rPr>
      </w:pPr>
    </w:p>
    <w:p>
      <w:pPr>
        <w:jc w:val="both"/>
        <w:ind w:left="380" w:hanging="374"/>
        <w:spacing w:after="0" w:line="236"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12,800 RSUs that will vest and settle within 60 days of April 17, 2023. These RSUs were granted under the Company’s 2018 Plan to Ms. Sun in consideration for services rendered as a member of the Company’s Board of Directors. Ms. Sun is an employee of Trip.com Group Limited or one of its affiliates (collectively, “Trip.com”). Ms. Sun disclaims beneficial ownership of any shares held by Trip.com except to the extent of Ms. Sun’s interest therein.</w:t>
      </w:r>
    </w:p>
    <w:p>
      <w:pPr>
        <w:spacing w:after="0" w:line="69"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415,087 shares of common stock that are currently exercisable.</w:t>
      </w:r>
    </w:p>
    <w:p>
      <w:pPr>
        <w:spacing w:after="0" w:line="91" w:lineRule="exact"/>
        <w:rPr>
          <w:rFonts w:ascii="Times New Roman" w:cs="Times New Roman" w:eastAsia="Times New Roman" w:hAnsi="Times New Roman"/>
          <w:sz w:val="14"/>
          <w:szCs w:val="14"/>
          <w:color w:val="auto"/>
        </w:rPr>
      </w:pPr>
    </w:p>
    <w:p>
      <w:pPr>
        <w:ind w:left="38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360,638 shares of common stock that are currently exercisable, options to purchase 1,552 shares of common stock that will be exercisable within 60 days of April 17, 2023 and 9,035 RSUs that will vest and settle within 60 days of April 17, 2023.</w:t>
      </w:r>
    </w:p>
    <w:p>
      <w:pPr>
        <w:spacing w:after="0" w:line="60"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178,426 shares of common stock that are currently exercisable.</w:t>
      </w:r>
    </w:p>
    <w:p>
      <w:pPr>
        <w:spacing w:after="0" w:line="91" w:lineRule="exact"/>
        <w:rPr>
          <w:rFonts w:ascii="Times New Roman" w:cs="Times New Roman" w:eastAsia="Times New Roman" w:hAnsi="Times New Roman"/>
          <w:sz w:val="14"/>
          <w:szCs w:val="14"/>
          <w:color w:val="auto"/>
        </w:rPr>
      </w:pPr>
    </w:p>
    <w:p>
      <w:pPr>
        <w:ind w:left="380" w:right="20" w:hanging="374"/>
        <w:spacing w:after="0" w:line="252"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2,896,866 shares of common stock that are currently exercisable, options to purchase 8,752 shares of common stock that will be exercisable within 60 days of April 17, 2023 and 176,403 RSUs that will vest and settle within 60 days of April 17, 2023.</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114"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We know of no arrangements, including any pledge by any person of our securities, the operation of which may at a subsequent date result in a change in control of our company.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1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Pursuant to Section 16(a) of the Exchange Act, Tripadvisor officers and directors and persons who beneficially own more than 10% of the registered class of a registered class of Tripadvisor’s equity securities are required to file initial statements of beneficial ownership (Form 3) and statements of changes in beneficial ownership (Forms 4 and 5) with the SEC. Such persons are required by the rules of the SEC to furnish Tripadvisor with copies of all such forms they file. Based solely on a review of the copies of such forms furnished to the Company and/or written representations that no additional forms were required, Tripadvisor believes that all of the Company’s directors, officers and 10% beneficial holders complied with all of the reporting requirements applicable to them with respect to transactions during 2022, with the following exceptions: a Form 4 for Stephen Kaufer was filed eight days late on March 4, 2022, Form 4s for Seth Kalvert and Kanika Soni were filed one day late on May 18, 2022, two Form 4s for Geoffrey Gouvalaris on May 18, 2022 and October 25, 2022, both one day late, and two Form 4s for Ernst Teunissen filed on May 18, 2022 and November 21, 2022, one and two days late, respectively.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84" w:name="page85"/>
    <w:bookmarkEnd w:id="84"/>
    <w:p>
      <w:pPr>
        <w:ind w:left="2700"/>
        <w:spacing w:after="0"/>
        <w:rPr>
          <w:sz w:val="20"/>
          <w:szCs w:val="20"/>
          <w:color w:val="auto"/>
        </w:rPr>
      </w:pPr>
      <w:r>
        <w:rPr>
          <w:rFonts w:ascii="Times New Roman" w:cs="Times New Roman" w:eastAsia="Times New Roman" w:hAnsi="Times New Roman"/>
          <w:sz w:val="18"/>
          <w:szCs w:val="18"/>
          <w:b w:val="1"/>
          <w:bCs w:val="1"/>
          <w:color w:val="02AE90"/>
        </w:rPr>
        <w:t>CERTAIN RELATIONSHIPS AND RELATED PERSON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or Ratification of Related Person Transactions</w:t>
      </w:r>
    </w:p>
    <w:p>
      <w:pPr>
        <w:spacing w:after="0" w:line="114"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Pursuant to the Company’s Related Party Transactions Policy, we will enter into or ratify a “related person transaction” only when it has been approved by the Audit Committee of the Board, in accordance with its written charter. Related persons include our executive officers, directors, 5% or more beneficial owners of our common stock or immediate family members of these persons and entities in which one of these persons has a direct or indirect material interest. Related person transactions are transactions that meet the minimum threshold for disclosure in the proxy statement under the relevant SEC rules (generally, transactions involving amounts exceeding $120,000 in which a related person or entity has a direct or indirect material interest). When a potential related person transaction is identified, management presents it to the Audit Committee to determine whether to approve or ratify such a transaction. When determining whether to approve, ratify, disapprove or reject any related person transaction, the Audit Committee considers all relevant factors, including the extent of the related person’s interest in the transaction, whether the terms are commercially reasonable and whether the related person transaction is consistent with the best interests of Tripadvisor and our stockholders.</w:t>
      </w:r>
    </w:p>
    <w:p>
      <w:pPr>
        <w:spacing w:after="0" w:line="192"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The legal and accounting departments work with business units throughout Tripadvisor to identify potential related person transactions prior to execution. In addition, we take the following steps with regard to related person transactions:</w:t>
      </w:r>
    </w:p>
    <w:p>
      <w:pPr>
        <w:spacing w:after="0" w:line="57" w:lineRule="exact"/>
        <w:rPr>
          <w:sz w:val="20"/>
          <w:szCs w:val="20"/>
          <w:color w:val="auto"/>
        </w:rPr>
      </w:pPr>
    </w:p>
    <w:p>
      <w:pPr>
        <w:jc w:val="both"/>
        <w:ind w:left="1140" w:hanging="370"/>
        <w:spacing w:after="0" w:line="260" w:lineRule="auto"/>
        <w:tabs>
          <w:tab w:leader="none" w:pos="1140" w:val="left"/>
        </w:tabs>
        <w:numPr>
          <w:ilvl w:val="0"/>
          <w:numId w:val="7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On an annual basis, each director, director nominee and executive officer of Tripadvisor completes a Director and Officer Questionnaire that requires disclosure of any transaction, arrangement or relationship with us during the last fiscal year in which the director, director nominee or executive officer, or any member of his or her immediate family, had a direct or indirect material interest.</w:t>
      </w:r>
    </w:p>
    <w:p>
      <w:pPr>
        <w:spacing w:after="0" w:line="71"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7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Each director, director nominee and executive officer is expected to promptly notify our legal department of any direct or indirect interest that such person or an immediate family member of such person had, has or may have in a transaction in which we participate.</w:t>
      </w:r>
    </w:p>
    <w:p>
      <w:pPr>
        <w:spacing w:after="0" w:line="56" w:lineRule="exact"/>
        <w:rPr>
          <w:rFonts w:ascii="Times New Roman" w:cs="Times New Roman" w:eastAsia="Times New Roman" w:hAnsi="Times New Roman"/>
          <w:sz w:val="18"/>
          <w:szCs w:val="18"/>
          <w:color w:val="02AE90"/>
        </w:rPr>
      </w:pPr>
    </w:p>
    <w:p>
      <w:pPr>
        <w:ind w:left="1140" w:right="20" w:hanging="370"/>
        <w:spacing w:after="0" w:line="275" w:lineRule="auto"/>
        <w:tabs>
          <w:tab w:leader="none" w:pos="1140" w:val="left"/>
        </w:tabs>
        <w:numPr>
          <w:ilvl w:val="0"/>
          <w:numId w:val="75"/>
        </w:numPr>
        <w:rPr>
          <w:rFonts w:ascii="Times New Roman" w:cs="Times New Roman" w:eastAsia="Times New Roman" w:hAnsi="Times New Roman"/>
          <w:sz w:val="18"/>
          <w:szCs w:val="18"/>
          <w:color w:val="02AE90"/>
        </w:rPr>
      </w:pPr>
      <w:r>
        <w:rPr>
          <w:rFonts w:ascii="Times New Roman" w:cs="Times New Roman" w:eastAsia="Times New Roman" w:hAnsi="Times New Roman"/>
          <w:sz w:val="18"/>
          <w:szCs w:val="18"/>
          <w:color w:val="auto"/>
        </w:rPr>
        <w:t>Tripadvisor monitors its accounts payable, accounts receivable and other databases to identify any other potential related person transactions that may require disclosure.</w:t>
      </w:r>
    </w:p>
    <w:p>
      <w:pPr>
        <w:spacing w:after="0" w:line="56" w:lineRule="exact"/>
        <w:rPr>
          <w:rFonts w:ascii="Times New Roman" w:cs="Times New Roman" w:eastAsia="Times New Roman" w:hAnsi="Times New Roman"/>
          <w:sz w:val="18"/>
          <w:szCs w:val="18"/>
          <w:color w:val="02AE90"/>
        </w:rPr>
      </w:pPr>
    </w:p>
    <w:p>
      <w:pPr>
        <w:ind w:left="1140" w:hanging="370"/>
        <w:spacing w:after="0"/>
        <w:tabs>
          <w:tab w:leader="none" w:pos="1140" w:val="left"/>
        </w:tabs>
        <w:numPr>
          <w:ilvl w:val="0"/>
          <w:numId w:val="75"/>
        </w:numPr>
        <w:rPr>
          <w:rFonts w:ascii="Times New Roman" w:cs="Times New Roman" w:eastAsia="Times New Roman" w:hAnsi="Times New Roman"/>
          <w:sz w:val="17"/>
          <w:szCs w:val="17"/>
          <w:color w:val="02AE90"/>
        </w:rPr>
      </w:pPr>
      <w:r>
        <w:rPr>
          <w:rFonts w:ascii="Times New Roman" w:cs="Times New Roman" w:eastAsia="Times New Roman" w:hAnsi="Times New Roman"/>
          <w:sz w:val="17"/>
          <w:szCs w:val="17"/>
          <w:color w:val="auto"/>
        </w:rPr>
        <w:t>Any reported transaction that our legal department determines may qualify as a related person transaction is referred to the Audit Committee.</w:t>
      </w:r>
    </w:p>
    <w:p>
      <w:pPr>
        <w:spacing w:after="0" w:line="229"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If any related person transaction is not approved, the Audit Committee may take such action as it may deem necessary or desirable in the best interests of Tripadvisor and our stockholders.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1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transferred to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the record date, LTRIP beneficially owned [16,445,894] shares of our common stock and 12,799,999 shares of our Class B common stock, which shares constitute [13.0%] of the outstanding shares of common stock and 100% of the outstanding shares of Class B common stock. Assuming the conversion of all of LTRIP’s shares of Class B common stock into common stock, LTRIP would beneficially own [20.9%] of the outstanding common stock (calculated in accordance with Rule 13d-3). Because each share of Class B common stock is entitled to ten votes per share and each share of common stock is entitled to one vote per share, LTRIP may be deemed to beneficially own equity securities representing [56.7%] of our voting power. As a result, LTRIP is effectively able to control the outcome of all matters submitted to a vote or for the consent of Tripadvisor’s stockholders (other than with respect to the election by the holders of Tripadvisor common stock of 25% of the members of Tripadvisor’s Board and matters as to which Delaware law requires a separate class vote).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On November 6, 2019, the Company announced a strategic partnership to expand global cooperation, including a joint venture, global content agreements and governance agreement with Trip.com. First, Ctrip Investment Holding Ltd., a subsidiary of Trip.com Group, has entered into a joint venture with TripAdvisor’s subsidiary TripAdvisor Singapore Private Limited pursuant to which the joint venture will operate globally as TripAdvisor China. Second, Trip.com Group and TripAdvisor have entered into global content agreements providing for distribution of selected TripAdvisor content on major Trip.com Group brands, including Trip.com, Skyscanner and Qunar. On June 1, 2021 Trip.com and Tripadvisor agreed to expand their strategic partnership to include Tripadvisor Plus. Initially, Trip.com would provide access to preferential pricing on at least 10,000 properties to benefit the Tripadvisor Plus offering, Tripadvisor’s new, direct-to-consumer subscription service. Concurrently, Trip.com was granted approval under the Governance Agreement to sell its holdings in Tripadvisor to meet its corporate needs. As a result of these sales, Trip.com relinquished its contractual right under the Governance Agreement to nominate a director to the Tripadvisor Board, which position had been held by Trip.com Group CEO, Jane Sun. However, as an indication of the commitment to the ongoing relationship between the companies, Ms. Sun continues to serve on the Tripadvisor Board.</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WHERE YOU CAN FIND MORE INFORMATION AND INCORPORATION BY REFERENCE</w:t>
      </w:r>
    </w:p>
    <w:p>
      <w:pPr>
        <w:spacing w:after="0" w:line="11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Tripadvisor files annual, quarterly and current reports, proxy statements and other information with the SEC. Tripadvisor’s filings are available to the public over the Internet at the SEC’s website at http://www.sec.gov. Tripadvisor’s SEC filings are also available to the public from commercial retrieval services.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SEC allows Tripadvisor to “incorporate by reference” the information that Tripadvisor’s files with the SEC, which means that Tripadvisor can disclose important information to you by referring you to those documents. The information incorporated by reference is an important part of this proxy statement.</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ANNUAL REPORTS</w:t>
      </w:r>
    </w:p>
    <w:p>
      <w:pPr>
        <w:spacing w:after="0" w:line="11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Tripadvisor’s Annual Report to Stockholders for 2023, which includes our 2022 Annual Report (not including exhibits), is available at http://ir.Tripadvisor.com/annual-proxy.cfm. Upon written request to Tripadvisor, Inc., 400 1st Avenue, Needham, Massachusetts 02494, Attention: Secretary, Tripadvisor will provide, without charge, an additional copy of Tripadvisor’s 2022 Annual Report on Form 10-K. Tripadvisor will furnish any exhibit contained in the 2022 Annual Report upon payment of a reasonable fee. Stockholders may also review a copy of the 2022 Annual Report (including exhibits) by accessing Tripadvisor’s corporate website at www.Tripadvisor.com or the SEC’s website at www.sec.gov.</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PROPOSALS BY STOCKHOLDERS FOR PRESENTATION AT THE 2024 ANNUAL MEETING</w:t>
      </w:r>
    </w:p>
    <w:p>
      <w:pPr>
        <w:spacing w:after="0" w:line="11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Stockholders who wish to have a proposal considered for inclusion in Tripadvisor’s proxy materials for presentation at the 2024 Annual Meeting of Stockholders must ensure that their proposal is received by Tripadvisor no later than December 29, 2023, at its principal executive offices at 400 1st Avenue, Needham, Massachusetts 02494, Attention: Secretary. The proposal must be made in accordance with the provisions of Rule 14a-8 of the Exchange Act. Stockholders who intend to present a proposal at the 2024 Annual Meeting of Stockholders without inclusion of the proposal in Tripadvisor’s proxy materials are required to provide notice of such proposal to Tripadvisor at its principal executive offices no later than March 14, 2024. Stockholders who intend to solicit proxies in support of director nominees other than the Board's nominees must also provide written notice to the Secretary that sets forth all the information required by Rule 14a-19 of the Exchange Act. Tripadvisor reserves the right to reject, rule out of order or take other appropriate action with respect to any proposal that does not comply with these and other applicable requirements.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02AE90"/>
        </w:rPr>
        <w:t>DELIVERY OF DOCUMENTS TO STOCKHOLDERS SHARING AN ADDRESS</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you share an address with any of our other stockholders, your household might receive only one copy of the Proxy Statement, 2022 Annual Report and Notice, as applicable. To request individual copies of any of these materials for each stockholder in your household, please contact Tripadvisor, Inc., 400 1st Avenue, Needham, Massachusetts 02494, Attention: Secretary, or call us at (781) 800-5000. We will deliver copies of the Proxy Statement, 2022 Annual Report and/or Notice promptly following your request. To ask that only one copy of any of these materials be mailed to your household, please contact your broker.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Massachusetts</w:t>
      </w:r>
    </w:p>
    <w:p>
      <w:pPr>
        <w:spacing w:after="0" w:line="32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April [</w:t>
      </w:r>
      <w:r>
        <w:rPr>
          <w:sz w:val="20"/>
          <w:szCs w:val="20"/>
          <w:color w:val="auto"/>
        </w:rPr>
        <w:tab/>
      </w:r>
      <w:r>
        <w:rPr>
          <w:rFonts w:ascii="Times New Roman" w:cs="Times New Roman" w:eastAsia="Times New Roman" w:hAnsi="Times New Roman"/>
          <w:sz w:val="17"/>
          <w:szCs w:val="17"/>
          <w:color w:val="auto"/>
        </w:rPr>
        <w:t>], 2023</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69850</wp:posOffset>
            </wp:positionV>
            <wp:extent cx="716026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-8255</wp:posOffset>
            </wp:positionV>
            <wp:extent cx="5086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REDOMESTICATION RESOLUTIONS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Plan of Conversion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TripAdvisor,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has considered and discussed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the Board’s advisors the merits and risks of approving the conversion of the Corporation to a corporation organized under the laws of the State of Nevada pursuant to and in accordance with Section 92A.195 of the Nevada Revised Statutes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color w:val="auto"/>
        </w:rPr>
        <w:t>”) and Section 266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xml:space="preserve">”) and the proposed Plan of Conversion attached hereto and incorporated by reference herein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Plan of Conversion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Plan of Conversion provides, among other things, that the Corporation will convert from a Delaware corporation to a Nevada corporation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named “Tripadvisor, Inc.” (the​ Corporation from and after the Effective Time (as defined below), the “</w:t>
      </w:r>
      <w:r>
        <w:rPr>
          <w:rFonts w:ascii="Times New Roman" w:cs="Times New Roman" w:eastAsia="Times New Roman" w:hAnsi="Times New Roman"/>
          <w:sz w:val="18"/>
          <w:szCs w:val="18"/>
          <w:b w:val="1"/>
          <w:bCs w:val="1"/>
          <w:i w:val="1"/>
          <w:iCs w:val="1"/>
          <w:color w:val="auto"/>
        </w:rPr>
        <w:t>Converted Corporation</w:t>
      </w:r>
      <w:r>
        <w:rPr>
          <w:rFonts w:ascii="Times New Roman" w:cs="Times New Roman" w:eastAsia="Times New Roman" w:hAnsi="Times New Roman"/>
          <w:sz w:val="18"/>
          <w:szCs w:val="18"/>
          <w:color w:val="auto"/>
        </w:rPr>
        <w:t>”), pursuant to and in accordance with Section 92A.195 of the NRS and Section 266 of the DGCL and the terms and conditions of the Plan of Conversion (the “</w:t>
      </w: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Plan of Conversion provides, among other things, that as soon as practicable following the satisfaction (or waiver, as permitted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Plan of Conversion) of the conditions set forth therein, if the Plan of Conversion has not been terminated in accordance with the terms of the Plan of Conversion, the Corporation will cause articles of conversion meeting the requirements of Section 92A.205 of the NRS (the “</w:t>
      </w:r>
      <w:r>
        <w:rPr>
          <w:rFonts w:ascii="Times New Roman" w:cs="Times New Roman" w:eastAsia="Times New Roman" w:hAnsi="Times New Roman"/>
          <w:sz w:val="18"/>
          <w:szCs w:val="18"/>
          <w:b w:val="1"/>
          <w:bCs w:val="1"/>
          <w:i w:val="1"/>
          <w:iCs w:val="1"/>
          <w:color w:val="auto"/>
        </w:rPr>
        <w:t>NV Articles of Conversion</w:t>
      </w:r>
      <w:r>
        <w:rPr>
          <w:rFonts w:ascii="Times New Roman" w:cs="Times New Roman" w:eastAsia="Times New Roman" w:hAnsi="Times New Roman"/>
          <w:sz w:val="18"/>
          <w:szCs w:val="18"/>
          <w:color w:val="auto"/>
        </w:rPr>
        <w:t>”), to be filed with the Secretary of State of the State of Nevada (the “</w:t>
      </w:r>
      <w:r>
        <w:rPr>
          <w:rFonts w:ascii="Times New Roman" w:cs="Times New Roman" w:eastAsia="Times New Roman" w:hAnsi="Times New Roman"/>
          <w:sz w:val="18"/>
          <w:szCs w:val="18"/>
          <w:b w:val="1"/>
          <w:bCs w:val="1"/>
          <w:i w:val="1"/>
          <w:iCs w:val="1"/>
          <w:color w:val="auto"/>
        </w:rPr>
        <w:t>NV SOS</w:t>
      </w:r>
      <w:r>
        <w:rPr>
          <w:rFonts w:ascii="Times New Roman" w:cs="Times New Roman" w:eastAsia="Times New Roman" w:hAnsi="Times New Roman"/>
          <w:sz w:val="18"/>
          <w:szCs w:val="18"/>
          <w:color w:val="auto"/>
        </w:rPr>
        <w:t>”), and will cause a certificate of conversion meeting the requirements of Sections 103 and 266 of the DGCL (the “</w:t>
      </w:r>
      <w:r>
        <w:rPr>
          <w:rFonts w:ascii="Times New Roman" w:cs="Times New Roman" w:eastAsia="Times New Roman" w:hAnsi="Times New Roman"/>
          <w:sz w:val="18"/>
          <w:szCs w:val="18"/>
          <w:b w:val="1"/>
          <w:bCs w:val="1"/>
          <w:i w:val="1"/>
          <w:iCs w:val="1"/>
          <w:color w:val="auto"/>
        </w:rPr>
        <w:t>DE Certificate of Conversion</w:t>
      </w:r>
      <w:r>
        <w:rPr>
          <w:rFonts w:ascii="Times New Roman" w:cs="Times New Roman" w:eastAsia="Times New Roman" w:hAnsi="Times New Roman"/>
          <w:sz w:val="18"/>
          <w:szCs w:val="18"/>
          <w:color w:val="auto"/>
        </w:rPr>
        <w:t>”), to be filed with the Secretary of State of the State of Delaware;</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Conversion shall become effective at the time designated in the NV Articles of Conversion and the DE Certificate of Conversion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Plan of Conversion provides that at the Effective Time, by virtue of the Conversion and without any further action on the part of any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the Corporation or any other person:</w:t>
      </w:r>
    </w:p>
    <w:p>
      <w:pPr>
        <w:spacing w:after="0" w:line="268" w:lineRule="exact"/>
        <w:rPr>
          <w:sz w:val="20"/>
          <w:szCs w:val="20"/>
          <w:color w:val="auto"/>
        </w:rPr>
      </w:pPr>
    </w:p>
    <w:p>
      <w:pPr>
        <w:ind w:left="1020" w:hanging="505"/>
        <w:spacing w:after="0" w:line="275"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$0.001 per share, of the Corporation issued and outstanding immediately prior to the Effective Time will be automatically converted into one (1) share of Common Stock, par value $0.001 per share, of the Converted Corporation;</w:t>
      </w:r>
    </w:p>
    <w:p>
      <w:pPr>
        <w:spacing w:after="0" w:line="56" w:lineRule="exact"/>
        <w:rPr>
          <w:rFonts w:ascii="Times New Roman" w:cs="Times New Roman" w:eastAsia="Times New Roman" w:hAnsi="Times New Roman"/>
          <w:sz w:val="18"/>
          <w:szCs w:val="18"/>
          <w:color w:val="auto"/>
        </w:rPr>
      </w:pPr>
    </w:p>
    <w:p>
      <w:pPr>
        <w:jc w:val="both"/>
        <w:ind w:left="1020" w:hanging="505"/>
        <w:spacing w:after="0" w:line="260"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par value $0.001 per share, of the Corporation issued and outstanding immediately prior to the Effective Time will be automatically converted into one (1) share of Class B Common Stock, par value $0.001 per share, of the Converted Corporation; and</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based upon the information and advice presented by the Corporation’s management and after discussions and review by the Board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terms and conditions of the proposed transactions set forth in the Plan of Conversion and the agreements relating thereto and taking into consideration a number of factors, the Board desires to (i) approve and declare advisable the Conversion and approve, adopt, and declare advisable the Plan of Conversion, (ii) determine that the Conversion and the Plan of Conversion, and the transactions contemplated thereby, including the Conversion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are advisable and fair to, and in the best interests of, the Corporation and its stockholders, (iii) direct that these resolutions of the Board approving the Conversion pursuant to and in accordance with applicable law and the Plan of Conversion be submitted to the stockholders of the Corporation for adoption, (iv) resolve to recommend that the stockholders of the Corporation approve the adoption of these resolutions of the Board, and (v) approve the following resolutions: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the Board hereby unanimously (i) approves and declares advisable the Conversion and approves, adopts,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declares advisable the Plan of Conversion, (ii) adopts the Plan of Conversion as a “plan of reorganization” within the meaning of Section 1.368-2(g) and 1.368-3(a) of the U.S. Treasury Regulations promulgated under the Internal Revenue Code of 1986, as amended, (iii) determines that the Conversion and the Plan of Conversion, and the Transactions, are advisable and fair to, and in the best interests of, the Corporation and its stockholders, (iv) directs that these resolutions of the Board be submitted to the stockholders of the Corporation for adoption, and (v) recommends that the stockholders of the Corporation approve the adoption of these resolutions of the Board (the “</w:t>
      </w:r>
      <w:r>
        <w:rPr>
          <w:rFonts w:ascii="Times New Roman" w:cs="Times New Roman" w:eastAsia="Times New Roman" w:hAnsi="Times New Roman"/>
          <w:sz w:val="18"/>
          <w:szCs w:val="18"/>
          <w:b w:val="1"/>
          <w:bCs w:val="1"/>
          <w:i w:val="1"/>
          <w:iCs w:val="1"/>
          <w:color w:val="auto"/>
        </w:rPr>
        <w:t>Board Recommendation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319405</wp:posOffset>
            </wp:positionV>
            <wp:extent cx="71602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the form, terms, provisions and conditions of the Plan of Conversion, be, and the same hereby are, in all respects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and all other actions or matters necessary or appropriate to give effect to the foregoing be, and the same hereby are, in all respects approved; 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notwithstanding the foregoing resolutions and notwithstanding the receipt of the requisite stockholder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of these resolutions of the Board, the Board may abandon the Conversion and the Plan of Conversion and the Transactions, without further action by the stockholders of the Corporation, at any time prior to the Effective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Converted Corporation Matters</w:t>
      </w:r>
    </w:p>
    <w:p>
      <w:pPr>
        <w:spacing w:after="0" w:line="2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there has been presented to and considered by the Board a proposed form of Articles of Incorporation of the Converted Corporation in the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Exhibit A (the “</w:t>
      </w:r>
      <w:r>
        <w:rPr>
          <w:rFonts w:ascii="Times New Roman" w:cs="Times New Roman" w:eastAsia="Times New Roman" w:hAnsi="Times New Roman"/>
          <w:sz w:val="18"/>
          <w:szCs w:val="18"/>
          <w:b w:val="1"/>
          <w:bCs w:val="1"/>
          <w:i w:val="1"/>
          <w:iCs w:val="1"/>
          <w:color w:val="auto"/>
        </w:rPr>
        <w:t>NV Articles</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has determined that, in connection with the Conversion, it is advisable and fair to and in the best interests of the Corporation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to (i) declare advisable, and adopt and approve, the NV Articles as the articles of incorporation of the Converted Corporation, subject to and contingent upon the consummation of the Conversion, and (ii) resolve to recommend adoption and approval of the NV Articles by the stockholders of the Corporation entitled to vote thereon.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NOW, THEREFORE, BE IT RESOLVED, </w:t>
      </w:r>
      <w:r>
        <w:rPr>
          <w:rFonts w:ascii="Times New Roman" w:cs="Times New Roman" w:eastAsia="Times New Roman" w:hAnsi="Times New Roman"/>
          <w:sz w:val="18"/>
          <w:szCs w:val="18"/>
          <w:color w:val="auto"/>
        </w:rPr>
        <w:t>that subject to and contingent upon the consummation of the Conversion, the Articles of Incorporation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are, declared advisable, adopted and approved as the articles of incorporation of the Converted Corporation, with such NV Articles to be filed with the NV SOS in connection with the filing of the NV Articles of Conversion, to be effective at the Effective Time.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FURTHER RESOLVED, </w:t>
      </w:r>
      <w:r>
        <w:rPr>
          <w:rFonts w:ascii="Times New Roman" w:cs="Times New Roman" w:eastAsia="Times New Roman" w:hAnsi="Times New Roman"/>
          <w:sz w:val="18"/>
          <w:szCs w:val="18"/>
          <w:color w:val="auto"/>
        </w:rPr>
        <w:t>that notwithstanding the foregoing resolutions and notwithstanding the receipt of the requisite stockholder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of these resolutions of the Board, the Board may abandon the NV Articles, without further action by the stockholders of the Corporation, at any time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2725420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326" w:lineRule="exact"/>
        <w:rPr>
          <w:sz w:val="20"/>
          <w:szCs w:val="20"/>
          <w:color w:val="auto"/>
        </w:rPr>
      </w:pPr>
    </w:p>
    <w:p>
      <w:pPr>
        <w:jc w:val="both"/>
        <w:ind w:firstLine="417"/>
        <w:spacing w:after="0" w:line="260" w:lineRule="auto"/>
        <w:rPr>
          <w:sz w:val="20"/>
          <w:szCs w:val="20"/>
          <w:color w:val="auto"/>
        </w:rPr>
      </w:pPr>
      <w:r>
        <w:rPr>
          <w:rFonts w:ascii="Times New Roman" w:cs="Times New Roman" w:eastAsia="Times New Roman" w:hAnsi="Times New Roman"/>
          <w:sz w:val="18"/>
          <w:szCs w:val="18"/>
          <w:color w:val="auto"/>
        </w:rPr>
        <w:t>This Plan of Conversion (this “Plan”) sets forth certain terms of the conversion of Tripadvisor, Inc., a Delaware corporation (the “Delaware Corporation”), to a Nevada corporation (the “Nevada Corporation”), pursuant to the terms of the General Corporation Law of the State of Delaware (as amended, the “DGCL”) and Chapters 78 and 92A of the Nevada Revised Statutes (as amended, the “NRS”).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left="1020" w:hanging="505"/>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Corporation was incorporated on July 20, 2011.</w:t>
      </w:r>
    </w:p>
    <w:p>
      <w:pPr>
        <w:spacing w:after="0" w:line="111" w:lineRule="exact"/>
        <w:rPr>
          <w:rFonts w:ascii="Times New Roman" w:cs="Times New Roman" w:eastAsia="Times New Roman" w:hAnsi="Times New Roman"/>
          <w:sz w:val="18"/>
          <w:szCs w:val="18"/>
          <w:color w:val="auto"/>
        </w:rPr>
      </w:pPr>
    </w:p>
    <w:p>
      <w:pPr>
        <w:ind w:left="1020" w:hanging="505"/>
        <w:spacing w:after="0" w:line="275"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Plan, and in accordance with Section 266 of the DGCL and NRS 92A.195, the Delaware Corporation will be converted to a Nevada Corporation.</w:t>
      </w:r>
    </w:p>
    <w:p>
      <w:pPr>
        <w:spacing w:after="0" w:line="56"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Delaware Corporation (the “Board”) has unanimously (i) determined that the Conversion (as defined below) is advisable and in the best interests of the Delaware Corporation and its stockholders and recommended the approval of the Conversion by the stockholders of the Delaware Corporation and (ii) approved and adopted this Plan, the Conversion, and the other documents and transactions contemplated by this Plan, including the Articles of Incorporation and the Bylaws of the Nevada Corporation, the Delaware Certificate of Conversion and the Nevada Articles of Conversion (as each is defined below).</w:t>
      </w:r>
    </w:p>
    <w:p>
      <w:pPr>
        <w:spacing w:after="0" w:line="77" w:lineRule="exact"/>
        <w:rPr>
          <w:rFonts w:ascii="Times New Roman" w:cs="Times New Roman" w:eastAsia="Times New Roman" w:hAnsi="Times New Roman"/>
          <w:sz w:val="18"/>
          <w:szCs w:val="18"/>
          <w:color w:val="auto"/>
        </w:rPr>
      </w:pPr>
    </w:p>
    <w:p>
      <w:pPr>
        <w:jc w:val="both"/>
        <w:ind w:left="1020" w:hanging="505"/>
        <w:spacing w:after="0" w:line="260"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Delaware Corporation have approved and adopted this Plan, the Conversion, and the other documents and transactions contemplated by this Plan, including the Articles of Incorporation and the Bylaws of the Nevada Corporation, the Delaware Certificate of Conversion and the Nevada Articles of Conversion.</w:t>
      </w:r>
    </w:p>
    <w:p>
      <w:pPr>
        <w:spacing w:after="0" w:line="71" w:lineRule="exact"/>
        <w:rPr>
          <w:rFonts w:ascii="Times New Roman" w:cs="Times New Roman" w:eastAsia="Times New Roman" w:hAnsi="Times New Roman"/>
          <w:sz w:val="18"/>
          <w:szCs w:val="18"/>
          <w:color w:val="auto"/>
        </w:rPr>
      </w:pPr>
    </w:p>
    <w:p>
      <w:pPr>
        <w:jc w:val="both"/>
        <w:ind w:left="1020" w:hanging="505"/>
        <w:spacing w:after="0" w:line="253"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at the Effective Time (as hereinafter defined), each share of Common Stock, par value $0.001 per share (the “Delaware Common Stock”) and Class B Common Stock, par value $0.001 per share (the “Delaware Class B Common Stock”) of the Delaware Corporation issued and outstanding immediately prior to the Effective Time shall be converted into one share of Common stock, par value $0.001 per share (the “Nevada Common Stock”) and one share of Class B Common Stock, par value $0.001 per share (the “Nevada Class B Common Stock”) of the Nevada Corporation.</w:t>
      </w:r>
    </w:p>
    <w:p>
      <w:pPr>
        <w:spacing w:after="0" w:line="77"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 of carrying out the Conversion into effect shall be as described in this Plan.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197"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8"/>
          <w:szCs w:val="18"/>
          <w:b w:val="1"/>
          <w:bCs w:val="1"/>
          <w:color w:val="auto"/>
        </w:rPr>
        <w:t>1.1 Conversion</w:t>
      </w:r>
      <w:r>
        <w:rPr>
          <w:rFonts w:ascii="Times New Roman" w:cs="Times New Roman" w:eastAsia="Times New Roman" w:hAnsi="Times New Roman"/>
          <w:sz w:val="18"/>
          <w:szCs w:val="18"/>
          <w:color w:val="auto"/>
        </w:rPr>
        <w:t>. At the Effective Time (as hereinafter defined), the Delaware Corporation will be converted to the Nevada Corporation,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accordance with, Section 266 of the DGCL and NRS 92A.195 (the “Conversion”),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Articles of Incorporation and Bylaws of the Nevada Corporation, the Delaware Certificate of Conversion and the Nevada Articles of Conversion.</w:t>
      </w:r>
    </w:p>
    <w:p>
      <w:pPr>
        <w:spacing w:after="0" w:line="396"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b w:val="1"/>
          <w:bCs w:val="1"/>
          <w:color w:val="auto"/>
        </w:rPr>
        <w:t>1.2 Certificate of Conversion</w:t>
      </w:r>
      <w:r>
        <w:rPr>
          <w:rFonts w:ascii="Times New Roman" w:cs="Times New Roman" w:eastAsia="Times New Roman" w:hAnsi="Times New Roman"/>
          <w:sz w:val="18"/>
          <w:szCs w:val="18"/>
          <w:color w:val="auto"/>
        </w:rPr>
        <w:t>. The Delaware Corporation shall file a certificate of conversion in the form attached hereto as Exhibit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Certificate of Conversion”) with the Secretary of State of the State of Delaware (the “Delaware Secretary of State”) and shall file articles of conversion in the form attached hereto as Exhibit B (the “Nevada Articles of Conversion”) and articles of incorporation in the form attached hereto as Exhibit C (the “Nevada Articles of Incorporation”) with the Nevada Secretary of State, and the Delaware Corporation or the Nevada Corporation, as applicable, shall make all other filings or recordings required by the DGCL or the NRS in connection with the Conversion.</w:t>
      </w:r>
    </w:p>
    <w:p>
      <w:pPr>
        <w:spacing w:after="0" w:line="392"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b w:val="1"/>
          <w:bCs w:val="1"/>
          <w:color w:val="auto"/>
        </w:rPr>
        <w:t>1.3 Effective Time</w:t>
      </w:r>
      <w:r>
        <w:rPr>
          <w:rFonts w:ascii="Times New Roman" w:cs="Times New Roman" w:eastAsia="Times New Roman" w:hAnsi="Times New Roman"/>
          <w:sz w:val="18"/>
          <w:szCs w:val="18"/>
          <w:color w:val="auto"/>
        </w:rPr>
        <w:t>. The Conversion will become effective upon the filing of the Delaware Certificate of Conversion with the Delaware Secretary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and the Nevada Articles of Conversion and Nevada Articles of Incorporation filed with the Nevada Secretary of State or at a such later time as specified in the Delaware Certificate of Conversion and the Nevada Articles of Conversion (the “Effective Time”).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1" w:name="page92"/>
    <w:bookmarkEnd w:id="91"/>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2.1 Nevada Governing Documents</w:t>
      </w:r>
      <w:r>
        <w:rPr>
          <w:rFonts w:ascii="Times New Roman" w:cs="Times New Roman" w:eastAsia="Times New Roman" w:hAnsi="Times New Roman"/>
          <w:sz w:val="18"/>
          <w:szCs w:val="18"/>
          <w:color w:val="auto"/>
        </w:rPr>
        <w:t>. At the Effective Time, the Nevada Articles of Incorporation and the Bylaws of the Nevada Corporation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attached hereto as Exhibit D (together with the Nevada Articles of Incorporation, the “Nevada Governing Documents”), shall govern the Nevada Corporation until amended and/or restated in accordance with the Nevada Governing Documents and applicable law.</w:t>
      </w:r>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2.2 Directors and Officers</w:t>
      </w:r>
      <w:r>
        <w:rPr>
          <w:rFonts w:ascii="Times New Roman" w:cs="Times New Roman" w:eastAsia="Times New Roman" w:hAnsi="Times New Roman"/>
          <w:sz w:val="18"/>
          <w:szCs w:val="18"/>
          <w:color w:val="auto"/>
        </w:rPr>
        <w:t>. From and after the Effective Time, by virtue of the Conversion and without any further action on the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or its stockholders, the members of the Board and the officers of the Delaware Corporation holding their respective offices in the Delaware Corporation existing immediately prior to the Effective Time shall continue in their respective offices as members of the Board and officers of the Nevada Corporation.</w:t>
      </w:r>
    </w:p>
    <w:p>
      <w:pPr>
        <w:spacing w:after="0" w:line="28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3.1 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and the NRS. Without limitation of the foregoing, for all purposes of the laws of the State of Delaware and Nevada, all of the rights, privileges, and powers of the Delaware Corporation, and all property, real, personal, and mixed, and all debts due to the Delaware Corporation, as well as all other things and causes of action belonging to the Delaware Corporation, shall remain vested in the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3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3.2 Conversion of Shares</w:t>
      </w:r>
      <w:r>
        <w:rPr>
          <w:rFonts w:ascii="Times New Roman" w:cs="Times New Roman" w:eastAsia="Times New Roman" w:hAnsi="Times New Roman"/>
          <w:sz w:val="18"/>
          <w:szCs w:val="18"/>
          <w:color w:val="auto"/>
        </w:rPr>
        <w:t>. At the Effective Time, by virtue of the Conversion and without any further action by the Delaware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each share of Delaware Common Stock issued and outstanding immediately before the Effective Time shall be converted into one share of Nevada Common Stock, and all options, warrants or other entitlement to receive a share of Delaware Common Stock shall automatically be converted into an option, warrant or other entitlement to receive a share of Nevada Common Stock.</w:t>
      </w:r>
    </w:p>
    <w:p>
      <w:pPr>
        <w:spacing w:after="0" w:line="200" w:lineRule="exact"/>
        <w:rPr>
          <w:sz w:val="20"/>
          <w:szCs w:val="20"/>
          <w:color w:val="auto"/>
        </w:rPr>
      </w:pPr>
    </w:p>
    <w:p>
      <w:pPr>
        <w:spacing w:after="0" w:line="30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69850</wp:posOffset>
            </wp:positionV>
            <wp:extent cx="716026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20"/>
          </w:cols>
          <w:pgMar w:left="840" w:top="119" w:right="339" w:bottom="1440" w:gutter="0" w:footer="0" w:header="0"/>
        </w:sectPr>
      </w:pPr>
    </w:p>
    <w:bookmarkStart w:id="92" w:name="page93"/>
    <w:bookmarkEnd w:id="92"/>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4.1 Abandonment or Amendment</w:t>
      </w:r>
      <w:r>
        <w:rPr>
          <w:rFonts w:ascii="Times New Roman" w:cs="Times New Roman" w:eastAsia="Times New Roman" w:hAnsi="Times New Roman"/>
          <w:sz w:val="18"/>
          <w:szCs w:val="18"/>
          <w:color w:val="auto"/>
        </w:rPr>
        <w:t>. At any time prior to the filing of the Certificate of Conversion with the Delaware Secretary of State,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may abandon the proposed Conversion and terminate this Plan to the extent permitted by law or may amend this Plan.</w:t>
      </w:r>
    </w:p>
    <w:p>
      <w:pPr>
        <w:spacing w:after="0" w:line="3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4.2 Captions. </w:t>
      </w:r>
      <w:r>
        <w:rPr>
          <w:rFonts w:ascii="Times New Roman" w:cs="Times New Roman" w:eastAsia="Times New Roman" w:hAnsi="Times New Roman"/>
          <w:sz w:val="18"/>
          <w:szCs w:val="18"/>
          <w:color w:val="auto"/>
        </w:rPr>
        <w:t>The captions in this Plan are for convenience only and shall not be considered a part, or to affect the construction or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Plan.</w:t>
      </w: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4.3 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“Code”), and this Plan of Conversion is hereby adopted as a “plan of reorganization” for purposes of the Section 368(a)(1)(F) of the Code.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69850</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20"/>
          </w:cols>
          <w:pgMar w:left="840" w:top="119" w:right="339" w:bottom="1440" w:gutter="0" w:footer="0" w:header="0"/>
        </w:sectPr>
      </w:pPr>
    </w:p>
    <w:bookmarkStart w:id="93" w:name="page94"/>
    <w:bookmarkEnd w:id="93"/>
    <w:p>
      <w:pPr>
        <w:ind w:left="52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 of the corporation is Tripadvisor, Inc. (the “Corporation”).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199" w:lineRule="exact"/>
        <w:rPr>
          <w:sz w:val="20"/>
          <w:szCs w:val="20"/>
          <w:color w:val="auto"/>
        </w:rPr>
      </w:pPr>
    </w:p>
    <w:p>
      <w:pPr>
        <w:jc w:val="both"/>
        <w:ind w:firstLine="771"/>
        <w:spacing w:after="0" w:line="275"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Chapter 78 of the Nevada Revised Statutes, as the same exists or may hereafter be amended (the “NRS”).</w:t>
      </w:r>
    </w:p>
    <w:p>
      <w:pPr>
        <w:spacing w:after="0" w:line="1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two billion one hundred million (2,100,000,000) shares of stock, comprised of one billion six hundred million (1,600,000,000) shares of Common stock, $0.001 par value per share, four hundred million (400,000,000) shares of Class B Common Stock, $0.001 par value per share , and one hundred million (100,000,000) shares of Preferred Stock, $0.001 par value per share.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statement of the designation of each class and powers, preferences and rights, and qualifications, limitations or restrictions thereof is as follows:</w:t>
      </w:r>
    </w:p>
    <w:p>
      <w:pPr>
        <w:spacing w:after="0" w:line="112" w:lineRule="exact"/>
        <w:rPr>
          <w:sz w:val="20"/>
          <w:szCs w:val="20"/>
          <w:color w:val="auto"/>
        </w:rPr>
      </w:pPr>
    </w:p>
    <w:p>
      <w:pPr>
        <w:ind w:left="1020" w:hanging="505"/>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p>
    <w:p>
      <w:pPr>
        <w:spacing w:after="0" w:line="218" w:lineRule="exact"/>
        <w:rPr>
          <w:sz w:val="20"/>
          <w:szCs w:val="20"/>
          <w:color w:val="auto"/>
        </w:rPr>
      </w:pPr>
    </w:p>
    <w:p>
      <w:pPr>
        <w:ind w:left="1020" w:hanging="505"/>
        <w:spacing w:after="0" w:line="275"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Stock shall be entitled to receive, share for share with the holders of shares of Class B Common Stock, such distributions if, as and when declared from time to time by the Board of Directors (the “Board”).</w:t>
      </w:r>
    </w:p>
    <w:p>
      <w:pPr>
        <w:spacing w:after="0" w:line="56" w:lineRule="exact"/>
        <w:rPr>
          <w:rFonts w:ascii="Times New Roman" w:cs="Times New Roman" w:eastAsia="Times New Roman" w:hAnsi="Times New Roman"/>
          <w:sz w:val="18"/>
          <w:szCs w:val="18"/>
          <w:color w:val="auto"/>
        </w:rPr>
      </w:pPr>
    </w:p>
    <w:p>
      <w:pPr>
        <w:jc w:val="both"/>
        <w:ind w:left="1020" w:hanging="505"/>
        <w:spacing w:after="0" w:line="255"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voluntary or involuntary liquidation, dissolution, distribution of assets, or winding-up of the Corporation, the holders of Common Stock shall be entitled to receive, share for share with the holders of shares of Class B Common Stock, all the assets of the Corporation of whatever kind available for distribution to stockholders of the Corporation (“Stockholders”), after the rights of the holders of the Preferred Stock have been satisfied.</w:t>
      </w:r>
    </w:p>
    <w:p>
      <w:pPr>
        <w:spacing w:after="0" w:line="76" w:lineRule="exact"/>
        <w:rPr>
          <w:rFonts w:ascii="Times New Roman" w:cs="Times New Roman" w:eastAsia="Times New Roman" w:hAnsi="Times New Roman"/>
          <w:sz w:val="18"/>
          <w:szCs w:val="18"/>
          <w:color w:val="auto"/>
        </w:rPr>
      </w:pPr>
    </w:p>
    <w:p>
      <w:pPr>
        <w:jc w:val="both"/>
        <w:ind w:left="1020" w:hanging="505"/>
        <w:spacing w:after="0" w:line="255"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share of Common Stock shall be entitled to one vote for each share of Common Stock held as of the applicable date on any matter that is submitted to a vote or for the consent of the Stockholders. Except as otherwise provided herein or by the NRS, the holders of Common Stock and the holders of Class B Common Stock shall at all times vote on all matters (including the election of directors) together as one class.</w:t>
      </w:r>
    </w:p>
    <w:p>
      <w:pPr>
        <w:spacing w:after="0" w:line="395" w:lineRule="exact"/>
        <w:rPr>
          <w:sz w:val="20"/>
          <w:szCs w:val="20"/>
          <w:color w:val="auto"/>
        </w:rPr>
      </w:pPr>
    </w:p>
    <w:p>
      <w:pPr>
        <w:ind w:left="1020" w:hanging="505"/>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Common Stock</w:t>
      </w:r>
    </w:p>
    <w:p>
      <w:pPr>
        <w:spacing w:after="0" w:line="324" w:lineRule="exact"/>
        <w:rPr>
          <w:sz w:val="20"/>
          <w:szCs w:val="20"/>
          <w:color w:val="auto"/>
        </w:rPr>
      </w:pPr>
    </w:p>
    <w:p>
      <w:pPr>
        <w:ind w:left="1020" w:hanging="505"/>
        <w:spacing w:after="0" w:line="275"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Class B Common Stock shall be entitled to receive, share for share with the holders of shares of Common Stock, such distributions if, as and when declared from time to time by the Board.</w:t>
      </w:r>
    </w:p>
    <w:p>
      <w:pPr>
        <w:spacing w:after="0" w:line="56" w:lineRule="exact"/>
        <w:rPr>
          <w:rFonts w:ascii="Times New Roman" w:cs="Times New Roman" w:eastAsia="Times New Roman" w:hAnsi="Times New Roman"/>
          <w:sz w:val="18"/>
          <w:szCs w:val="18"/>
          <w:color w:val="auto"/>
        </w:rPr>
      </w:pPr>
    </w:p>
    <w:p>
      <w:pPr>
        <w:jc w:val="both"/>
        <w:ind w:left="1020" w:hanging="505"/>
        <w:spacing w:after="0" w:line="260"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voluntary or involuntary liquidation, dissolution, distribution of assets or winding-up of the Corporation, the holders of the Class B Common Stock shall be entitled to receive, share for share with the holders of shares of Common Stock, all the assets of the Corporation of whatever kind available for distribution to Stockholders, after the rights of the holders of Preferred Stock have been satisfied.</w:t>
      </w:r>
    </w:p>
    <w:p>
      <w:pPr>
        <w:spacing w:after="0" w:line="71" w:lineRule="exact"/>
        <w:rPr>
          <w:rFonts w:ascii="Times New Roman" w:cs="Times New Roman" w:eastAsia="Times New Roman" w:hAnsi="Times New Roman"/>
          <w:sz w:val="18"/>
          <w:szCs w:val="18"/>
          <w:color w:val="auto"/>
        </w:rPr>
      </w:pPr>
    </w:p>
    <w:p>
      <w:pPr>
        <w:ind w:left="1020" w:hanging="505"/>
        <w:spacing w:after="0" w:line="257"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share of Class B Common Stock shall be entitled to ten votes for each share of Class B Common Stock held as of the applicable date on any matter that is submitted to a vote or for the consent of the Stockholders. Except 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94" w:name="page95"/>
    <w:bookmarkEnd w:id="94"/>
    <w:p>
      <w:pPr>
        <w:ind w:left="1020"/>
        <w:spacing w:after="0" w:line="275" w:lineRule="auto"/>
        <w:rPr>
          <w:sz w:val="20"/>
          <w:szCs w:val="20"/>
          <w:color w:val="auto"/>
        </w:rPr>
      </w:pPr>
      <w:r>
        <w:rPr>
          <w:rFonts w:ascii="Times New Roman" w:cs="Times New Roman" w:eastAsia="Times New Roman" w:hAnsi="Times New Roman"/>
          <w:sz w:val="18"/>
          <w:szCs w:val="18"/>
          <w:color w:val="auto"/>
        </w:rPr>
        <w:t>otherwise provided herein or by the NRS, the holders of Common Stock and the holders of Class B Common Stock shall at all times vote on all matters (including the election of directors) together as one class.</w:t>
      </w:r>
    </w:p>
    <w:p>
      <w:pPr>
        <w:spacing w:after="0" w:line="309" w:lineRule="exact"/>
        <w:rPr>
          <w:sz w:val="20"/>
          <w:szCs w:val="20"/>
          <w:color w:val="auto"/>
        </w:rPr>
      </w:pPr>
    </w:p>
    <w:p>
      <w:pPr>
        <w:ind w:left="1020" w:hanging="505"/>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Matters Affecting Shareholders of Common Stock and Class B Common Stock</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both"/>
        <w:ind w:left="1020" w:hanging="505"/>
        <w:spacing w:after="0" w:line="255"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share dividends or stock splits or combinations of stock be declared or made on Common Stock or Class B Common Stock unless the shares of Common Stock and Class B Common Stock at the time outstanding are treated equally and identically, except that such dividends or stock splits or combinations shall be made in respect of shares of Common Stock and Class B Common Stock in the form of shares of Common Stock or Class B Common Stock, respectively.</w:t>
      </w:r>
    </w:p>
    <w:p>
      <w:pPr>
        <w:spacing w:after="0" w:line="76" w:lineRule="exact"/>
        <w:rPr>
          <w:rFonts w:ascii="Times New Roman" w:cs="Times New Roman" w:eastAsia="Times New Roman" w:hAnsi="Times New Roman"/>
          <w:sz w:val="18"/>
          <w:szCs w:val="18"/>
          <w:color w:val="auto"/>
        </w:rPr>
      </w:pPr>
    </w:p>
    <w:p>
      <w:pPr>
        <w:jc w:val="both"/>
        <w:ind w:left="1020" w:hanging="505"/>
        <w:spacing w:after="0" w:line="255"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shall be convertible into shares of Common Stock of the Corporation at the option of the holder thereof at any time on a share for share basis. Such conversion ratio shall in all events be equitably preserved in the event of any recapitalization of the Corporation by means of a stock dividend on, or a stock split or combination of, outstanding Common Stock or Class B Common Stock, or in the event of any merger, consolidation or other reorganization of the Corporation with another corporation.</w:t>
      </w:r>
    </w:p>
    <w:p>
      <w:pPr>
        <w:spacing w:after="0" w:line="76" w:lineRule="exact"/>
        <w:rPr>
          <w:rFonts w:ascii="Times New Roman" w:cs="Times New Roman" w:eastAsia="Times New Roman" w:hAnsi="Times New Roman"/>
          <w:sz w:val="18"/>
          <w:szCs w:val="18"/>
          <w:color w:val="auto"/>
        </w:rPr>
      </w:pPr>
    </w:p>
    <w:p>
      <w:pPr>
        <w:ind w:left="1020" w:hanging="505"/>
        <w:spacing w:after="0" w:line="275"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shares of Class B Common Stock into shares of Common Stock, such shares of Class B Common Stock shall be retired and shall not be subject to reissue.</w:t>
      </w:r>
    </w:p>
    <w:p>
      <w:pPr>
        <w:spacing w:after="0" w:line="56" w:lineRule="exact"/>
        <w:rPr>
          <w:rFonts w:ascii="Times New Roman" w:cs="Times New Roman" w:eastAsia="Times New Roman" w:hAnsi="Times New Roman"/>
          <w:sz w:val="18"/>
          <w:szCs w:val="18"/>
          <w:color w:val="auto"/>
        </w:rPr>
      </w:pPr>
    </w:p>
    <w:p>
      <w:pPr>
        <w:jc w:val="both"/>
        <w:ind w:left="1020" w:hanging="505"/>
        <w:spacing w:after="0" w:line="255"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these articles of incorporation (as amended from time to time, the “Articles of Incorporation”), the holders of Common Stock, acting as a single class, shall be entitled to elect twenty-five percent (25%) of the total number of directors, and in the event that twenty-five percent (25%) of the total number of directors shall result in a fraction of a director, then the holders of the Common Stock, acting as a single class, shall be entitled to elect the next higher whole number of directors.</w:t>
      </w:r>
    </w:p>
    <w:p>
      <w:pPr>
        <w:spacing w:after="0" w:line="289" w:lineRule="exact"/>
        <w:rPr>
          <w:sz w:val="20"/>
          <w:szCs w:val="20"/>
          <w:color w:val="auto"/>
        </w:rPr>
      </w:pPr>
    </w:p>
    <w:p>
      <w:pPr>
        <w:ind w:left="1020" w:hanging="505"/>
        <w:spacing w:after="0"/>
        <w:tabs>
          <w:tab w:leader="none" w:pos="10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Board shall have the authority, by resolution, to designate the powers, preferences, rights and qualifications, limitations, and restrictions of the Preferred Stock. To the extent permitted by the NRS, the number of authorized shares of Preferred Stock or any class or series thereof may be increased or decreased by the affirmative vote of the holders of a majority of the voting power of the Corporation entitled to vote.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3" w:lineRule="exact"/>
        <w:rPr>
          <w:sz w:val="20"/>
          <w:szCs w:val="20"/>
          <w:color w:val="auto"/>
        </w:rPr>
      </w:pPr>
    </w:p>
    <w:p>
      <w:pPr>
        <w:ind w:left="1020" w:hanging="505"/>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the Board of Directors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by the NRS, the business and affairs of the Corporation shall be managed by or under the direction of the Board.</w:t>
      </w:r>
    </w:p>
    <w:p>
      <w:pPr>
        <w:spacing w:after="0" w:line="112" w:lineRule="exact"/>
        <w:rPr>
          <w:sz w:val="20"/>
          <w:szCs w:val="20"/>
          <w:color w:val="auto"/>
        </w:rPr>
      </w:pPr>
    </w:p>
    <w:p>
      <w:pPr>
        <w:jc w:val="both"/>
        <w:ind w:firstLine="863"/>
        <w:spacing w:after="0" w:line="255"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laws of the State of Nevada, the Board shall have the power and is expressly authorized to make, adopt, amend, alter or repeal the bylaws of the Corporation (as amended from time to time, the “Bylaws”) by the affirmative vote of a majority of the entire Board (assuming no vacancies on the Board), but the Stockholders may make additional Bylaws and may alter or repeal any Bylaw whether adopted by them or otherwise.</w:t>
      </w:r>
    </w:p>
    <w:p>
      <w:pPr>
        <w:spacing w:after="0" w:line="395" w:lineRule="exact"/>
        <w:rPr>
          <w:sz w:val="20"/>
          <w:szCs w:val="20"/>
          <w:color w:val="auto"/>
        </w:rPr>
      </w:pPr>
    </w:p>
    <w:p>
      <w:pPr>
        <w:ind w:left="1020" w:hanging="505"/>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directors of the Corporation shall be such number as shall be determined from time to time in accordance with the Bylaws.</w:t>
      </w:r>
    </w:p>
    <w:p>
      <w:pPr>
        <w:spacing w:after="0" w:line="11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Chair of the Board may only be removed without cause by the affirmative vote of at least 80% of the entire Board. The provisions of this paragraph may not be amended, altered, changed, or repealed, or any provision inconsistent therewith adopted, without the approval of at least (i) 80% of the entire Board and (ii) 80% of the voting power of the Corporation's outstanding voting securities, voting together as a single class.</w:t>
      </w:r>
    </w:p>
    <w:p>
      <w:pPr>
        <w:spacing w:after="0" w:line="390" w:lineRule="exact"/>
        <w:rPr>
          <w:sz w:val="20"/>
          <w:szCs w:val="20"/>
          <w:color w:val="auto"/>
        </w:rPr>
      </w:pPr>
    </w:p>
    <w:p>
      <w:pPr>
        <w:ind w:left="1020" w:hanging="505"/>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Authority</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to the powers and authority expressly conferred upon them herein or by statute, the directors are hereby empowered to exercise all such powers and do all such acts and things as may be exercised or done by the Corporation, subject to the provisions of the NRS and these Articles of Incorporation.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w:t>
      </w:r>
    </w:p>
    <w:p>
      <w:pPr>
        <w:spacing w:after="0" w:line="199" w:lineRule="exact"/>
        <w:rPr>
          <w:sz w:val="20"/>
          <w:szCs w:val="20"/>
          <w:color w:val="auto"/>
        </w:rPr>
      </w:pPr>
    </w:p>
    <w:p>
      <w:pPr>
        <w:ind w:left="1020" w:hanging="505"/>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Election of directors need not be by written ballot except and to the extent provided in the Bylaws.</w:t>
      </w:r>
    </w:p>
    <w:p>
      <w:pPr>
        <w:spacing w:after="0" w:line="324" w:lineRule="exact"/>
        <w:rPr>
          <w:sz w:val="20"/>
          <w:szCs w:val="20"/>
          <w:color w:val="auto"/>
        </w:rPr>
      </w:pPr>
    </w:p>
    <w:p>
      <w:pPr>
        <w:ind w:left="1020" w:hanging="505"/>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280" w:firstLine="509"/>
        <w:spacing w:after="0" w:line="275" w:lineRule="auto"/>
        <w:rPr>
          <w:sz w:val="20"/>
          <w:szCs w:val="20"/>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269" w:lineRule="exact"/>
        <w:rPr>
          <w:sz w:val="20"/>
          <w:szCs w:val="20"/>
          <w:color w:val="auto"/>
        </w:rPr>
      </w:pPr>
    </w:p>
    <w:p>
      <w:pPr>
        <w:ind w:left="1020" w:hanging="505"/>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Meetings.</w:t>
      </w:r>
    </w:p>
    <w:p>
      <w:pPr>
        <w:spacing w:after="0" w:line="21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Nevada, as determined by the Board. The books of the Corporation may be kept (subject to any provision contained in the NRS) outside the State of Nevada at such place or places as may be designated from time to time by the Board or in the Bylaws.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Indemnification</w:t>
      </w:r>
    </w:p>
    <w:p>
      <w:pPr>
        <w:spacing w:after="0" w:line="305" w:lineRule="exact"/>
        <w:rPr>
          <w:sz w:val="20"/>
          <w:szCs w:val="20"/>
          <w:color w:val="auto"/>
        </w:rPr>
      </w:pPr>
    </w:p>
    <w:p>
      <w:pPr>
        <w:jc w:val="both"/>
        <w:ind w:left="1020" w:hanging="505"/>
        <w:spacing w:after="0" w:line="260"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under the NRS (including, without limitation, NRS 78.7502, NRS 78.751 and 78.752) and other applicable law, the Corporation shall indemnify directors and officers of the Corporation in their respective capacities as such and in any and all other capacities in which any of them serves at the request of the Corporation.</w:t>
      </w:r>
    </w:p>
    <w:p>
      <w:pPr>
        <w:spacing w:after="0" w:line="71" w:lineRule="exact"/>
        <w:rPr>
          <w:rFonts w:ascii="Times New Roman" w:cs="Times New Roman" w:eastAsia="Times New Roman" w:hAnsi="Times New Roman"/>
          <w:sz w:val="18"/>
          <w:szCs w:val="18"/>
          <w:color w:val="auto"/>
        </w:rPr>
      </w:pPr>
    </w:p>
    <w:p>
      <w:pPr>
        <w:jc w:val="both"/>
        <w:ind w:left="1020" w:hanging="505"/>
        <w:spacing w:after="0" w:line="251"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of indemnification permitted by the laws of the State of Nevada or as may be provided for by the Corporation in its Bylaws or by agreement, the expenses of directors and officers incurred in defending a civil or criminal action, suit or proceeding, involving alleged acts or omissions of such director or officer in his or her capacity as a director or officer of the Corporation, must be paid, by the Corporation or through insurance purchased 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w:t>
      </w:r>
    </w:p>
    <w:p>
      <w:pPr>
        <w:spacing w:after="0" w:line="78" w:lineRule="exact"/>
        <w:rPr>
          <w:rFonts w:ascii="Times New Roman" w:cs="Times New Roman" w:eastAsia="Times New Roman" w:hAnsi="Times New Roman"/>
          <w:sz w:val="18"/>
          <w:szCs w:val="18"/>
          <w:color w:val="auto"/>
        </w:rPr>
      </w:pPr>
    </w:p>
    <w:p>
      <w:pPr>
        <w:jc w:val="both"/>
        <w:ind w:left="1020" w:hanging="505"/>
        <w:spacing w:after="0" w:line="255"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directors and officers of the Corporation shall be eliminated or limited to the fullest extent permitted by the NRS.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from time to time.</w:t>
      </w:r>
    </w:p>
    <w:p>
      <w:pPr>
        <w:spacing w:after="0" w:line="76" w:lineRule="exact"/>
        <w:rPr>
          <w:rFonts w:ascii="Times New Roman" w:cs="Times New Roman" w:eastAsia="Times New Roman" w:hAnsi="Times New Roman"/>
          <w:sz w:val="18"/>
          <w:szCs w:val="18"/>
          <w:color w:val="auto"/>
        </w:rPr>
      </w:pPr>
    </w:p>
    <w:p>
      <w:pPr>
        <w:jc w:val="both"/>
        <w:ind w:left="1020" w:hanging="505"/>
        <w:spacing w:after="0" w:line="283" w:lineRule="auto"/>
        <w:tabs>
          <w:tab w:leader="none" w:pos="102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repeal or modification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approved by the Stockholders shall be prospective only, and shall not adversely affect any limitation on the liability of a director or officer of the Corporation existing as of the time of such repeal or modification. In the event of any conflict between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and any other article of these Articles of Incorporation, the terms and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shall control</w:t>
      </w:r>
    </w:p>
    <w:p>
      <w:pPr>
        <w:spacing w:after="0" w:line="52" w:lineRule="exact"/>
        <w:rPr>
          <w:rFonts w:ascii="Times New Roman" w:cs="Times New Roman" w:eastAsia="Times New Roman" w:hAnsi="Times New Roman"/>
          <w:sz w:val="17"/>
          <w:szCs w:val="17"/>
          <w:color w:val="auto"/>
        </w:rPr>
      </w:pPr>
    </w:p>
    <w:p>
      <w:pPr>
        <w:ind w:left="1020" w:hanging="505"/>
        <w:spacing w:after="0" w:line="275"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or the effect of the foregoing, the Corporation may enter into one or more agreements with any person that provide for indemnification greater or different than that provided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w:t>
      </w:r>
    </w:p>
    <w:p>
      <w:pPr>
        <w:spacing w:after="0" w:line="305" w:lineRule="exact"/>
        <w:rPr>
          <w:sz w:val="20"/>
          <w:szCs w:val="20"/>
          <w:color w:val="auto"/>
        </w:rPr>
      </w:pPr>
    </w:p>
    <w:p>
      <w:pPr>
        <w:ind w:firstLine="417"/>
        <w:spacing w:after="0" w:line="257"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these Articles of Incorporation in the manner now or hereafter prescribed in these Articles of Incorporation or the NRS, and all rights herein conferred upon stockholders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are granted subject to </w:t>
      </w:r>
      <w:r>
        <w:rPr>
          <w:rFonts w:ascii="Times New Roman" w:cs="Times New Roman" w:eastAsia="Times New Roman" w:hAnsi="Times New Roman"/>
          <w:sz w:val="18"/>
          <w:szCs w:val="18"/>
          <w:i w:val="1"/>
          <w:iCs w:val="1"/>
          <w:color w:val="auto"/>
        </w:rPr>
        <w:t>this</w:t>
      </w:r>
      <w:r>
        <w:rPr>
          <w:rFonts w:ascii="Times New Roman" w:cs="Times New Roman" w:eastAsia="Times New Roman" w:hAnsi="Times New Roman"/>
          <w:sz w:val="18"/>
          <w:szCs w:val="18"/>
          <w:color w:val="auto"/>
        </w:rPr>
        <w:t xml:space="preserve"> reservation except that under no circumstances may such amendment be adopted except as prescribed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provided further that the rights of the Class B Common Stock may not be amended, altered, changed or repealed without the approval of the holders of the requisite number of said shares of Class B Common Stock.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 and Corporate Opportunities</w:t>
      </w:r>
    </w:p>
    <w:p>
      <w:pPr>
        <w:spacing w:after="0" w:line="199" w:lineRule="exact"/>
        <w:rPr>
          <w:sz w:val="20"/>
          <w:szCs w:val="20"/>
          <w:color w:val="auto"/>
        </w:rPr>
      </w:pPr>
    </w:p>
    <w:p>
      <w:pPr>
        <w:ind w:left="1020" w:hanging="505"/>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7"/>
          <w:szCs w:val="17"/>
          <w:color w:val="auto"/>
        </w:rPr>
        <w:t>To the extent provided in the following sentence, the Corporation renounces any interest or expectancy of the Corporation or any of its Affiliated Companies in, or in being offered an opportunity to participate in, any Dual Opportunity about which a Dual Role Person acquires knowledge. A Dual Role Person shall have no duty to communicate or offer to the Corporation or any of its Affiliated Companies any Dual Opportunity that such Dual Role Person has communicated or offered to Liberty Tripadvisor Holdings, Inc. (“LTRIP”), shall not be prohibited from communicating or offering any Dual Opportunity to LTRIP, and shall not be liable to the Corporation or its Stockholders for breach of any fiduciary duty as a stockholder, director or officer of the Corporation, as the case may be, resulting from (i) the failure to communicate or offer to the Corporation or any of its Affiliated Companies any Dual Opportunity that such Dual Role Person has communicated or offered to LTRIP or (ii) the communication or offer to LTRIP of any Dual Opportunity, so long as (x) the Dual Opportunity does not become known to the Dual Role Person in his or her capacity as a director or officer of the Corporation, and (y) the Dual Opportunity is not presented by the Dual Role Person to any party other than LTRIP and the Dual Role Person does not pursue the Dual Opportunity individually.</w:t>
      </w:r>
    </w:p>
    <w:p>
      <w:pPr>
        <w:spacing w:after="0" w:line="175" w:lineRule="exact"/>
        <w:rPr>
          <w:sz w:val="20"/>
          <w:szCs w:val="20"/>
          <w:color w:val="auto"/>
        </w:rPr>
      </w:pPr>
    </w:p>
    <w:p>
      <w:pPr>
        <w:ind w:left="1020" w:hanging="505"/>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Matters Deemed not Corporate Opportunities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Corporation renounces any interest or expectancy of the Corporation or any of its Affiliated Companies in, or in being offered an opportunity to participate in, any business opportunity that the Corporation is not financially able or contractually permitted or legally able to undertake. Moreover, nothing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amend or modify in any respect any written contractual agreement between LTRIP on the one hand and the Corporation or any of its Affiliated Companies on the other hand.</w:t>
      </w:r>
    </w:p>
    <w:p>
      <w:pPr>
        <w:spacing w:after="0" w:line="262" w:lineRule="exact"/>
        <w:rPr>
          <w:sz w:val="20"/>
          <w:szCs w:val="20"/>
          <w:color w:val="auto"/>
        </w:rPr>
      </w:pPr>
    </w:p>
    <w:p>
      <w:pPr>
        <w:ind w:left="1020" w:hanging="505"/>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purposes of the foregoing definition, the term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 controlled by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is under common control with</w:t>
      </w:r>
      <w:r>
        <w:rPr>
          <w:rFonts w:ascii="Times New Roman" w:cs="Times New Roman" w:eastAsia="Times New Roman" w:hAnsi="Times New Roman"/>
          <w:sz w:val="18"/>
          <w:szCs w:val="18"/>
          <w:color w:val="auto"/>
        </w:rPr>
        <w:t>” means the power to direct or cause the direction of the management and policies of a Person, whether through the ownership of voting securities, by contract or otherwise.</w:t>
      </w:r>
    </w:p>
    <w:p>
      <w:pPr>
        <w:spacing w:after="0" w:line="71"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Company</w:t>
      </w:r>
      <w:r>
        <w:rPr>
          <w:rFonts w:ascii="Times New Roman" w:cs="Times New Roman" w:eastAsia="Times New Roman" w:hAnsi="Times New Roman"/>
          <w:sz w:val="18"/>
          <w:szCs w:val="18"/>
          <w:color w:val="auto"/>
        </w:rPr>
        <w:t>” means (i) with respect to the Corporation, any Person controlled by the Corporation, and (ii) with respect to LTRIP, any Person controlled by LTRIP (other than the Corporation and its subsidiaries).</w:t>
      </w:r>
    </w:p>
    <w:p>
      <w:pPr>
        <w:spacing w:after="0" w:line="5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Dual Opportunity</w:t>
      </w:r>
      <w:r>
        <w:rPr>
          <w:rFonts w:ascii="Times New Roman" w:cs="Times New Roman" w:eastAsia="Times New Roman" w:hAnsi="Times New Roman"/>
          <w:sz w:val="18"/>
          <w:szCs w:val="18"/>
          <w:color w:val="auto"/>
        </w:rPr>
        <w:t>” means any potential transaction or matter which may be a corporate opportunity for the Corporation or any of its Affiliated Companies, on the one hand, and LTRIP or its Affiliated Companies, on the other hand.</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Dual Role Person</w:t>
      </w:r>
      <w:r>
        <w:rPr>
          <w:rFonts w:ascii="Times New Roman" w:cs="Times New Roman" w:eastAsia="Times New Roman" w:hAnsi="Times New Roman"/>
          <w:sz w:val="18"/>
          <w:szCs w:val="18"/>
          <w:color w:val="auto"/>
        </w:rPr>
        <w:t>” means any individual who is an officer or director of both the Corporation and LTRIP.</w:t>
      </w:r>
    </w:p>
    <w:p>
      <w:pPr>
        <w:spacing w:after="0" w:line="112"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323" w:lineRule="exact"/>
        <w:rPr>
          <w:sz w:val="20"/>
          <w:szCs w:val="20"/>
          <w:color w:val="auto"/>
        </w:rPr>
      </w:pPr>
    </w:p>
    <w:p>
      <w:pPr>
        <w:ind w:left="1020" w:hanging="505"/>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have no further force or effect at such time as (i) the Corporation and LTRIP are not Affiliates of one another and (ii) none of the directors and/or officers of LTRIP serve as directors and/or officers of the Corporation and its Affiliated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termination shall not terminate the effect of such provisions with respect to any agreement, arrangement or other understanding between the Corporation or an Affiliated Company thereof on the one hand, and LTRIP, on the other hand, that was entered into before such time or any transaction entered into in the performance of such agreement, arrangement or other understanding, whether entered into before or after such time.</w:t>
      </w:r>
    </w:p>
    <w:p>
      <w:pPr>
        <w:spacing w:after="0" w:line="290" w:lineRule="exact"/>
        <w:rPr>
          <w:sz w:val="20"/>
          <w:szCs w:val="20"/>
          <w:color w:val="auto"/>
        </w:rPr>
      </w:pPr>
    </w:p>
    <w:p>
      <w:pPr>
        <w:ind w:left="1020" w:hanging="505"/>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Notice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Any person or entity purchasing or otherwise acquiring or obtaining any interest in any capital stock of the Corporation shall be deemed to have notice and to have consented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ind w:left="1020" w:hanging="505"/>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 xml:space="preserve">The invalidity or unenforceability of any particular provision, or part of any provision,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affect the other provisions or parts hereof, and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construed in all respects as if such invalid or unenforceable provisions or parts were omitted.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305"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7"/>
          <w:szCs w:val="17"/>
          <w:color w:val="auto"/>
        </w:rPr>
        <w:t xml:space="preserve">To the fullest extent permitted by law, and unless the Corporation consents in writing to the selection of an alternative forum, the Eighth Judicial District Court sitting in Clark County in the State of Nevada (the “Nevada Court”)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NRS or these Articles of Incorporation or the Bylaws, or (iv) any action asserting a claim against the Corporation, its directors, officers or employees governed by the internal affairs doctrine and, if brought outside of Nevada, the stockholder bringing the suit will be deemed to have consented to service of process on such stockholder’s counsel. Notwithstanding the foregoing, the Nevada Court shall not be the sole and exclusive forum for any of the following actions: (A) as to which the Nevada Court determines that there is an indispensable party not subject to the jurisdiction of the Nevada Court (and the indispensable party does not consent to the personal jurisdiction of the Nevada Court within ten days following such determination), (B) which is vested in the exclusive jurisdiction of a court or forum other than the Nevada Court, (C) for which the Nevada Court does not have subject matter jurisdiction, or (D) any action arising under the Securities Act of 1933, as amended, as to which the Nevada Court and the federal district court for the District of Nevada shall have concurrent jurisdiction. Furthermore, notwithstanding the foregoing, the provisions of this Section (A) will not apply to suits brought to enforce any liability or duty created by the Exchange Act or any other claim for which the federal courts have exclusive jurisdiction. To the fullest extent permitted by law, any person or entity purchasing or otherwise acquiring or holding any interest in shares of capital stock of the Corporation shall be deemed to have notice of and consented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Inapplicability of Controlling Interest Statutes</w:t>
      </w:r>
    </w:p>
    <w:p>
      <w:pPr>
        <w:spacing w:after="0" w:line="30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Notwithstanding any other provision in these Articles of Incorporation to the contrary, and in accordance with the provisions of NRS 78.378, the provisions of NRS 78.378 to 78.3793, inclusive, or any successor statutes, relating to acquisitions of controlling interests in the Corporation shall not apply to the Corporation or to any acquisition of any shares of the Corporation’s capital stock.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Principal Executive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principal executive office of Tripadvisor, Inc. (the “Corporation”) shall be at such place established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of directors of the Corporation (the “Board” or the “Board of Directors”) in its discretion. The Board shall have full power and authority to change the location of the principal executive office.</w:t>
      </w:r>
    </w:p>
    <w:p>
      <w:pPr>
        <w:spacing w:after="0" w:line="68"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offices and places of business within or without the State of Nevada may be established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or as the business of the Corporation may require.</w:t>
      </w:r>
    </w:p>
    <w:p>
      <w:pPr>
        <w:spacing w:after="0" w:line="5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also have offices at such other places, both within and without the State of Nevada, as the Board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determine or the business of the Corporation may require.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18"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Place of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may be held at such place, either within or without the State of Nevada, as may be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If no designation is made, the place of the meeting shall be the principal office of the Corporation.</w:t>
      </w:r>
    </w:p>
    <w:p>
      <w:pPr>
        <w:spacing w:after="0" w:line="5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annual meeting of stockholders for the election of directors and for the transaction of such other business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properly come before the meeting shall be held at such time and date as shall be designated from time to time by the Board, the Chief Executive Officer or the chairman of the Board of Directors (the “Chairman”) and stated in the Corporation’s notice of the meeting. Except as otherwise restricted by the Corporation’s Articles of Incorporation (as may be amended, restated, modified, or supplemented from time to time, the “Articles of Incorporation”) or applicable law, the Board, the Chief Executive Officer, or the Chairman may postpone, reschedule or cancel any previously scheduled annual meeting of stockholders, before or after the notice for such meeting has been sent to the stockholders.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may be called by the Chairman of the Board or a majority of the Board.</w:t>
      </w:r>
    </w:p>
    <w:p>
      <w:pPr>
        <w:spacing w:after="0" w:line="11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Section 4.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Whenever stockholders are required or permitted to take any action at a meeting, whether annual or special, a written notice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Bylaws (as may be further amended, restated, modified, or supplemented from time to time, these “Bylaws”),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NRS, as defined below) by the stockholder to whom the notice is given. If notice is given by mail, such notice will be deemed given when deposited in the United States mail, postage prepaid, directed to the stockholder at such stockholder’s address as it appears on the records of the Corporation. If notice is given by electronic transmission, such notice will be deemed given at the time specified in NRS 78.370 .</w:t>
      </w:r>
    </w:p>
    <w:p>
      <w:pPr>
        <w:spacing w:after="0" w:line="6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Adjourned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meeting of the stockholders, annual or special, whether or not a quorum is present, may be adjourned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for any reason by either the Chairman of the meeting or by a resolution adopted by the majority of the Board or in accordance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When a meeting is adjourned to another time or place, except as required by law, notice of the adjourned meeting need not be given if the time, place, if any, thereof and the means of remote communication, if any, by which stockholders and proxy holders may be deemed to be present in person and vote at such meeting, are announced at the meeting at which the adjournment is taken, if the adjournment is for not more than sixty (60) days later than the date set for the original meeting, and if no new record date is fixed for the adjourned meeting. At the adjourned meeting, the Corporation may transact any business that might have been transacted at the original meeting.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required by applicable law or the Articles of Incorporation, the holders of a majority of the voting power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thereat, present in person or represented by proxy, shall have power to adjourn the meeting from time to time, in the manner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until a quorum shall be present or represented. A quorum, once established, shall not be broken by the withdrawal of enough stockholders to leave less than a quorum.</w:t>
      </w:r>
    </w:p>
    <w:p>
      <w:pPr>
        <w:spacing w:after="0" w:line="77" w:lineRule="exact"/>
        <w:rPr>
          <w:sz w:val="20"/>
          <w:szCs w:val="20"/>
          <w:color w:val="auto"/>
        </w:rPr>
      </w:pPr>
    </w:p>
    <w:p>
      <w:pPr>
        <w:jc w:val="both"/>
        <w:ind w:right="20"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Articles of Incorporation, each stockholder shall at every meeting of the stockholders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in person or by proxy each share of the class of capital stock having voting power held by such stockholder.</w:t>
      </w:r>
    </w:p>
    <w:p>
      <w:pPr>
        <w:spacing w:after="0" w:line="5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Participation at Stockholder Meetings by Remote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sole discretion, determine that a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not be held at any place, but may instead be held solely by means of remote communication in accordance with Nevada Revised Statutes (as amended from time to time, “NRS”) 78.320(4) and any applicable part of NRS Chapter 78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provided 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9. </w:t>
      </w:r>
      <w:r>
        <w:rPr>
          <w:rFonts w:ascii="Times New Roman" w:cs="Times New Roman" w:eastAsia="Times New Roman" w:hAnsi="Times New Roman"/>
          <w:sz w:val="17"/>
          <w:szCs w:val="17"/>
          <w:b w:val="1"/>
          <w:bCs w:val="1"/>
          <w:u w:val="single" w:color="auto"/>
          <w:color w:val="auto"/>
        </w:rPr>
        <w:t>Proxies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stockholder entitled to vote at a meeting of stockholders has the right to do so either in person or by one (1) or more agents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Procedure for Election of Directors; Required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at all meetings of the stockholders at which directors are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shall be by ballot, and, subject to the rights of the holders of shares of Preferred Stock to elect directors under specified circumstances, a plurality of the votes cast thereat shall elect directors. Except as otherwise provided by law, the Articles of Incorporation, or these Bylaws, in all matters other than the election of directors, the affirmative vote of a majority of the voting power of the shares present in person or represented by proxy at the meeting and entitled to vote on the matter shall be the act of the stockholders.</w:t>
      </w:r>
    </w:p>
    <w:p>
      <w:pPr>
        <w:spacing w:after="0" w:line="7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Inspectors of Elections; Opening and Closing the Polls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by resolution shall appoint one or more inspectors,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inspector or inspectors may include individuals who serve the Corporation in other capacities, including, without limitation, as officers, employees, agents, or representatives, to act at the meetings of stockholders and make a written report thereof. One or more persons may be designated as alternate inspectors to replace any inspector who fails to act. If no inspector or alternate has been appointed to act or is able to act at a meeting of stockholders, the Chairman of the meeting shall appoint one or more inspectors to act at the meeting. Each inspector, before discharging the duties of an inspector, shall take and sign an oath faithfully to execute the duties of inspector with strict impartiality and according to the best of the inspector’s ability. The inspectors shall have the duties prescribed by law.</w:t>
      </w:r>
    </w:p>
    <w:p>
      <w:pPr>
        <w:spacing w:after="0" w:line="7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Action Without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annual or special meeting of stockholders may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a meeting, without prior notice, and without a vote, if a consent in writing, setting forth the action so taken, is (a) signed by the holders of outstanding stock having not less than the minimum number of votes that would be necessary to authorize or take such action at a meeting at which all of the shares entitled to vote thereon were present and voted and (b) delivered to the Corporation by delivery to its Secretary at the Corporation’s principal executive offices. Any such delivery made to the Corporation’s principal executive offices shall be made by hand, overnight courier or by certified or registered mail, return receipt requested. In no instance where action is duly and properly authorized by written consent need a meeting of stockholders be called or, unless otherwise required by applicable law or any certificate of designation relating to any series of Preferred Stock, notice given.</w:t>
      </w:r>
    </w:p>
    <w:p>
      <w:pPr>
        <w:spacing w:after="0" w:line="7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Section 13. Conduct of Meeting</w:t>
      </w:r>
      <w:r>
        <w:rPr>
          <w:rFonts w:ascii="Times New Roman" w:cs="Times New Roman" w:eastAsia="Times New Roman" w:hAnsi="Times New Roman"/>
          <w:sz w:val="18"/>
          <w:szCs w:val="18"/>
          <w:color w:val="auto"/>
        </w:rPr>
        <w:t>. Meetings of stockholders shall be presided over by the Chairman, or, in the absence of the Chairman, by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if any, or if there be no chief executive officer or in the absence of the chief executive officer, by the president, or, in the absence of the president, by a chairman designated by the Board of Directors. The individual acting as chairman of the meeting may delegate any or all of his or her authority and responsibilities as such to any director or officer of the Corporation present in person at the meeting. The secretary, or in the absence of the secretary an assistant secretary, shall act as secretary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jc w:val="both"/>
        <w:spacing w:after="0" w:line="251" w:lineRule="auto"/>
        <w:rPr>
          <w:sz w:val="20"/>
          <w:szCs w:val="20"/>
          <w:color w:val="auto"/>
        </w:rPr>
      </w:pPr>
      <w:r>
        <w:rPr>
          <w:rFonts w:ascii="Times New Roman" w:cs="Times New Roman" w:eastAsia="Times New Roman" w:hAnsi="Times New Roman"/>
          <w:sz w:val="18"/>
          <w:szCs w:val="18"/>
          <w:color w:val="auto"/>
        </w:rPr>
        <w:t>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chairman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w:t>
      </w:r>
    </w:p>
    <w:p>
      <w:pPr>
        <w:spacing w:after="0" w:line="76"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Section 14. Nomination of Directors</w:t>
      </w:r>
      <w:r>
        <w:rPr>
          <w:rFonts w:ascii="Times New Roman" w:cs="Times New Roman" w:eastAsia="Times New Roman" w:hAnsi="Times New Roman"/>
          <w:sz w:val="18"/>
          <w:szCs w:val="18"/>
          <w:color w:val="auto"/>
        </w:rPr>
        <w:t>. Only persons who are nominated in accordance with the following procedures or pursuant to the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between the Corporation and the stockholders named therein, dated December 20, 2011 and assigned as of August 12, 2014 (as amended from time to time, the “Governance Agreement”), shall be eligible for election as directors. The nomination for election to the Board at a meeting of stockholders may be made (i) pursuant to the notice of meeting (or supplement thereto) given by or at the direction of the Board, (ii) otherwise by or at the direction of the Board if properly brought before the meeting of stockholders, or (iii) by any stockholder of record of the Corporation who (a) was a stockholder of record at the time of giving of notice contemplated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(b) is entitled to vote for the election of directors at such meeting and (c) has complied with the notice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Except as otherwise provided for in the Governance Agreement, clause (iii) of the preceding sentence shall be the exclusive means for a stockholder to make nominations for election of directors before a meeting of stockholders, and, unless the Board has determined that directors will be elected at a special meeting of the stockholders, no stockholder may nominate directors for election at any special meeting of the stockholders. Nominations, other than those made by or on behalf of the Board, shall be made by notice in writing, which shall include the information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delivered or mailed by first class United States mail, postage prepaid, to the Secretary, and (a) with respect to an annual meeting held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received at the principal executive offices of the Corporation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annual meeting is not held within thirty (30) days before or after such anniversary date, then such nomination shall have been delivered to or mailed and received by the Secretary not later than the close of business on the 10th day following the date on which the notice of the meeting was mailed or public disclosure (as defined below) of the date of such meeting was made, whichever occurs first, and (b) with respect to a special meeting of the stockholders held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at which the Board has determined that directors will be elected, received by the close of business on the 10th day following the day on which public disclosure of the date of such meeting was made. Except as otherwise required by the NRS or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in no event shall any adjournment or postponement of an annual or special meeting of the stockholders or the announcement thereof commence a new time period for the delivery of such notice by a stockholder. For the avoidance of doubt, a stockholder shall not be entitled to make additional or substitute nominations following the expiration of the time periods set forth in these Bylaws.</w:t>
      </w:r>
    </w:p>
    <w:p>
      <w:pPr>
        <w:spacing w:after="0" w:line="9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A stockholder’s notice to the Secretary required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set forth (a) as to each proposed nominee (i) the name, age, business address and, if known, residence address of each such nominee, (ii) the principal occupation or employment of each such nominee, (iii) the number of shares of stock of the Corporation which are beneficially owned by each such nominee, (iv) any other information concerning the nominee that must be disclosed as to nominees in proxy solicitations pursuant to Regulation 14A under the Securities Exchange Act of 1934, as amended (the “Exchange Act”), including such person’s written consent to be named as a nominee and to serve as a director if elected, and (v) a description of all direct and indirect compensation and other material monetary arrangements, agreements or understandings during the past three years, and any other material relationship, if any, between the stockholder and its respective affiliates or associates, or others with whom they are acting in concert, on the one hand, and the proposed nominee, and his or her respective affiliates or associates, on the other hand; and (b) as to the stockholder giving the notice (i) the name and address of such stockholder, (ii) the class or classes and number of shares of the Corporation of each class which are, directly or indirectly, owned beneficially or of record by such stockholder or any Stockholder Associated Person (as defined below), (iii) any option, warrant, convertible security, stock appreciation right or similar right with an exercise or conversion privilege or a settlement payment or mechanism at a price related to any class (or, if applicable, series) of shares of stock of the Corporation or with a value derived in whole or in part from the value of any class (or, if applicable, series) of shares of stock of the Corporation, whether or not such instrument or right shall be subject to settlement in the underlying class or series of stock of the Corporation or otherwise (each, a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by the stockholder or any Stockholder Associated Person, (iv) any proxy, contract, arrangement, understanding or relationship pursuant to which such stockholder or any Stockholder Associated Person has a right to vote any securities of the Corporation, (v) any proportionate interest in shares of stock of the Corporation or Derivative Instruments held, directly or indirectly, by a general or limited partnership in which such stockholder or any Stockholder Associated Person is a general partner or beneficially owns an interest in a general partner, (vi) any performance-related fees (other than an asset-based fee) that such stockholder or any Stockholder Associated Person is entitled to based on any increase or decrease in the value of the shares of stock of the Corporation or Derivative Instruments, (vii) any direct or indirect material legal, economic or financial interest of the stockholder or any Stockholder Associated Person in the outcome of any vote to be taken at any annual or special meeting of stockholders of the Corporation or any other entity with respect to any matter that is substantially related, directly or indirectly, to any nomination proposed by any stockholder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(viii) a representation by the stockholder that such stockholder is a holder of record of stock of the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1" w:name="page102"/>
    <w:bookmarkEnd w:id="101"/>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entitled to vote at such meeting, will continue to be a stockholder of record of the Corporation entitled to vote at such meeting through the date of such meeting and intends to appear in person or by proxy at the meeting to propose such nomination, (ix) a representation that the nominee is not and will not become a party to any agreement, arrangement or understanding (whether written or oral) with, and has not given any commitment or assurance to, any person or entity as to how such person, if elected as a director of the Corporation, will act or vote on any issue or question (I) that has not been disclosed to the Corporation or (II) that could limit or interfere with such person’s ability to comply, if elected a director of the Corporation, with such person’s fiduciary duties under applicable law, (x) whether the stockholder intends to deliver a proxy statement and form of proxy to holders of the Corporation’s voting shares representing at least sixty-seven percent (67%) of the voting power of the stock entitled to vote generally in the election of directors, and (xi) whether the stockholder intends to solicit proxies or votes in support of director nominees or nomination in accordance with Rule 14a-19 promulgated under the Exchange Act. If the stockholder holds its shares by or through a nominee, the information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provided about each person who has sole or shared power to direct the voting or disposition of the shares of stock of the Corporation and each person who has a pecuniary interest in such shares of stock in lieu of the stockholder. In addition, any nominee proposed by a stockholder shall complete a questionnaire, in a form provided by the Corporation, within ten (10) days of receipt of the form of questionnaire from the Corporation, and the Corporation may require any proposed nominee to furnish such other information as may reasonably be required by the Corporation to determine the eligibility of such proposed nominee to serve as a director of the Corporation.</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stockholder shall further update and supplement its notice of any nomination to be brought before a meeting, if necessary, so that the information provided or required to be provided in such notice pursuant to this Section 14 shall be true and correct (i) as of the record date for the meeting and (ii) as of the date that is ten (10) business days prior to the meeting or any adjournment, recess, rescheduling or postponement thereof. Such update and supplement shall be delivered to the Secretary not later than three (3) business days after the later of the record date or the date notice of the record date is first publicly announced (in the case of the update and supplement required to be made as of the record date for the meeting) and not later than seven (7) business days prior to the date for the meeting, if practicable (or, if not practicable, on the first practicable date prior to the meeting), or any adjournment, recess, rescheduling or postponement thereof (in the case of the update and supplement required to be made as of ten (10) business days prior to the meeting or any adjournment, recess, rescheduling or postponement thereof).</w:t>
      </w:r>
    </w:p>
    <w:p>
      <w:pPr>
        <w:spacing w:after="0" w:line="8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Subject to the Articles of Incorporation, the Governance Agreement and applicable law, only persons nominated in accordance with procedures stated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eligible for election as and to serve as a member of the Board of Directors. For the avoidance of doubt, the procedures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do not apply to persons nominated to serve as a member of the Board of Directors pursuant to the Governance Agreement. The chairman of the meeting may, if the facts warrant, determine and declare to the meeting that a nomination was not made in accordance with the foregoing procedures, and if he or she should so determine, he or she shall so declare to the meeting and the defective nomination shall be disregarded. Notwithstanding the foregoing provisions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 stockholder shall also comply with all applicable requirements of the Exchange Act and the rules and regulations thereunder (including, where applicable, Rule 14a-19 of the Exchange Act).</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purposes of these Bylaws, (a) “public disclosure” means disclosure in a press release reported by the Dow Jones News Service, Associated Press or a comparable news service or in a document publicly filed by the Corporation with the Securities and Exchange Commission pursuant to Section 13, 14 or 15(d) of the Exchange Act, and (b) a “Stockholder Associated Person” of any stockholder means (i) any “affiliate” or “associate” (as those terms are defined in Rule 12b-2 under the Exchange Act) of the stockholder and (ii) any person acting in concert with such stockholder or any affiliate or associate of such stockholder with respect to the capital stock or any other security or Derivative Instrument of the Corporation.</w:t>
      </w:r>
    </w:p>
    <w:p>
      <w:pPr>
        <w:spacing w:after="0" w:line="28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Advance Notice of Business at Meetings</w:t>
      </w:r>
      <w:r>
        <w:rPr>
          <w:rFonts w:ascii="Times New Roman" w:cs="Times New Roman" w:eastAsia="Times New Roman" w:hAnsi="Times New Roman"/>
          <w:sz w:val="18"/>
          <w:szCs w:val="18"/>
          <w:color w:val="auto"/>
        </w:rPr>
        <w:t>. At an annual meeting of the stockholders, only such business shall be conducted as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properly brought before the meeting. To be properly brought before an annual meeting, business must be (a) specified in the notice of meeting (or any supplement thereto) given by or at the direction of the Board, (b) otherwise properly brought before the meeting by or at the direction of the Board, or (c) otherwise properly brought before an annual meeting by a stockholder. For business to be properly brought before an annual meeting by a stockholder, the stockholder must appear at the meeting to present a nomination or business; if the stockholder does not appear, such nomination shall be disregarded and/or such proposed business shall not be transacted, notwithstanding that proxies in respect of such vote may have been received by the Corporation. Additionally, if such business relates to the election of directors of the Corporation, the procedures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must be complied with. If such business relates to any other matter, the business must be a proper matter for stockholder action under the NRS and the stockholder must have given timely notice thereof in writing to the Secretary with the information contemplated by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The preceding sentence shall be the exclusive means for a stockholder to propose business (other than matters properly brought under Rule 14a-8 under the Exchange Act and included in the Corporation’s notice of meeting) before an annual meeting of stockholders. To be timely, (a) with respect to an annual meeting held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 stockholder’s notice must be delivered to or mailed and received at the principal executive offices of the Corporation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annual meeting is not held within thirty (30) days before or after such anniversary date, then for the notice by the stockholder to be timely it must be so received not later than the close of business on the 10th day following the date on which the notice of the meeting was mailed or public disclosure of the date of such meeting was made, whichever occurs first, and (b) with respect to a special meeting of the stockholders held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to the extent that business may be properly brought before such meeting by a stockholder, a stockholder’s notice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2" w:name="page103"/>
    <w:bookmarkEnd w:id="102"/>
    <w:p>
      <w:pPr>
        <w:jc w:val="both"/>
        <w:spacing w:after="0" w:line="260" w:lineRule="auto"/>
        <w:rPr>
          <w:sz w:val="20"/>
          <w:szCs w:val="20"/>
          <w:color w:val="auto"/>
        </w:rPr>
      </w:pPr>
      <w:r>
        <w:rPr>
          <w:rFonts w:ascii="Times New Roman" w:cs="Times New Roman" w:eastAsia="Times New Roman" w:hAnsi="Times New Roman"/>
          <w:sz w:val="18"/>
          <w:szCs w:val="18"/>
          <w:color w:val="auto"/>
        </w:rPr>
        <w:t>must be received by the close of business on the 10th day following the day on which public disclosure of the date of such meeting was made. In no event shall any adjournment or postponement of a meeting of the stockholders or the announcement thereof commence a new time period for the delivery of such notice by a stockholder.</w:t>
      </w:r>
    </w:p>
    <w:p>
      <w:pPr>
        <w:spacing w:after="0" w:line="71"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 xml:space="preserve">A stockholder’s notice to the Secretary shall set forth as to each matter the stockholder proposes to bring before a meeting (a) a brief description of the proposal desired to be brought before the meeting and the reasons for making such proposal at the meeting, (b) the name and address of the stockholder making such proposal, (c) the class and number of shares of the Corporation which are beneficially owned by the stockholder, (d) any material interest of the stockholder in such proposal, (e) any Derivative Instrument directly or indirectly owned beneficially or of record by such stockholder or any Stockholder Associated Person and any other direct or indirect opportunity to profit or share in any profit derived from any increase or decrease in the value of shares of stock of the Corporation by the stockholder or any Stockholder Associated Person, (f) any proxy, contract, arrangement, understanding or relationship pursuant to which such stockholder or any Stockholder Associated Person has a right to vote any securities of the Corporation, (g) any proportionate interest in shares of the Corporation or Derivative Instruments held, directly or indirectly, by a general or limited partnership in which such stockholder or any Stockholder Associated Person is a general partner or beneficially owns an interest in a general partner, (h) any performance-related fees (other than an asset-based fee) that such stockholder or any Stockholder Associated Person is entitled to based on any increase or decrease in the value of the shares of stock of the Corporation or Derivative Instruments, and (i) whether the stockholder intends to deliver a proxy statement and form of proxy to holders of the Corporation’s voting shares representing at least sixty-seven percent (67%) of the voting power of the stock entitled to vote generally in the election of directors in the case of a nomination or holders of at least the percentage of the Corporation’s voting shares required under applicable law to carry the proposal in the case of other business. If the stockholder holds its shares by or through a nominee, the information contemplated by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be provided about each person who has sole or shared power to direct the voting or disposition of the shares of capital stock of the Corporation and each person who has a pecuniary interest in such shares in lieu of the stockholder.</w:t>
      </w:r>
    </w:p>
    <w:p>
      <w:pPr>
        <w:spacing w:after="0" w:line="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anything in these Bylaws to the contrary, subject to the Articles of Incorporation and applicable law, no business shall be conducted at any meeting except in accordance with the procedures set forth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except that nothing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effect any rights, if any, of stockholders to request inclusion of proposals in the Corporation’s proxy statement pursuant to applicable provisions of federal law, including the Exchange Act. The chairman of the meeting shall, if the facts warrant, determine and declare to the meeting that a proposal was not properly brought before the meeting in accordance with the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if he or she should so determine, the chairman shall so declare to the meeting and any such proposal not properly brought before the meeting shall not be transacted, discussed or voted on. Notwithstanding the foregoing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 stockholder must also comply with all applicable requirements of the Exchange Act and the rules and regulations thereunder. Nothing in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effect any rights of the stockholders to take action without a meeting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Rule 14a-19(b).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the other provisions and requirements of this Article II, unless otherwise required by law,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 provides notice pursuant to Rule 14a-19(b) under the Exchange Act and (b) subsequently fails to comply with the requirements of Rule 14a-19(a)(2) and Rule 14a-19(a)(3) under the Exchange Act, then the Corporation shall disregard any proxies or votes solicited for such stockholder’s nominees. Upon request by the Corporation, if any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1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Number and Tenure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 and affairs of the Corporation shall be managed by the Board of Directors, the number thereof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from time to time by resolution of the Board but at all times shall consist of at least one (1) individual. Each director shall serve for a term of one year from the date of their election and until their successor is elected and qualified or until his or her earlier death, retirement, disqualification, resignation or removal. Directors need not be stockholders. No reduction of the number of directors shall have the effect of removing any director prior to the expiration of his or her term of office. No provision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restrict the right of the Board of Directors to fill vacancies or the right of the stockholders to remove directors, each as provided in these Bylaws.</w:t>
      </w:r>
    </w:p>
    <w:p>
      <w:pPr>
        <w:spacing w:after="0" w:line="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Resignation or 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may at any time resign by delivering to the Board their resignation in writing. Any director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Board may at any time be removed effective immediately, with or without cause, by the vote, either in person or represented by proxy, of not less than two-thirds (2/3s) of the voting power of the shares of stock issued and outstanding of the class or classes that elected such director and entitled to vote at a special meeting held for such purpose or by the written consent in lieu thereof.</w:t>
      </w:r>
    </w:p>
    <w:p>
      <w:pPr>
        <w:spacing w:after="0" w:line="73"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and newly created directorships resulting from any increase in the authorized number of directors may be filled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vote of a majority of the remaining directors elected by the stockholders who vote on such directorship, though less than a quorum,.  The directors so chosen shall hold office until the next annual election and until their respective successors are duly elected, or until their earlier resignation or removal. D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3" w:name="page104"/>
    <w:bookmarkEnd w:id="103"/>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shall be held at such dates, times, and places as may be designated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and shall be held at least once each year.</w:t>
      </w:r>
    </w:p>
    <w:p>
      <w:pPr>
        <w:spacing w:after="0" w:line="53" w:lineRule="exact"/>
        <w:rPr>
          <w:sz w:val="20"/>
          <w:szCs w:val="20"/>
          <w:color w:val="auto"/>
        </w:rPr>
      </w:pPr>
    </w:p>
    <w:p>
      <w:pPr>
        <w:jc w:val="both"/>
        <w:ind w:right="20"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for any purpose or purposes may be called at any time by the Chairman of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if any, the President or current directors representing at least a majority of the members of the Board of Directors.</w:t>
      </w:r>
    </w:p>
    <w:p>
      <w:pPr>
        <w:spacing w:after="0" w:line="5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any regular meeting or a special meeting shall be given to each director, either orally, by facsimile or other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communication or by hand delivery, addressed to each director at their address as it appears on the records of the Corporation. If notice be by facsimile or other means of electronic communication, such notice shall be deemed to be adequately delivered when the notice is transmitted at least twenty-four (24) hours before such meeting. If by telephone or by hand delivery, the notice shall be given at least twenty-four (24) hours prior to the time set for the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Article VIII of these Bylaws. If the address of any director is incomplete or does not appear upon the records of the Corporation it will be sufficient to address any notice to such director at the registered office of the Corporation.</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of Directors, a majority of the total number of directors shall constitute a quorum for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and, unless otherwise provided in the Articles of Incorporation or these Bylaws, the affirmative vote of a majority of the directors present at any meeting at which there is a quorum shall be an act of the Board. If a quorum is not present at any meeting of the Board, the directors present may adjourn the meeting from time to time, without notice, until a quorum shall be present. A director present at a meeting shall be counted in determining the presence of a quorum, regardless of whether a contract or transaction between the Corporation and any other corporation, partnership, association, or other organization in which such director is a director or officer or has a financial interest, is authorized or considered at such meeting.</w:t>
      </w:r>
    </w:p>
    <w:p>
      <w:pPr>
        <w:spacing w:after="0" w:line="7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Section 8. </w:t>
      </w:r>
      <w:r>
        <w:rPr>
          <w:rFonts w:ascii="Times New Roman" w:cs="Times New Roman" w:eastAsia="Times New Roman" w:hAnsi="Times New Roman"/>
          <w:sz w:val="17"/>
          <w:szCs w:val="17"/>
          <w:b w:val="1"/>
          <w:bCs w:val="1"/>
          <w:u w:val="single" w:color="auto"/>
          <w:color w:val="auto"/>
        </w:rPr>
        <w:t>Action Without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required or permitted to be taken at any meeting of the Board or of any committee thereof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taken without a meeting if all members of the Board or such committee, as the case may be, consent thereto in writing or by electronic communication and such written consent or consents and copies of such communication or communications are filed with the minutes of proceedings of the Board or committee.</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Action by Conference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thereof may participate in a meeting of the Board 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by means of a conference telephone, electronic communications, videoconferencing or other communications equipment or available technology permitted under the NRS by means of which all persons participating in the meeting can hear each other, and such participation in a meeting shall constitute presence in person at such meeting.</w:t>
      </w:r>
    </w:p>
    <w:p>
      <w:pPr>
        <w:spacing w:after="0" w:line="7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designate committees of the Board to serve at the pleasure of the Board and shall,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their place, the member or members of the committee present at the meeting and not disqualified from voting, whether or not he or they constitute a quorum, may by unanimous vote appoint another member of the Board to act at the meeting in the place of the absent or disqualified member.</w:t>
      </w:r>
    </w:p>
    <w:p>
      <w:pPr>
        <w:spacing w:after="0" w:line="7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may be paid their expenses, if any, of attendance at each meeting of the Board and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a fixed sum for attendance at each meeting of the Board or a stated salary as director. No such payment shall preclude any director from serving the Corporation in any other capacity and receiving compensation therefor. Members of committees may be allowed like compensation for attending committee meetings</w:t>
      </w:r>
    </w:p>
    <w:p>
      <w:pPr>
        <w:spacing w:after="0" w:line="7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Section 12. </w:t>
      </w:r>
      <w:r>
        <w:rPr>
          <w:rFonts w:ascii="Times New Roman" w:cs="Times New Roman" w:eastAsia="Times New Roman" w:hAnsi="Times New Roman"/>
          <w:sz w:val="17"/>
          <w:szCs w:val="17"/>
          <w:b w:val="1"/>
          <w:bCs w:val="1"/>
          <w:u w:val="single" w:color="auto"/>
          <w:color w:val="auto"/>
        </w:rPr>
        <w:t>Organization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Meetings of the Board of Directors shall be presided over by the Chairman of the Board, or in the absence of the Chairman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Board by the vice chairman, if any,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16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1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Number and Salaries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chosen by the Board and shall include a Chairman of the Board, a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Chief Financial Officer, a Secretary and Treasurer or the equivalents of such officers. The Board, in its discretion, may also appoint such additional officers as the Board may deem necessary or desirable, including a Treasurer, one (1) or more Vice Presidents, one (1) or more Assistant Vice Presidents, one (1) or more Assistant Secretaries, and one (1) or more Assistant Treasurers, each of whom shall hold office for such period, have such authority and perform such duties as the Board may from time to time determine. Any individual may hold two or more offices.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Election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elected by the Board at the first meeting of the Board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annual meeting and shall serve for a term of one (1) year and until a successor is elected by the Board. Unless otherwise provided in the Articles of Incorporation or these Bylaws, any officer appointed by the Board may be removed, with or without cause, at any time by the Board. Each officer shall hold their office until their successor is appointed or until their earlier resignation, removal from office, or death. All officers elected by the Board shall each have such powers and duties as generally pertain to their respective offices, subject to the specific provisions of this Article IV. Such officers shall also have such powers and duties as from time to time may be conferred by the Board or by any committee thereof. The Board or any committee thereof may from time to time elect such other officers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as the case may be.</w:t>
      </w:r>
    </w:p>
    <w:p>
      <w:pPr>
        <w:spacing w:after="0" w:line="78"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The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Articles of Incorporation, the Chairman shall be elected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among its members and shall preside at all meetings of the stockholders and of the Board. The Chairman shall be the senior executive officer of the Corporation. The Chairman shall perform such duties and possess such powers as are customarily vested in the office of the Chairman of the Board or as may be vested in him or her by the Board. During the time of any vacancy in the office of the Chief Executive Officer (the “CEO”) or in the event of the absence or disability of the CEO, the Chairman shall have the duties and powers of the CEO unless otherwise determined by the Board. In no event shall any third party having dealings with the Corporation be bound to inquire as to any facts required by the terms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for the exercise by the Chairman of the powers of the CEO. The Chairman shall be empowered to sign all certificates, contracts and other instruments of the Corporation, and to do all acts that are authorized by the Board, and shall, in general, have such other duties and responsibilities as are assigned consistent with the authority of a Chairman of the Board of a corporation. In addition, the Board may designate by resolution one or more Vice Chairmen of the Board with such duties as may from time to time be requested by the Board.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CEO shall be responsible for the general management of the affairs of the Corporation and shall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duties incidental to his or her office. The CEO shall be empowered to sign all certificates, contracts and other instruments of the Corporation, and to do all acts that are authorized by the Board, and shall, in general, have such other duties and responsibilities as are assigned consistent with the authority of a Chief Executive Officer of a corporation.</w:t>
      </w:r>
    </w:p>
    <w:p>
      <w:pPr>
        <w:spacing w:after="0" w:line="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shall elect a President to have such duties and responsibilities as from time to time may be assigned to him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by the Board. The President shall be empowered to sign all certificates, contracts and other instruments of the Corporation, and to do all acts which are authorized by the Board, and shall, in general, have such other duties and responsibilities as are assigned consistent with the authority of a President of a corporation.</w:t>
      </w:r>
    </w:p>
    <w:p>
      <w:pPr>
        <w:spacing w:after="0" w:line="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shall act in an executive financial capacity. The Chief Financial Officer shall assist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CEO and the President in the general supervision of the Corporation’s financial policies and affairs. The Chief Financial Officer shall be empowered to sign all certificates, contracts and other instruments of the Corporation, and to do all acts which are authorized by the Board, and shall, in general, have such other duties and responsibilities as are assigned consistent with the authority of a Chief Financial Officer of a corporation.</w:t>
      </w:r>
    </w:p>
    <w:p>
      <w:pPr>
        <w:spacing w:after="0" w:line="7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Vice 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name one or more Vice Presidents that may include the designation of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Presidents and Senior Vice Presidents all of whom shall perform such duties as from time to time may be assigned to him by the Board.</w:t>
      </w:r>
    </w:p>
    <w:p>
      <w:pPr>
        <w:spacing w:after="0" w:line="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keep the minutes of the proceedings of the stockholders and the Board; the Secretary shall give,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to be given, all notices in accordance with the provisions of these Bylaws or as required by law, shall be custodian of the corporate records and of the seal (if any) of the Corporation, and, in general, shall perform such other duties as may from time to time be assigned by the Board.</w:t>
      </w:r>
    </w:p>
    <w:p>
      <w:pPr>
        <w:spacing w:after="0" w:line="68"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Section 9. </w:t>
      </w:r>
      <w:r>
        <w:rPr>
          <w:rFonts w:ascii="Times New Roman" w:cs="Times New Roman" w:eastAsia="Times New Roman" w:hAnsi="Times New Roman"/>
          <w:sz w:val="17"/>
          <w:szCs w:val="17"/>
          <w:b w:val="1"/>
          <w:bCs w:val="1"/>
          <w:u w:val="single" w:color="auto"/>
          <w:color w:val="auto"/>
        </w:rPr>
        <w:t>Treasurer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Treasurer shall have the custody of the corporate funds and securities, shall keep, or cause to be kept, correct and complete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books and records of account, including full and accurate accounts of receipts and disbursements in books belonging to the Corporation, shall deposit all monies and other valuable effects in the name and to the credit of the Corporation in such depositories as may be designated by the Board, and in general shall perform all duties incident to the office of Treasurer and such other duties as from time to time may be assigned to him by the Board. If a Treasurer of the Corporation has not been appointed, the Chief Financial Officer shall have all of the duties of the Treasurer unless otherwise delegated by the Board.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 OF STOCK</w:t>
      </w:r>
    </w:p>
    <w:p>
      <w:pPr>
        <w:spacing w:after="0" w:line="21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Signature by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holder of stock in the Corporation shall be entitled to have a certificate signed by or in the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by the Chairman, CEO or President, if any (or any Vice President), and by the Treasurer or the Secretary of the Corporation, certifying the number of shares owned by the stockholder in the Corporation, provided that the Board may provide by resolution or resolutions that some or all of any or all classes or series of stock shall be uncertificated shares. Any such resolution shall not apply to shares represented by a certificate until such certificate is surrendered to the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Facsimile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signature of the Chairman, CEO, President, Vice President, Treasurer or Secretary may be a facsimile. In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7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Lost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direct that new certificate(s) be issued by the Corporation to replace any certificate(s) alleged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lost or destroyed, upon its receipt of an affidavit of that fact by the person claiming the certificate(s) of stock to be lost or destroyed. When authorizing such issue of new certificate(s), the Board may, in its discretion and as a condition precedent to the issuance thereof, require the owner of such lost or destroyed certificate(s), or such owner’s legal representative, to advertise the same in such manner as it shall require and/or to give the Corporation a bond in such sum as it may direct as indemnity against any claim that may be made against the Corporation with respect to the certificate(s) alleged to have been lost or destroyed.</w:t>
      </w:r>
    </w:p>
    <w:p>
      <w:pPr>
        <w:spacing w:after="0" w:line="7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Transfer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surrender to the Corporation or its transfer agent of a certificate for shares duly endorsed or accompanied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 evidence of succession, assignment or authority to transfer, the Corporation shall issue a new certificate to the person entitled thereto, cancel the old certificate and record the transaction upon its books.</w:t>
      </w:r>
    </w:p>
    <w:p>
      <w:pPr>
        <w:spacing w:after="0" w:line="6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5. </w:t>
      </w:r>
      <w:r>
        <w:rPr>
          <w:rFonts w:ascii="Times New Roman" w:cs="Times New Roman" w:eastAsia="Times New Roman" w:hAnsi="Times New Roman"/>
          <w:sz w:val="17"/>
          <w:szCs w:val="17"/>
          <w:b w:val="1"/>
          <w:bCs w:val="1"/>
          <w:u w:val="single" w:color="auto"/>
          <w:color w:val="auto"/>
        </w:rPr>
        <w:t>Closing of Transfer Books or Fixing of Record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order that the Corporation may determine the stockholders entitled to notice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w:t>
      </w:r>
    </w:p>
    <w:p>
      <w:pPr>
        <w:spacing w:after="0" w:line="6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or to any postponement of the meeting to a date not more than sixty (60) days after the record date; provided, however, that the Board may fix a new record date for determination of stockholders entitled to notice of or to vote at the adjourned meeting and must fix a new record date if the meeting is adjourned to a date more than sixty (60) days later than the date set forth for the original meeting.</w:t>
      </w:r>
    </w:p>
    <w:p>
      <w:pPr>
        <w:spacing w:after="0" w:line="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stockholder action by written consent is permitted under the Articles of Incorporation and these Bylaws, the Board of Directors may adopt a resolution prescribing a date upon which the stockholders of record entitled to give written consent must be determined. The date set by the Board of Directors must not precede or be more than ten (10) days after the date the resolution setting such date is adopted by the Board of Directors. If the Board of Directors does not adopt a resolution setting a date upon which the stockholders of record entitled to give written consent must be determined, and:</w:t>
      </w:r>
    </w:p>
    <w:p>
      <w:pPr>
        <w:spacing w:after="0" w:line="77" w:lineRule="exact"/>
        <w:rPr>
          <w:sz w:val="20"/>
          <w:szCs w:val="20"/>
          <w:color w:val="auto"/>
        </w:rPr>
      </w:pPr>
    </w:p>
    <w:p>
      <w:pPr>
        <w:ind w:left="1020" w:hanging="505"/>
        <w:spacing w:after="0" w:line="275"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action by the Board of Directors is required by the NRS, then the date shall be the first date on which a valid written consent is delivered to the Corporation in accordance with the NRS, the Articles of Incorporation and these Bylaws; or</w:t>
      </w:r>
    </w:p>
    <w:p>
      <w:pPr>
        <w:spacing w:after="0" w:line="56" w:lineRule="exact"/>
        <w:rPr>
          <w:rFonts w:ascii="Times New Roman" w:cs="Times New Roman" w:eastAsia="Times New Roman" w:hAnsi="Times New Roman"/>
          <w:sz w:val="18"/>
          <w:szCs w:val="18"/>
          <w:color w:val="auto"/>
        </w:rPr>
      </w:pPr>
    </w:p>
    <w:p>
      <w:pPr>
        <w:ind w:left="1020" w:hanging="505"/>
        <w:spacing w:after="0" w:line="275"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action by the Board of Directors is required by the NRS, then the date shall be the close of business on the date that the Board of Directors adopts the resolution.</w:t>
      </w:r>
    </w:p>
    <w:p>
      <w:pPr>
        <w:spacing w:after="0" w:line="5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Registered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distributions and to vote as such owner. Except as otherwise provided by law, the Corporation shall not be bound to recognize any equitable or other claim to or interest in such shares on the part of any other person whether or not it shall have express or other notice thereof.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LOANS, CHECKS, AND DEPOSITS</w:t>
      </w:r>
    </w:p>
    <w:p>
      <w:pPr>
        <w:spacing w:after="0" w:line="21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the execution of any contract or other instrument has been authorized by the Board without specification of the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 Chairman, the CEO, the President, any Vice President, the Treasurer and the Secretary, may execute the same in the name of and on behalf of the Corporation and may affix the corporate seal thereto. Specification of the executing officers may be general or confined to specific instances as the Board may determine.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Checks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checks or demands for money and notes of the Corporation shall be signed by such officer or officers or such 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as the Board may from time to time designate.</w:t>
      </w:r>
    </w:p>
    <w:p>
      <w:pPr>
        <w:spacing w:after="0" w:line="53" w:lineRule="exact"/>
        <w:rPr>
          <w:sz w:val="20"/>
          <w:szCs w:val="20"/>
          <w:color w:val="auto"/>
        </w:rPr>
      </w:pPr>
    </w:p>
    <w:p>
      <w:pPr>
        <w:jc w:val="both"/>
        <w:ind w:firstLine="50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accounts of the Corporation shall be opened, and deposits made thereto, by such officers or other persons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from time to time designate.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fiscal year of the Corporation shall be established by the Board.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NOTICE</w:t>
      </w:r>
    </w:p>
    <w:p>
      <w:pPr>
        <w:spacing w:after="0" w:line="22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Whenever any notice is required to be given by law, the Articles of Incorporation or these Bylaws, a written waiver thereof, signed by the person or persons entitled to such notice, or a waiver by electronic communications by such person or persons whether before or after the time stated therein, shall be deemed equivalent to the giving of such notice. Neither the business to be conducted at, nor the purpose of such meeting, need be specified in such waiver. Attendance of a person at a meeting shall constitute a waiver of notice of such meeting, except where a person attends a meeting for the express purpose of objecting at the beginning of the meeting, to the transaction of any business because the meeting is not lawfully called or convened.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Board of Directors may, by resolution, authorize a corporate seal which shall have inscribed thereon the name of the Corporation, the year of its organization, and the words “Corporate Seal, Nevada”. The seal may be used by causing it or a facsimile thereof to be impressed or affixed or otherwise reproduced.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REPEAL</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Except as expressly provided otherwise by the laws of the State of Nevada, the Articles of Incorporation, or other provisions of these Bylaws, these Bylaws may be altered, amended, or repealed and new Bylaws adopted at any regular or special meeting of the Board of Directors by an affirmative vote of a majority of all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REPEAL</w:t>
      </w:r>
    </w:p>
    <w:p>
      <w:pPr>
        <w:spacing w:after="0" w:line="21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Section 1. Deemed Notice and Consent</w:t>
      </w:r>
      <w:r>
        <w:rPr>
          <w:rFonts w:ascii="Times New Roman" w:cs="Times New Roman" w:eastAsia="Times New Roman" w:hAnsi="Times New Roman"/>
          <w:sz w:val="18"/>
          <w:szCs w:val="18"/>
          <w:color w:val="auto"/>
        </w:rPr>
        <w:t>. To the fullest extent permitted by law, each and every natural person, corporation, general or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limited liability company, joint venture, trust, association or any other entity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these Bylaws (including this Article XII), (b) the Articles of Incorporation and (c) any amendment to these Bylaws or the Articles of Incorporation enacted or adopted in accordance with these Bylaws, the Articles of Incorporation and applicable law</w:t>
      </w:r>
    </w:p>
    <w:p>
      <w:pPr>
        <w:spacing w:after="0" w:line="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Section 2. Severability</w:t>
      </w:r>
      <w:r>
        <w:rPr>
          <w:rFonts w:ascii="Times New Roman" w:cs="Times New Roman" w:eastAsia="Times New Roman" w:hAnsi="Times New Roman"/>
          <w:sz w:val="18"/>
          <w:szCs w:val="18"/>
          <w:color w:val="auto"/>
        </w:rPr>
        <w:t>. If any provision or provisions of these Bylaws shall be held to be invalid, illegal or unenforceable as applied to any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or circumstance for any reason whatsoever, then, to the fullest extent permitted by law, the validity, legality and enforceability of such provision or provisions in any other circumstance and of the remaining provisions of these Bylaws (including, without limitation, each portion of any paragraph of these Bylaws containing any such provision held to be invalid, illegal or unenforceable that is not itself held to be invalid, illegal or unenforceable) and the application of such provision or provisions to other persons, entities and circumstances shall not in any way be affected or impaired thereby.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7" w:name="page108"/>
    <w:bookmarkEnd w:id="107"/>
    <w:p>
      <w:pPr>
        <w:jc w:val="center"/>
        <w:ind w:right="495"/>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18" w:lineRule="exact"/>
        <w:rPr>
          <w:sz w:val="20"/>
          <w:szCs w:val="20"/>
          <w:color w:val="auto"/>
        </w:rPr>
      </w:pPr>
    </w:p>
    <w:p>
      <w:pPr>
        <w:ind w:left="3505"/>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2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625" w:hanging="385"/>
        <w:spacing w:after="0"/>
        <w:tabs>
          <w:tab w:leader="none" w:pos="62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w:t>
      </w:r>
    </w:p>
    <w:p>
      <w:pPr>
        <w:spacing w:after="0" w:line="218" w:lineRule="exact"/>
        <w:rPr>
          <w:rFonts w:ascii="Times New Roman" w:cs="Times New Roman" w:eastAsia="Times New Roman" w:hAnsi="Times New Roman"/>
          <w:sz w:val="18"/>
          <w:szCs w:val="18"/>
          <w:color w:val="auto"/>
        </w:rPr>
      </w:pPr>
    </w:p>
    <w:p>
      <w:pPr>
        <w:jc w:val="both"/>
        <w:ind w:left="1025" w:hanging="515"/>
        <w:spacing w:after="0" w:line="247" w:lineRule="auto"/>
        <w:tabs>
          <w:tab w:leader="none" w:pos="1025"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201" w:lineRule="exact"/>
        <w:rPr>
          <w:rFonts w:ascii="Times New Roman" w:cs="Times New Roman" w:eastAsia="Times New Roman" w:hAnsi="Times New Roman"/>
          <w:sz w:val="18"/>
          <w:szCs w:val="18"/>
          <w:color w:val="auto"/>
        </w:rPr>
      </w:pPr>
    </w:p>
    <w:p>
      <w:pPr>
        <w:jc w:val="both"/>
        <w:ind w:left="1025" w:hanging="515"/>
        <w:spacing w:after="0" w:line="253" w:lineRule="auto"/>
        <w:tabs>
          <w:tab w:leader="none" w:pos="1025"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a director, officer, agent or employee of the Corporation or member, manager or managing member of a predecessor limited liability company or affiliate of such limited liability 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183" w:lineRule="exact"/>
        <w:rPr>
          <w:rFonts w:ascii="Times New Roman" w:cs="Times New Roman" w:eastAsia="Times New Roman" w:hAnsi="Times New Roman"/>
          <w:sz w:val="18"/>
          <w:szCs w:val="18"/>
          <w:color w:val="auto"/>
        </w:rPr>
      </w:pPr>
    </w:p>
    <w:p>
      <w:pPr>
        <w:jc w:val="both"/>
        <w:ind w:left="1025" w:hanging="515"/>
        <w:spacing w:after="0" w:line="251" w:lineRule="auto"/>
        <w:tabs>
          <w:tab w:leader="none" w:pos="1025"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spacing w:after="0" w:line="184" w:lineRule="exact"/>
        <w:rPr>
          <w:rFonts w:ascii="Times New Roman" w:cs="Times New Roman" w:eastAsia="Times New Roman" w:hAnsi="Times New Roman"/>
          <w:sz w:val="18"/>
          <w:szCs w:val="18"/>
          <w:color w:val="auto"/>
        </w:rPr>
      </w:pPr>
    </w:p>
    <w:p>
      <w:pPr>
        <w:jc w:val="both"/>
        <w:ind w:left="505" w:hanging="505"/>
        <w:spacing w:after="0" w:line="249" w:lineRule="auto"/>
        <w:tabs>
          <w:tab w:leader="none" w:pos="5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paragraph (B), a determination, if required by applicable law, with respect to the claimant’s entitlement thereto shall be made as follows: (1) if requested by the claimant, by Independent Counsel (as hereinafter defined), or (2) if no request is made by the claimant for a determination by Independent Counsel, (i) by the Board by a majority vote of the Disinterested Directors (as hereinafter defined), even though less than a quorum, or (ii) by a committee of Disinterested Directors designated by majority vote of the Disinterested Directors, even though less than a quorum, or (iii) if there are no Disinterested Directors or the Disinterested Directors so direct, by Independent Counsel in a written opinion to the Board, a copy of which shall be delivered to the claimant, or (iv) if a quorum of Disinterested Directors so directs, by the stockholders of the Corporation. If it is so determined that the claimant is entitled to indemnification, payment to the claimant shall be made within 10 days after such determination.</w:t>
      </w:r>
    </w:p>
    <w:p>
      <w:pPr>
        <w:spacing w:after="0" w:line="81" w:lineRule="exact"/>
        <w:rPr>
          <w:rFonts w:ascii="Times New Roman" w:cs="Times New Roman" w:eastAsia="Times New Roman" w:hAnsi="Times New Roman"/>
          <w:sz w:val="18"/>
          <w:szCs w:val="18"/>
          <w:color w:val="auto"/>
        </w:rPr>
      </w:pPr>
    </w:p>
    <w:p>
      <w:pPr>
        <w:ind w:left="505" w:hanging="505"/>
        <w:spacing w:after="0"/>
        <w:tabs>
          <w:tab w:leader="none" w:pos="5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under paragraph (A) of this Bylaw is not paid in full by the Corporation within 30 days after a written claim</w:t>
      </w:r>
    </w:p>
    <w:p>
      <w:pPr>
        <w:spacing w:after="0" w:line="25"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8"/>
          <w:szCs w:val="18"/>
          <w:color w:val="auto"/>
        </w:rPr>
        <w:t>D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57785</wp:posOffset>
            </wp:positionV>
            <wp:extent cx="716026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25"/>
          </w:cols>
          <w:pgMar w:left="835" w:top="332" w:right="339" w:bottom="1440" w:gutter="0" w:footer="0" w:header="0"/>
        </w:sectPr>
      </w:pPr>
    </w:p>
    <w:bookmarkStart w:id="108" w:name="page109"/>
    <w:bookmarkEnd w:id="108"/>
    <w:p>
      <w:pPr>
        <w:jc w:val="both"/>
        <w:ind w:left="505"/>
        <w:spacing w:after="0" w:line="249" w:lineRule="auto"/>
        <w:rPr>
          <w:sz w:val="20"/>
          <w:szCs w:val="20"/>
          <w:color w:val="auto"/>
        </w:rPr>
      </w:pPr>
      <w:r>
        <w:rPr>
          <w:rFonts w:ascii="Times New Roman" w:cs="Times New Roman" w:eastAsia="Times New Roman" w:hAnsi="Times New Roman"/>
          <w:sz w:val="18"/>
          <w:szCs w:val="18"/>
          <w:color w:val="auto"/>
        </w:rPr>
        <w:t>pursuant to paragraph (B) of this Bylaw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laws of the State of Nevada for the Corporation to indemnify the claimant for the amount claimed, but the burden of proving such defense shall be on the Corporation. Neither the failure of the Corporation (including the Disinterested Directors, Independent Counsel or stockholders) to have made a determination prior to the commencement of such action that indemnification of the claimant is proper in the circumstances because he has met the applicable standard of conduct set forth in the laws of the State of Nevada, nor an actual determination by the Corporation (including the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81" w:lineRule="exact"/>
        <w:rPr>
          <w:sz w:val="20"/>
          <w:szCs w:val="20"/>
          <w:color w:val="auto"/>
        </w:rPr>
      </w:pPr>
    </w:p>
    <w:p>
      <w:pPr>
        <w:ind w:left="505" w:hanging="505"/>
        <w:spacing w:after="0" w:line="275" w:lineRule="auto"/>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paragraph (B) of this Bylaw that the claimant is entitled to indemnification, the Corporation shall be bound by such determination in any judicial proceeding commenced pursuant to paragraph (C) of this Bylaw.</w:t>
      </w:r>
    </w:p>
    <w:p>
      <w:pPr>
        <w:spacing w:after="0" w:line="56" w:lineRule="exact"/>
        <w:rPr>
          <w:rFonts w:ascii="Times New Roman" w:cs="Times New Roman" w:eastAsia="Times New Roman" w:hAnsi="Times New Roman"/>
          <w:sz w:val="18"/>
          <w:szCs w:val="18"/>
          <w:color w:val="auto"/>
        </w:rPr>
      </w:pPr>
    </w:p>
    <w:p>
      <w:pPr>
        <w:jc w:val="both"/>
        <w:ind w:left="505" w:hanging="505"/>
        <w:spacing w:after="0" w:line="260" w:lineRule="auto"/>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precluded from asserting in any judicial proceeding commenced pursuant to paragraph (C) of this Bylaw that the procedures and presumptions of this Bylaw are not valid, binding and enforceable and shall stipulate in such proceeding that the Corporation is bound by all the provisions of this Bylaw.</w:t>
      </w:r>
    </w:p>
    <w:p>
      <w:pPr>
        <w:spacing w:after="0" w:line="71" w:lineRule="exact"/>
        <w:rPr>
          <w:rFonts w:ascii="Times New Roman" w:cs="Times New Roman" w:eastAsia="Times New Roman" w:hAnsi="Times New Roman"/>
          <w:sz w:val="18"/>
          <w:szCs w:val="18"/>
          <w:color w:val="auto"/>
        </w:rPr>
      </w:pPr>
    </w:p>
    <w:p>
      <w:pPr>
        <w:jc w:val="both"/>
        <w:ind w:left="505" w:hanging="505"/>
        <w:spacing w:after="0" w:line="253" w:lineRule="auto"/>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indemnification and the payment of expenses incurred in defending a proceeding in advance of its final disposition conferred in this Bylaw shall not be exclusive of any other right which any person may have or hereafter acquire under any statute, provision of the Articles of Incorporation, Bylaws, agreement, vote of stockholders or Disinterested Directors or otherwise. No repeal or modification of this Bylaw shall in any way diminish or adversely affect the rights of any director, officer, employee or agent of the Corporation hereunder in respect of any occurrence or matter arising prior to any such repeal or modification.</w:t>
      </w:r>
    </w:p>
    <w:p>
      <w:pPr>
        <w:spacing w:after="0" w:line="77" w:lineRule="exact"/>
        <w:rPr>
          <w:rFonts w:ascii="Times New Roman" w:cs="Times New Roman" w:eastAsia="Times New Roman" w:hAnsi="Times New Roman"/>
          <w:sz w:val="18"/>
          <w:szCs w:val="18"/>
          <w:color w:val="auto"/>
        </w:rPr>
      </w:pPr>
    </w:p>
    <w:p>
      <w:pPr>
        <w:jc w:val="both"/>
        <w:ind w:left="505" w:hanging="505"/>
        <w:spacing w:after="0" w:line="255" w:lineRule="auto"/>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to the extent authorized from time to time by the Board of Directors, grant rights to indemnification, and rights to be paid by the Corporation the expenses incurred in defending any proceeding in advance of its final disposition, to any employee or agent of the Corporation to the fullest extent of the provisions of this Bylaw with respect to the indemnification and advancement of expenses of directors and officers of the Corporation.\</w:t>
      </w:r>
    </w:p>
    <w:p>
      <w:pPr>
        <w:spacing w:after="0" w:line="76" w:lineRule="exact"/>
        <w:rPr>
          <w:rFonts w:ascii="Times New Roman" w:cs="Times New Roman" w:eastAsia="Times New Roman" w:hAnsi="Times New Roman"/>
          <w:sz w:val="18"/>
          <w:szCs w:val="18"/>
          <w:color w:val="auto"/>
        </w:rPr>
      </w:pPr>
    </w:p>
    <w:p>
      <w:pPr>
        <w:jc w:val="both"/>
        <w:ind w:left="505" w:hanging="505"/>
        <w:spacing w:after="0" w:line="252" w:lineRule="auto"/>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77" w:lineRule="exact"/>
        <w:rPr>
          <w:rFonts w:ascii="Times New Roman" w:cs="Times New Roman" w:eastAsia="Times New Roman" w:hAnsi="Times New Roman"/>
          <w:sz w:val="18"/>
          <w:szCs w:val="18"/>
          <w:color w:val="auto"/>
        </w:rPr>
      </w:pPr>
    </w:p>
    <w:p>
      <w:pPr>
        <w:ind w:left="505" w:hanging="505"/>
        <w:spacing w:after="0"/>
        <w:tabs>
          <w:tab w:leader="none" w:pos="5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w:t>
      </w:r>
    </w:p>
    <w:p>
      <w:pPr>
        <w:spacing w:after="0" w:line="111" w:lineRule="exact"/>
        <w:rPr>
          <w:rFonts w:ascii="Times New Roman" w:cs="Times New Roman" w:eastAsia="Times New Roman" w:hAnsi="Times New Roman"/>
          <w:sz w:val="18"/>
          <w:szCs w:val="18"/>
          <w:color w:val="auto"/>
        </w:rPr>
      </w:pPr>
    </w:p>
    <w:p>
      <w:pPr>
        <w:ind w:left="1025" w:hanging="515"/>
        <w:spacing w:after="0" w:line="275" w:lineRule="auto"/>
        <w:tabs>
          <w:tab w:leader="none" w:pos="1025"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a director of the Corporation who is not and was not a party to the matter in respect of which indemnification is sought by the claimant.</w:t>
      </w:r>
    </w:p>
    <w:p>
      <w:pPr>
        <w:spacing w:after="0" w:line="56" w:lineRule="exact"/>
        <w:rPr>
          <w:rFonts w:ascii="Times New Roman" w:cs="Times New Roman" w:eastAsia="Times New Roman" w:hAnsi="Times New Roman"/>
          <w:sz w:val="18"/>
          <w:szCs w:val="18"/>
          <w:color w:val="auto"/>
        </w:rPr>
      </w:pPr>
    </w:p>
    <w:p>
      <w:pPr>
        <w:jc w:val="both"/>
        <w:ind w:left="1025" w:hanging="515"/>
        <w:spacing w:after="0" w:line="253" w:lineRule="auto"/>
        <w:tabs>
          <w:tab w:leader="none" w:pos="1025"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means each director, officer, agent or employee of the Corporation who was or is a party to, or is threatened to be made a party to, or is otherwise involved in, any Proceeding (as defined below), by reason of the fact that he or she is or was a director, officer, agent or employee of the Corporation or is or was serving at the request of the Corporation as a director, officer, manager, agent or employee of, or in any other capacity for, another corporation, partnership, joint venture, limited liability company, trust, or other enterprise.</w:t>
      </w:r>
    </w:p>
    <w:p>
      <w:pPr>
        <w:spacing w:after="0" w:line="77" w:lineRule="exact"/>
        <w:rPr>
          <w:rFonts w:ascii="Times New Roman" w:cs="Times New Roman" w:eastAsia="Times New Roman" w:hAnsi="Times New Roman"/>
          <w:sz w:val="18"/>
          <w:szCs w:val="18"/>
          <w:color w:val="auto"/>
        </w:rPr>
      </w:pPr>
    </w:p>
    <w:p>
      <w:pPr>
        <w:jc w:val="both"/>
        <w:ind w:left="1025" w:hanging="515"/>
        <w:spacing w:after="0" w:line="255" w:lineRule="auto"/>
        <w:tabs>
          <w:tab w:leader="none" w:pos="1025"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Counsel” means a law firm, a member of a law firm, or an independent practitioner, selected by the Disinterested Directors,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76" w:lineRule="exact"/>
        <w:rPr>
          <w:rFonts w:ascii="Times New Roman" w:cs="Times New Roman" w:eastAsia="Times New Roman" w:hAnsi="Times New Roman"/>
          <w:sz w:val="18"/>
          <w:szCs w:val="18"/>
          <w:color w:val="auto"/>
        </w:rPr>
      </w:pPr>
    </w:p>
    <w:p>
      <w:pPr>
        <w:ind w:left="1025" w:hanging="515"/>
        <w:spacing w:after="0" w:line="257" w:lineRule="auto"/>
        <w:tabs>
          <w:tab w:leader="none" w:pos="1025"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or proceeding (including, without limitation, an action, suit or proceeding by or in the right of the Corporation), whether civil, criminal, administrative, or investigative.</w:t>
      </w:r>
    </w:p>
    <w:p>
      <w:pPr>
        <w:jc w:val="both"/>
        <w:ind w:left="985" w:hanging="745"/>
        <w:spacing w:after="0" w:line="249" w:lineRule="auto"/>
        <w:tabs>
          <w:tab w:leader="none" w:pos="98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request or other communication required or permitted to be given to the Corporation under this Bylaw shall be in writing and either delivered in person or sent by electronic mail, overnight mail or courier service, or certified or registered mail, postage prepaid, return receipt requested, to the Secretary of the Corporation and shall be effective only upon receipt by the Secretary.</w:t>
      </w:r>
    </w:p>
    <w:p>
      <w:pPr>
        <w:spacing w:after="0" w:line="186" w:lineRule="exact"/>
        <w:rPr>
          <w:sz w:val="20"/>
          <w:szCs w:val="20"/>
          <w:color w:val="auto"/>
        </w:rPr>
      </w:pPr>
    </w:p>
    <w:p>
      <w:pPr>
        <w:jc w:val="center"/>
        <w:ind w:right="495"/>
        <w:spacing w:after="0"/>
        <w:rPr>
          <w:sz w:val="20"/>
          <w:szCs w:val="20"/>
          <w:color w:val="auto"/>
        </w:rPr>
      </w:pPr>
      <w:r>
        <w:rPr>
          <w:rFonts w:ascii="Times New Roman" w:cs="Times New Roman" w:eastAsia="Times New Roman" w:hAnsi="Times New Roman"/>
          <w:sz w:val="18"/>
          <w:szCs w:val="18"/>
          <w:color w:val="auto"/>
        </w:rPr>
        <w:t>D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69850</wp:posOffset>
            </wp:positionV>
            <wp:extent cx="716026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25"/>
          </w:cols>
          <w:pgMar w:left="835" w:top="227" w:right="339" w:bottom="1440" w:gutter="0" w:footer="0" w:header="0"/>
        </w:sectPr>
      </w:pPr>
    </w:p>
    <w:bookmarkStart w:id="109" w:name="page110"/>
    <w:bookmarkEnd w:id="109"/>
    <w:p>
      <w:pPr>
        <w:jc w:val="both"/>
        <w:ind w:left="1540" w:hanging="515"/>
        <w:spacing w:after="0" w:line="256" w:lineRule="auto"/>
        <w:tabs>
          <w:tab w:leader="none" w:pos="1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purchase and maintain insurance or make other financial arrangements on behalf of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liability asserted against him or her and liability and expenses incurred by him or her in his or her capacity as a director, officer or employee, or arising out of his or her status as such, whether or not the Corporation has the authority to indemnify him or her against such liability and expenses</w:t>
      </w:r>
    </w:p>
    <w:p>
      <w:pPr>
        <w:spacing w:after="0" w:line="179" w:lineRule="exact"/>
        <w:rPr>
          <w:rFonts w:ascii="Times New Roman" w:cs="Times New Roman" w:eastAsia="Times New Roman" w:hAnsi="Times New Roman"/>
          <w:sz w:val="18"/>
          <w:szCs w:val="18"/>
          <w:b w:val="1"/>
          <w:bCs w:val="1"/>
          <w:color w:val="auto"/>
        </w:rPr>
      </w:pPr>
    </w:p>
    <w:p>
      <w:pPr>
        <w:jc w:val="both"/>
        <w:ind w:left="1540" w:hanging="515"/>
        <w:spacing w:after="0" w:line="250" w:lineRule="auto"/>
        <w:tabs>
          <w:tab w:leader="none" w:pos="1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indemnification shall constitute a contract between the Corporation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its directors and officers which may be modified as to any director or officer only with that person’s consent or as specifically provided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Notwithstanding any other provision of these Bylaws relating to their amendment generally, any repeal or amendment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 repeal or amendment of these Bylaws shall affect any or all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so as to limit or reduce the indemnification in any manner unless adopted by (i) the unanimous vote of the directors of the Corporation then serving, or (ii) by the stockholders as set forth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provided that no such amendment shall have a retroactive effect inconsistent with the preceding sentence.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CHANGES IN NEVADA LAW</w:t>
      </w:r>
    </w:p>
    <w:p>
      <w:pPr>
        <w:spacing w:after="0" w:line="199"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 xml:space="preserve">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 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STOCK AND ANNUAL INCENTIVE PLAN</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purpose of this Plan is to give the Company a competitive advantage in attracting, retaining and motivating officers, employees, directors and/or consultants by providing the Company with short and long-term incentive programs providing incentives related to stockholder value, the achievement of financial and strategic targets and other objectives.</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This Plan supersedes and replaces the Prior Plans in their entirety. Awards may not be granted under the Prior Plans on or following the Effective Date. Awards granted under the Prior Plans prior to the Effective Date will remain subject to the terms and conditions set forth in the Prior Plans in which such Award was granted.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0" w:lineRule="exact"/>
        <w:rPr>
          <w:sz w:val="20"/>
          <w:szCs w:val="20"/>
          <w:color w:val="auto"/>
        </w:rPr>
      </w:pPr>
    </w:p>
    <w:p>
      <w:pPr>
        <w:jc w:val="both"/>
        <w:ind w:right="20" w:firstLine="509"/>
        <w:spacing w:after="0" w:line="275" w:lineRule="auto"/>
        <w:rPr>
          <w:sz w:val="20"/>
          <w:szCs w:val="20"/>
          <w:color w:val="auto"/>
        </w:rPr>
      </w:pPr>
      <w:r>
        <w:rPr>
          <w:rFonts w:ascii="Times New Roman" w:cs="Times New Roman" w:eastAsia="Times New Roman" w:hAnsi="Times New Roman"/>
          <w:sz w:val="18"/>
          <w:szCs w:val="18"/>
          <w:color w:val="auto"/>
        </w:rPr>
        <w:t>Certain terms used herein have definitions given to them in the first place in which they are used. In addition, for purposes of this Plan, the following terms are defined as set forth below:</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2011 Plan</w:t>
      </w:r>
      <w:r>
        <w:rPr>
          <w:rFonts w:ascii="Times New Roman" w:cs="Times New Roman" w:eastAsia="Times New Roman" w:hAnsi="Times New Roman"/>
          <w:sz w:val="18"/>
          <w:szCs w:val="18"/>
          <w:color w:val="auto"/>
        </w:rPr>
        <w:t>” means the TripAdvisor, Inc. Amended and Restated 2011 Stock and Annual Incentive Plan, as amended.</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2018 Plan</w:t>
      </w:r>
      <w:r>
        <w:rPr>
          <w:rFonts w:ascii="Times New Roman" w:cs="Times New Roman" w:eastAsia="Times New Roman" w:hAnsi="Times New Roman"/>
          <w:sz w:val="18"/>
          <w:szCs w:val="18"/>
          <w:color w:val="auto"/>
        </w:rPr>
        <w:t>” means the TripAdvisor, Inc. 2018 Stock and Annual Incentive Plan, as amended.</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corporation or other entity controlled by, controlling or under common control with, the Company.</w:t>
      </w:r>
    </w:p>
    <w:p>
      <w:pPr>
        <w:spacing w:after="0" w:line="21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Exchange</w:t>
      </w:r>
      <w:r>
        <w:rPr>
          <w:rFonts w:ascii="Times New Roman" w:cs="Times New Roman" w:eastAsia="Times New Roman" w:hAnsi="Times New Roman"/>
          <w:sz w:val="18"/>
          <w:szCs w:val="18"/>
          <w:color w:val="auto"/>
        </w:rPr>
        <w:t>” means The NASDAQ Stock Market LLC, or such other securities exchange as may at the applicable time be the principal market for the Common Stock.</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the requirements relating to the administration of equity-based awards and the related shares under U.S. state corporate law, U.S. federal and state securities laws, the rules of any stock exchange or quotation system on which the shares are listed or quoted, and any other applicable laws, including tax laws, of any U.S. or non-U.S. jurisdictions where Awards are, or will be, granted under this Plan.</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SAR, Restricted Stock, RSU, Performance Award, other stock-based award or Bonus Award granted or assumed pursuant to the terms of this Plan.</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 written or electronic document or agreement setting forth the terms and conditions of a specific Award.</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Award</w:t>
      </w:r>
      <w:r>
        <w:rPr>
          <w:rFonts w:ascii="Times New Roman" w:cs="Times New Roman" w:eastAsia="Times New Roman" w:hAnsi="Times New Roman"/>
          <w:sz w:val="18"/>
          <w:szCs w:val="18"/>
          <w:color w:val="auto"/>
        </w:rPr>
        <w:t>” means a bonus award made pursuant to Section 11.</w:t>
      </w:r>
    </w:p>
    <w:p>
      <w:pPr>
        <w:spacing w:after="0" w:line="218"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nolo contendere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or any other restrictive covenant obligation owed to the Company or any of its Affiliates; (E) before a Change in Control, such other events as shall be determined by the Committee and set forth in a Participant’s Award Agreement; (F) a Participant’s material violation of the Company’s written policies or code of conduct, including policies related to discrimination, harassment or retaliation; or (G) a Participant’s conduct that brings, or is reasonably likely to bring, the Company or an Affiliate negative publicity or into public disgrace, embarrassment, or disrepute. Notwithstanding the general rule of Section 3(a), following a Change in Control, any determination by the Committee as to whether “Cause” exists shall be subject to de novo review.</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set forth in Section 13(a).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the meaning set forth in Section 3(a).</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common stock, par value $0.001 per share, of the Company.</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TripAdvisor, Inc., a Delaware corporation, or its successor.</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has the meaning set forth in Section 4(d).</w:t>
      </w:r>
    </w:p>
    <w:p>
      <w:pPr>
        <w:spacing w:after="0" w:line="21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(i) “Disability” as defined in any Individual Agreement to which the Participant is a party, or (ii) if there is no such Individual Agreement or it does not define “Disability,” (A) permanent and total disability as determined under the Company’s long- 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all Awards, to the extent required by Section 409A of the Code, Disability shall mean “disability” within the meaning of Section 409A of the Code.</w:t>
      </w:r>
    </w:p>
    <w:p>
      <w:pPr>
        <w:spacing w:after="0" w:line="18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Disaffiliation</w:t>
      </w:r>
      <w:r>
        <w:rPr>
          <w:rFonts w:ascii="Times New Roman" w:cs="Times New Roman" w:eastAsia="Times New Roman" w:hAnsi="Times New Roman"/>
          <w:sz w:val="18"/>
          <w:szCs w:val="18"/>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Individuals</w:t>
      </w:r>
      <w:r>
        <w:rPr>
          <w:rFonts w:ascii="Times New Roman" w:cs="Times New Roman" w:eastAsia="Times New Roman" w:hAnsi="Times New Roman"/>
          <w:sz w:val="18"/>
          <w:szCs w:val="18"/>
          <w:color w:val="auto"/>
        </w:rPr>
        <w:t>” means directors, officers, employees and consultants (including independent contractors) of the Company or any of its Subsidiaries or Affiliates.</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thereto.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unless otherwise determined by the Committee, the closing price of a share of Common Stock on the Applicable Exchange on the date of measurement, or if Shares were not traded on the Applicable Exchange on such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(i) the date on which the Committee by resolution selects an Eligible Individual to receive a grant of an Award and determines the number of Shares to be subject to such Award or the formula for earning a number of shares or cash amount, or (ii) such later date as the Committee shall provide in such resolution.</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any Option that is designated in the applicable Award Agreement as an “incentive stock option” within the meaning of Section 422 of the Code, and that in fact so qualifies.</w:t>
      </w:r>
    </w:p>
    <w:p>
      <w:pPr>
        <w:spacing w:after="0" w:line="163"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Agreement</w:t>
      </w:r>
      <w:r>
        <w:rPr>
          <w:rFonts w:ascii="Times New Roman" w:cs="Times New Roman" w:eastAsia="Times New Roman" w:hAnsi="Times New Roman"/>
          <w:sz w:val="18"/>
          <w:szCs w:val="18"/>
          <w:color w:val="auto"/>
        </w:rPr>
        <w:t>” means an employment, consulting or similar agreement between a Participant and the Company or one of its Subsidiaries or Affiliates.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any Option that is not an Incentive Stock Option.</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Award described under Section 6(a).</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Individual to whom an Award is or has been granted.</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granted under this Plan of Common Stock, that is based upon, payable in, or otherwise related to, Shares (including Restricted Stock, RSUs or cash), as the Committee may determine, at the end of a specified Performance Period based on the attainment of one or more Performance Goals.</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Goals</w:t>
      </w:r>
      <w:r>
        <w:rPr>
          <w:rFonts w:ascii="Times New Roman" w:cs="Times New Roman" w:eastAsia="Times New Roman" w:hAnsi="Times New Roman"/>
          <w:sz w:val="17"/>
          <w:szCs w:val="17"/>
          <w:color w:val="auto"/>
        </w:rPr>
        <w:t>” means the performance goals established by the Committee in connection with the grant of Performance Awards. Such Performance Goals also may be based upon the attaining of specified levels of Company, Subsidiary, Affiliate, business unit or divisional performance under one or more of the measures including but not limited to, revenue, earnings per share, total shareholder return, earnings before interest, taxes, depreciation and amortization (EBITDA), adjusted EBITDA or return on capital). Performance goals established by the Committee may also include individual strategic goals.</w:t>
      </w:r>
    </w:p>
    <w:p>
      <w:pPr>
        <w:spacing w:after="0" w:line="16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 Performance Award the period established by the Committee or its designee at the time the Award is granted, or at any time thereafter, during which the performance of the Company, a Subsidiary, or any Affiliate is measured for the purpose of determining whether and to what extent the Performance Award’s Performance Goal has been achieved.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Tripadvisor, Inc. 2013 Stock and Annual Incentive Plan, as set forth herein and as hereafter amended from time to time.</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means the calendar year or, with respect to Bonus Awards, the Company’s fiscal year if different.</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means, collectively, the 2011 Plan and 2018 Plan.</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an Award described under Section 7.</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Retirement</w:t>
      </w:r>
      <w:r>
        <w:rPr>
          <w:rFonts w:ascii="Times New Roman" w:cs="Times New Roman" w:eastAsia="Times New Roman" w:hAnsi="Times New Roman"/>
          <w:sz w:val="17"/>
          <w:szCs w:val="17"/>
          <w:color w:val="auto"/>
        </w:rPr>
        <w:t>” means retirement from active employment with the Company, a Subsidiary or Affiliate at or after the Participant’s attainment of age 65.</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 Restriction Period</w:t>
      </w:r>
      <w:r>
        <w:rPr>
          <w:rFonts w:ascii="Times New Roman" w:cs="Times New Roman" w:eastAsia="Times New Roman" w:hAnsi="Times New Roman"/>
          <w:sz w:val="18"/>
          <w:szCs w:val="18"/>
          <w:color w:val="auto"/>
        </w:rPr>
        <w:t>” has the meaning set forth in Section 7(b)(ii).</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means an Award described under Section 8.</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 Restriction Period</w:t>
      </w:r>
      <w:r>
        <w:rPr>
          <w:rFonts w:ascii="Times New Roman" w:cs="Times New Roman" w:eastAsia="Times New Roman" w:hAnsi="Times New Roman"/>
          <w:sz w:val="18"/>
          <w:szCs w:val="18"/>
          <w:color w:val="auto"/>
        </w:rPr>
        <w:t>” has the meaning set forth in Section 8(b)(ii).</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under Section 16(b) of the Exchange Act as then in effect or any successor provision.</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has the meaning set forth in Section 7(b).</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thereto.</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w:t>
      </w:r>
    </w:p>
    <w:p>
      <w:pPr>
        <w:spacing w:after="0" w:line="218"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SAR</w:t>
      </w:r>
      <w:r>
        <w:rPr>
          <w:rFonts w:ascii="Times New Roman" w:cs="Times New Roman" w:eastAsia="Times New Roman" w:hAnsi="Times New Roman"/>
          <w:sz w:val="18"/>
          <w:szCs w:val="18"/>
          <w:color w:val="auto"/>
        </w:rPr>
        <w:t>” has the meaning set forth in Section 6(b).“</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means a Person owning stock representing more than ten percent (10%) of the total combined voting power of all classes of stock of the Company, or its parent corporation (within the meaning of Section 424(e) of the Code) or any of its Subsidiaries.</w:t>
      </w:r>
    </w:p>
    <w:p>
      <w:pPr>
        <w:spacing w:after="0" w:line="177"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means the maximum period during which an Option or SAR may remain outstanding, subject to earlier termination upon Termination of Employment or otherwise, as specified in the applicable Award Agreement.</w:t>
      </w:r>
    </w:p>
    <w:p>
      <w:pPr>
        <w:spacing w:after="0" w:line="163"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the termination of the applicable Participant’s employment with, or performance of services for, 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or non-director capacity,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of 90 days or less because of illness, vacation or leave of absence and transfers among the Company and its Subsidiaries and Affiliates shall not be considered Termination of Employment. Notwithstanding</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spacing w:after="0" w:line="275" w:lineRule="auto"/>
        <w:rPr>
          <w:sz w:val="20"/>
          <w:szCs w:val="20"/>
          <w:color w:val="auto"/>
        </w:rPr>
      </w:pPr>
      <w:r>
        <w:rPr>
          <w:rFonts w:ascii="Times New Roman" w:cs="Times New Roman" w:eastAsia="Times New Roman" w:hAnsi="Times New Roman"/>
          <w:sz w:val="18"/>
          <w:szCs w:val="18"/>
          <w:color w:val="auto"/>
        </w:rPr>
        <w:t>the foregoing, with respect to any Award that constitutes “nonqualified deferred compensation” within the meaning of Section 409A of the Code, “Termination of Employment” shall mean a “separation from service” as defined under Section 409A of the Code.</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220" w:lineRule="exact"/>
        <w:rPr>
          <w:sz w:val="20"/>
          <w:szCs w:val="20"/>
          <w:color w:val="auto"/>
        </w:rPr>
      </w:pPr>
    </w:p>
    <w:p>
      <w:pPr>
        <w:jc w:val="both"/>
        <w:ind w:firstLine="515"/>
        <w:spacing w:after="0" w:line="255" w:lineRule="auto"/>
        <w:tabs>
          <w:tab w:leader="none" w:pos="10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This Plan shall be administered by the Compensation Committee of the Board or such other committee of the Board as the Board may from time to time designate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which shall be composed of not less than two directors, and shall be appointed by and serve at the pleasure of the Board. The Committee shall have plenary authority to grant Awards pursuant to the terms of this Plan to Eligible Individuals. Among other things, the Committee shall have the authority, subject to the terms of this Plan:</w:t>
      </w:r>
    </w:p>
    <w:p>
      <w:pPr>
        <w:spacing w:after="0" w:line="182"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Eligible Individuals to whom Awards may from time to time be granted;</w:t>
      </w:r>
    </w:p>
    <w:p>
      <w:pPr>
        <w:spacing w:after="0" w:line="218"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 or the amount of any Bonus Award;</w:t>
      </w:r>
    </w:p>
    <w:p>
      <w:pPr>
        <w:spacing w:after="0" w:line="218"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each Award granted hereunder, based on such factors as the Committee shall determine;</w:t>
      </w:r>
    </w:p>
    <w:p>
      <w:pPr>
        <w:spacing w:after="0" w:line="229" w:lineRule="exact"/>
        <w:rPr>
          <w:rFonts w:ascii="Times New Roman" w:cs="Times New Roman" w:eastAsia="Times New Roman" w:hAnsi="Times New Roman"/>
          <w:sz w:val="17"/>
          <w:szCs w:val="17"/>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 to modify, amend or adjust the terms and conditions of any Award, at any time or from time to time;</w:t>
      </w:r>
    </w:p>
    <w:p>
      <w:pPr>
        <w:spacing w:after="0" w:line="218" w:lineRule="exact"/>
        <w:rPr>
          <w:rFonts w:ascii="Times New Roman" w:cs="Times New Roman" w:eastAsia="Times New Roman" w:hAnsi="Times New Roman"/>
          <w:sz w:val="18"/>
          <w:szCs w:val="18"/>
          <w:color w:val="auto"/>
        </w:rPr>
      </w:pPr>
    </w:p>
    <w:p>
      <w:pPr>
        <w:ind w:left="1020" w:firstLine="514"/>
        <w:spacing w:after="0" w:line="275" w:lineRule="auto"/>
        <w:tabs>
          <w:tab w:leader="none" w:pos="215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 to accelerate the vesting or lapse of restrictions of any outstanding Award, based in each case on such considerations as the Committee in its sole discretion determines;</w:t>
      </w:r>
    </w:p>
    <w:p>
      <w:pPr>
        <w:spacing w:after="0" w:line="163"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terms and provisions of this Plan and any Award issued under this Plan (and any agreement relating thereto);</w:t>
      </w:r>
    </w:p>
    <w:p>
      <w:pPr>
        <w:spacing w:after="0" w:line="217"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any “blackout” period that the Committee in its sole discretion deems necessary or advisable;</w:t>
      </w:r>
    </w:p>
    <w:p>
      <w:pPr>
        <w:spacing w:after="0" w:line="218"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other matters that must be determined in connection with an Award;</w:t>
      </w:r>
    </w:p>
    <w:p>
      <w:pPr>
        <w:spacing w:after="0" w:line="218" w:lineRule="exact"/>
        <w:rPr>
          <w:rFonts w:ascii="Times New Roman" w:cs="Times New Roman" w:eastAsia="Times New Roman" w:hAnsi="Times New Roman"/>
          <w:sz w:val="18"/>
          <w:szCs w:val="18"/>
          <w:color w:val="auto"/>
        </w:rPr>
      </w:pPr>
    </w:p>
    <w:p>
      <w:pPr>
        <w:ind w:left="2100" w:hanging="566"/>
        <w:spacing w:after="0"/>
        <w:tabs>
          <w:tab w:leader="none" w:pos="21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under what circumstances an Award may be settled in cash, Shares, other property, or a combination of</w:t>
      </w:r>
    </w:p>
    <w:p>
      <w:pPr>
        <w:spacing w:after="0" w:line="24"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w:t>
      </w:r>
    </w:p>
    <w:p>
      <w:pPr>
        <w:spacing w:after="0" w:line="198"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05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and</w:t>
      </w:r>
    </w:p>
    <w:p>
      <w:pPr>
        <w:spacing w:after="0" w:line="177" w:lineRule="exact"/>
        <w:rPr>
          <w:rFonts w:ascii="Times New Roman" w:cs="Times New Roman" w:eastAsia="Times New Roman" w:hAnsi="Times New Roman"/>
          <w:sz w:val="18"/>
          <w:szCs w:val="18"/>
          <w:color w:val="auto"/>
        </w:rPr>
      </w:pPr>
    </w:p>
    <w:p>
      <w:pPr>
        <w:ind w:left="2060" w:hanging="526"/>
        <w:spacing w:after="0"/>
        <w:tabs>
          <w:tab w:leader="none" w:pos="2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otherwise administer this Plan.</w:t>
      </w:r>
    </w:p>
    <w:p>
      <w:pPr>
        <w:spacing w:after="0" w:line="217" w:lineRule="exact"/>
        <w:rPr>
          <w:rFonts w:ascii="Times New Roman" w:cs="Times New Roman" w:eastAsia="Times New Roman" w:hAnsi="Times New Roman"/>
          <w:sz w:val="18"/>
          <w:szCs w:val="18"/>
          <w:color w:val="auto"/>
        </w:rPr>
      </w:pPr>
    </w:p>
    <w:p>
      <w:pPr>
        <w:ind w:left="1040" w:hanging="525"/>
        <w:spacing w:after="0"/>
        <w:tabs>
          <w:tab w:leader="none" w:pos="1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12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act only by a majority of its members then in office, except that the Committee may, except to the extent prohibited by applicable law or the listing standards of the Applicable Exchange, allocate all or any portion of its responsibilities and powers to any one or more of its members and may delegate all or any part of its responsibilities and powers to any person or persons selected by it.</w:t>
      </w:r>
    </w:p>
    <w:p>
      <w:pPr>
        <w:spacing w:after="0" w:line="177" w:lineRule="exact"/>
        <w:rPr>
          <w:rFonts w:ascii="Times New Roman" w:cs="Times New Roman" w:eastAsia="Times New Roman" w:hAnsi="Times New Roman"/>
          <w:sz w:val="18"/>
          <w:szCs w:val="18"/>
          <w:color w:val="auto"/>
        </w:rPr>
      </w:pPr>
    </w:p>
    <w:p>
      <w:pPr>
        <w:ind w:left="1020" w:firstLine="514"/>
        <w:spacing w:after="0" w:line="275" w:lineRule="auto"/>
        <w:tabs>
          <w:tab w:leader="none" w:pos="210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3(d), any authority granted to the Committee may also be exercised by the full Board. To the extent that any permitted action taken by the Board conflicts with action taken by the Committee, the Board action shall control.</w:t>
      </w:r>
    </w:p>
    <w:p>
      <w:pPr>
        <w:spacing w:after="0" w:line="163" w:lineRule="exact"/>
        <w:rPr>
          <w:rFonts w:ascii="Times New Roman" w:cs="Times New Roman" w:eastAsia="Times New Roman" w:hAnsi="Times New Roman"/>
          <w:sz w:val="18"/>
          <w:szCs w:val="18"/>
          <w:color w:val="auto"/>
        </w:rPr>
      </w:pPr>
    </w:p>
    <w:p>
      <w:pPr>
        <w:jc w:val="both"/>
        <w:ind w:firstLine="515"/>
        <w:spacing w:after="0" w:line="264" w:lineRule="auto"/>
        <w:tabs>
          <w:tab w:leader="none" w:pos="111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Subject to applicable law, the Committee may delegate any or all of its powers under this Plan to one or more other committees or officers of the Company (including persons other than members of the Committee) as it shall appoint with respect to the granting of Awards to individuals who are not (i) subject to the reporting and other provisions of Section 16 of the Exchange Act and (ii) members of the delegated committee or the delegated individual(s). Any such delegation by the Committee shall include limitations as to the amount of Common Stock underlying Awards that may be granted during specified periods and shall contain guidelines as to the determination of the exercise price. The delegated officer may correct any defect, supply any omission, or reconcile any inconsistency in this Plan or in any agreement relating thereto in the manner and to the extent it shall deem necessary to effectuate the purpose and intent of this Plan. Any determination made by the Committee or by an appropriately delegated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both"/>
        <w:spacing w:after="0" w:line="255" w:lineRule="auto"/>
        <w:rPr>
          <w:sz w:val="20"/>
          <w:szCs w:val="20"/>
          <w:color w:val="auto"/>
        </w:rPr>
      </w:pPr>
      <w:r>
        <w:rPr>
          <w:rFonts w:ascii="Times New Roman" w:cs="Times New Roman" w:eastAsia="Times New Roman" w:hAnsi="Times New Roman"/>
          <w:sz w:val="18"/>
          <w:szCs w:val="18"/>
          <w:color w:val="auto"/>
        </w:rPr>
        <w:t>delegated authority under the 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and binding on all persons, including the Company, Participants, and Eligible Individuals.</w:t>
      </w:r>
    </w:p>
    <w:p>
      <w:pPr>
        <w:spacing w:after="0" w:line="183" w:lineRule="exact"/>
        <w:rPr>
          <w:sz w:val="20"/>
          <w:szCs w:val="20"/>
          <w:color w:val="auto"/>
        </w:rPr>
      </w:pPr>
    </w:p>
    <w:p>
      <w:pPr>
        <w:jc w:val="both"/>
        <w:ind w:firstLine="515"/>
        <w:spacing w:after="0" w:line="253" w:lineRule="auto"/>
        <w:tabs>
          <w:tab w:leader="none" w:pos="113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16(b) Compliance</w:t>
      </w:r>
      <w:r>
        <w:rPr>
          <w:rFonts w:ascii="Times New Roman" w:cs="Times New Roman" w:eastAsia="Times New Roman" w:hAnsi="Times New Roman"/>
          <w:sz w:val="18"/>
          <w:szCs w:val="18"/>
          <w:color w:val="auto"/>
        </w:rPr>
        <w:t>. The provisions of this Plan are intended to ensure that no transaction under this Plan is subject to (and all such transactions will be exempt from) the short-swing recovery rules of Section 16(b) of the Exchange Act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83" w:lineRule="exact"/>
        <w:rPr>
          <w:rFonts w:ascii="Times New Roman" w:cs="Times New Roman" w:eastAsia="Times New Roman" w:hAnsi="Times New Roman"/>
          <w:sz w:val="18"/>
          <w:szCs w:val="18"/>
          <w:color w:val="auto"/>
        </w:rPr>
      </w:pPr>
    </w:p>
    <w:p>
      <w:pPr>
        <w:jc w:val="both"/>
        <w:ind w:firstLine="515"/>
        <w:spacing w:after="0" w:line="275" w:lineRule="auto"/>
        <w:tabs>
          <w:tab w:leader="none" w:pos="10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Agreements</w:t>
      </w:r>
      <w:r>
        <w:rPr>
          <w:rFonts w:ascii="Times New Roman" w:cs="Times New Roman" w:eastAsia="Times New Roman" w:hAnsi="Times New Roman"/>
          <w:sz w:val="17"/>
          <w:szCs w:val="17"/>
          <w:color w:val="auto"/>
        </w:rPr>
        <w:t>. The terms and conditions of each Award (other than any Bonus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14 hereof.</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4. COMMON STOCK SUBJECT TO PLAN</w:t>
      </w:r>
    </w:p>
    <w:p>
      <w:pPr>
        <w:spacing w:after="0" w:line="220" w:lineRule="exact"/>
        <w:rPr>
          <w:sz w:val="20"/>
          <w:szCs w:val="20"/>
          <w:color w:val="auto"/>
        </w:rPr>
      </w:pPr>
    </w:p>
    <w:p>
      <w:pPr>
        <w:jc w:val="both"/>
        <w:ind w:firstLine="515"/>
        <w:spacing w:after="0" w:line="249" w:lineRule="auto"/>
        <w:tabs>
          <w:tab w:leader="none" w:pos="10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Awards</w:t>
      </w:r>
      <w:r>
        <w:rPr>
          <w:rFonts w:ascii="Times New Roman" w:cs="Times New Roman" w:eastAsia="Times New Roman" w:hAnsi="Times New Roman"/>
          <w:sz w:val="18"/>
          <w:szCs w:val="18"/>
          <w:color w:val="auto"/>
        </w:rPr>
        <w:t>. The maximum number of Shares that may be delivered pursuant to Awards under this Plan shall be (i) [______], plus (ii) any Shares available for issuance under the Prior Plans not issued or subject to outstanding Awards under the Prior Plans as of the Effective Date. For purposes of this limitation, Shares underlying any Awards (including after the Effective Date, awards previously granted under the Prior Plans, as applicable) that are forfeited, canceled, held back upon exercise of an Option or settlement of an Award to cover the exercise price or tax withholding, reacquired by the Company prior to vesting, satisfied without the issuance of Common Stock or otherwise terminated (other than by exercise) under this Plan or the Prior Plans shall be added back (or newly added, as applicable) to the Shares available for issuance under this Plan and, to the extent permitted under Section 422 of the Code and the regulations promulgated thereunder, the Shares that may be issued as Incentive Stock Options. The Shares available for delivery under this Plan may consist of authorized and unissued Shares, Shares held in treasury, Shares of Common Stock purchased or held by the Company for purposes of this Plan, or any combination thereof.</w:t>
      </w:r>
    </w:p>
    <w:p>
      <w:pPr>
        <w:spacing w:after="0" w:line="192" w:lineRule="exact"/>
        <w:rPr>
          <w:rFonts w:ascii="Times New Roman" w:cs="Times New Roman" w:eastAsia="Times New Roman" w:hAnsi="Times New Roman"/>
          <w:sz w:val="18"/>
          <w:szCs w:val="18"/>
          <w:color w:val="auto"/>
        </w:rPr>
      </w:pPr>
    </w:p>
    <w:p>
      <w:pPr>
        <w:ind w:left="1120" w:hanging="605"/>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Maximums</w:t>
      </w:r>
      <w:r>
        <w:rPr>
          <w:rFonts w:ascii="Times New Roman" w:cs="Times New Roman" w:eastAsia="Times New Roman" w:hAnsi="Times New Roman"/>
          <w:sz w:val="18"/>
          <w:szCs w:val="18"/>
          <w:color w:val="auto"/>
        </w:rPr>
        <w:t>. The maximum number of Shares that may be granted pursuant to Options intended to be Incentive Stock Options shall be</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 Shares.</w:t>
      </w:r>
    </w:p>
    <w:p>
      <w:pPr>
        <w:spacing w:after="0" w:line="198" w:lineRule="exact"/>
        <w:rPr>
          <w:rFonts w:ascii="Times New Roman" w:cs="Times New Roman" w:eastAsia="Times New Roman" w:hAnsi="Times New Roman"/>
          <w:sz w:val="18"/>
          <w:szCs w:val="18"/>
          <w:color w:val="auto"/>
        </w:rPr>
      </w:pPr>
    </w:p>
    <w:p>
      <w:pPr>
        <w:ind w:firstLine="515"/>
        <w:spacing w:after="0" w:line="275" w:lineRule="auto"/>
        <w:tabs>
          <w:tab w:leader="none" w:pos="12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Compensation Limit</w:t>
      </w:r>
      <w:r>
        <w:rPr>
          <w:rFonts w:ascii="Times New Roman" w:cs="Times New Roman" w:eastAsia="Times New Roman" w:hAnsi="Times New Roman"/>
          <w:sz w:val="18"/>
          <w:szCs w:val="18"/>
          <w:color w:val="auto"/>
        </w:rPr>
        <w:t>. During a calendar year, no non-employee director may be granted any compensation for service as a non-employee director (including cash and an Award) with a fair value, as determined under accounting rules, as of the Grant Date, in excess of $1,000,000.</w:t>
      </w:r>
    </w:p>
    <w:p>
      <w:pPr>
        <w:spacing w:after="0" w:line="163" w:lineRule="exact"/>
        <w:rPr>
          <w:rFonts w:ascii="Times New Roman" w:cs="Times New Roman" w:eastAsia="Times New Roman" w:hAnsi="Times New Roman"/>
          <w:sz w:val="18"/>
          <w:szCs w:val="18"/>
          <w:color w:val="auto"/>
        </w:rPr>
      </w:pPr>
    </w:p>
    <w:p>
      <w:pPr>
        <w:ind w:left="1040" w:hanging="525"/>
        <w:spacing w:after="0"/>
        <w:tabs>
          <w:tab w:leader="none" w:pos="10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Provisions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1020" w:firstLine="514"/>
        <w:spacing w:after="0" w:line="252" w:lineRule="auto"/>
        <w:tabs>
          <w:tab w:leader="none" w:pos="219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consolidation, acquisition of property or shares, stock rights offering, liquidation, Disaffiliation, or similar event affecting the Company or any of its Subsidiaries (each, a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Committee or the Board may in its discretion make such substitutions or adjustments as it deems appropriate and equitable to (A) the aggregate number and kind of Shares or other securities reserved for issuance and delivery under this Plan, (B) the various maximum limitations set forth in Sections 4(a) and 4(b) upon certain types of Awards and upon the grants to individuals of certain types of Awards, (C) the number and kind of Shares or other securities subject to outstanding Awards; and (D) the exercise price of outstanding Options and SARs.</w:t>
      </w:r>
    </w:p>
    <w:p>
      <w:pPr>
        <w:spacing w:after="0" w:line="183" w:lineRule="exact"/>
        <w:rPr>
          <w:rFonts w:ascii="Times New Roman" w:cs="Times New Roman" w:eastAsia="Times New Roman" w:hAnsi="Times New Roman"/>
          <w:sz w:val="18"/>
          <w:szCs w:val="18"/>
          <w:color w:val="auto"/>
        </w:rPr>
      </w:pPr>
    </w:p>
    <w:p>
      <w:pPr>
        <w:jc w:val="both"/>
        <w:ind w:left="1020" w:firstLine="514"/>
        <w:spacing w:after="0" w:line="252" w:lineRule="auto"/>
        <w:tabs>
          <w:tab w:leader="none" w:pos="205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the Committee or the Board shall make such substitutions or adjustments as it deems appropriate and equitable to (A) the aggregate number and kind of Shares or other securities reserved for issuance and delivery under this Plan, (B) the maximum limitations set forth in Sections 4(a) and 4(b) upon certain types of Awards and upon the grants to individuals of certain types of Awards, the number and kind of Shares or other securities subject to outstanding Awards; and (C) the exercise price of outstanding Options and SARs.</w:t>
      </w:r>
    </w:p>
    <w:p>
      <w:pPr>
        <w:spacing w:after="0" w:line="183" w:lineRule="exact"/>
        <w:rPr>
          <w:rFonts w:ascii="Times New Roman" w:cs="Times New Roman" w:eastAsia="Times New Roman" w:hAnsi="Times New Roman"/>
          <w:sz w:val="18"/>
          <w:szCs w:val="18"/>
          <w:color w:val="auto"/>
        </w:rPr>
      </w:pPr>
    </w:p>
    <w:p>
      <w:pPr>
        <w:jc w:val="both"/>
        <w:ind w:left="1020" w:firstLine="514"/>
        <w:spacing w:after="0" w:line="272" w:lineRule="auto"/>
        <w:tabs>
          <w:tab w:leader="none" w:pos="2153"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Corporate Transactions, the adjustments contemplated by clause (i) of this paragraph (d) may include, without limitation, any of the following, as determined by the Committee: (A) the cancellation of outstanding Awards in exchange for payments of cash,</w:t>
      </w:r>
    </w:p>
    <w:p>
      <w:pPr>
        <w:spacing w:after="0" w:line="1" w:lineRule="exact"/>
        <w:rPr>
          <w:sz w:val="20"/>
          <w:szCs w:val="20"/>
          <w:color w:val="auto"/>
        </w:rPr>
      </w:pPr>
    </w:p>
    <w:p>
      <w:pPr>
        <w:jc w:val="both"/>
        <w:ind w:left="1020"/>
        <w:spacing w:after="0" w:line="246" w:lineRule="auto"/>
        <w:rPr>
          <w:sz w:val="20"/>
          <w:szCs w:val="20"/>
          <w:color w:val="auto"/>
        </w:rPr>
      </w:pPr>
      <w:r>
        <w:rPr>
          <w:rFonts w:ascii="Times New Roman" w:cs="Times New Roman" w:eastAsia="Times New Roman" w:hAnsi="Times New Roman"/>
          <w:sz w:val="18"/>
          <w:szCs w:val="18"/>
          <w:color w:val="auto"/>
        </w:rPr>
        <w:t>property or a combination thereof 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jc w:val="both"/>
        <w:ind w:left="1020"/>
        <w:spacing w:after="0" w:line="248" w:lineRule="auto"/>
        <w:rPr>
          <w:sz w:val="20"/>
          <w:szCs w:val="20"/>
          <w:color w:val="auto"/>
        </w:rPr>
      </w:pPr>
      <w:r>
        <w:rPr>
          <w:rFonts w:ascii="Times New Roman" w:cs="Times New Roman" w:eastAsia="Times New Roman" w:hAnsi="Times New Roman"/>
          <w:sz w:val="18"/>
          <w:szCs w:val="18"/>
          <w:color w:val="auto"/>
        </w:rPr>
        <w:t>equity securities of the ultimate surviving entity, any such determination by the Committee that the value of an Option or SAR shall for this purpose be deemed to equal the excess, if any, of the value of the consideration being paid for each Share pursuant to such Corporate Transaction over the exercise price of such Option or SAR shall conclusively be deemed valid); provided, however, that if the exercise price of an Option or SAR exceeds the value of such Award, such Award may be canceled for no consideration; (B) the substitution, assumption or replacement of other property (including, without limitation, cash or other securities of the Company and securities of entities other than the Company) for the Shares subject to outstanding Awards;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(D) the termination of all outstanding and unexercised Options or SARs, effective as of the date of the Corporate Transaction, by delivering notice of termination to each Participant at least twenty (20) days prior to the date of consummation of the Corporate Transaction, in which case during the period from the date on which such notice of termination is delivered to the consummation of the Corporation Transaction,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Corporate Transaction, and, provided that, if the Corporation Transaction does not take place within a specified period after giving such notice for any reason whatsoever, the notice and exercise pursuant thereto shall be null and void; and (F) the acceleration of vesting or lapse of restrictions, of an Award at any time.</w:t>
      </w:r>
    </w:p>
    <w:p>
      <w:pPr>
        <w:spacing w:after="0" w:line="189" w:lineRule="exact"/>
        <w:rPr>
          <w:sz w:val="20"/>
          <w:szCs w:val="20"/>
          <w:color w:val="auto"/>
        </w:rPr>
      </w:pPr>
    </w:p>
    <w:p>
      <w:pPr>
        <w:ind w:left="2060" w:hanging="526"/>
        <w:spacing w:after="0"/>
        <w:tabs>
          <w:tab w:leader="none" w:pos="20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under this Section 4(d) need not be the same for all Participants.</w:t>
      </w:r>
    </w:p>
    <w:p>
      <w:pPr>
        <w:spacing w:after="0" w:line="217" w:lineRule="exact"/>
        <w:rPr>
          <w:rFonts w:ascii="Times New Roman" w:cs="Times New Roman" w:eastAsia="Times New Roman" w:hAnsi="Times New Roman"/>
          <w:sz w:val="18"/>
          <w:szCs w:val="18"/>
          <w:color w:val="auto"/>
        </w:rPr>
      </w:pPr>
    </w:p>
    <w:p>
      <w:pPr>
        <w:jc w:val="both"/>
        <w:ind w:left="1020" w:firstLine="514"/>
        <w:spacing w:after="0" w:line="251" w:lineRule="auto"/>
        <w:tabs>
          <w:tab w:leader="none" w:pos="20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4(d) to Awards that are considered “deferred compensation” within the meaning of Section 409A of the Code shall be made in compliance with the requirements of Section 409A of the Code. Any adjustments made pursuant to this Section 4(d)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In any event, neither the Committee nor the Board shall have the authority to make any adjustments pursuant to this Section 4(d) to the extent the existence of such authority would cause an Award that is not intended to be subject to Section 409A of the Code at the Grant Date to be subject thereto.</w:t>
      </w:r>
    </w:p>
    <w:p>
      <w:pPr>
        <w:spacing w:after="0" w:line="184" w:lineRule="exact"/>
        <w:rPr>
          <w:rFonts w:ascii="Times New Roman" w:cs="Times New Roman" w:eastAsia="Times New Roman" w:hAnsi="Times New Roman"/>
          <w:sz w:val="18"/>
          <w:szCs w:val="18"/>
          <w:color w:val="auto"/>
        </w:rPr>
      </w:pPr>
    </w:p>
    <w:p>
      <w:pPr>
        <w:jc w:val="both"/>
        <w:ind w:firstLine="515"/>
        <w:spacing w:after="0" w:line="248" w:lineRule="auto"/>
        <w:tabs>
          <w:tab w:leader="none" w:pos="120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4(a) above), except that Shares acquired by exercise of substitute Incentive Stock Options will count against the maximum number of Shares that may be issued pursuant to the exercise of Incentive Stock Options under this Plan, as set forth in Section 4(a)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4(a) above); provided that Awards using such available shares shall not be made after the date awards or grants could have been made under the terms of the pre-existing plan, absent the acquisition or combination, and shall only be made to individuals who were not Eligible Individuals prior to such acquisition or combination.</w:t>
      </w:r>
    </w:p>
    <w:p>
      <w:pPr>
        <w:spacing w:after="0" w:line="191" w:lineRule="exact"/>
        <w:rPr>
          <w:rFonts w:ascii="Times New Roman" w:cs="Times New Roman" w:eastAsia="Times New Roman" w:hAnsi="Times New Roman"/>
          <w:sz w:val="18"/>
          <w:szCs w:val="18"/>
          <w:color w:val="auto"/>
        </w:rPr>
      </w:pPr>
    </w:p>
    <w:p>
      <w:pPr>
        <w:jc w:val="both"/>
        <w:ind w:firstLine="515"/>
        <w:spacing w:after="0" w:line="260" w:lineRule="auto"/>
        <w:tabs>
          <w:tab w:leader="none" w:pos="10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Schedule</w:t>
      </w:r>
      <w:r>
        <w:rPr>
          <w:rFonts w:ascii="Times New Roman" w:cs="Times New Roman" w:eastAsia="Times New Roman" w:hAnsi="Times New Roman"/>
          <w:sz w:val="18"/>
          <w:szCs w:val="18"/>
          <w:color w:val="auto"/>
        </w:rPr>
        <w:t>. A vesting period of at least one (1) year shall apply to all Awards issued under this Plan; provided, that up to five percent (5%) of the Shares reserved for issuance under this Plan as of the Effective Date may be issued pursuant to Awards that do not comply with such minimum one (1) year vesting period.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5. ELIGIBILITY</w:t>
      </w:r>
    </w:p>
    <w:p>
      <w:pPr>
        <w:spacing w:after="0" w:line="220"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 xml:space="preserve">Awards may be granted under this Plan to Eligible Individuals;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Incentive Stock Options may be granted only to employees of the Company and its subsidiaries or parent corporation (within the meaning of Section 424(f) of the Code).</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6. OPTIONS AND STOCK APPRECIATION RIGHTS</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ind w:right="20" w:firstLine="515"/>
        <w:spacing w:after="0" w:line="275" w:lineRule="auto"/>
        <w:tabs>
          <w:tab w:leader="none" w:pos="12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Options</w:t>
      </w:r>
      <w:r>
        <w:rPr>
          <w:rFonts w:ascii="Times New Roman" w:cs="Times New Roman" w:eastAsia="Times New Roman" w:hAnsi="Times New Roman"/>
          <w:sz w:val="18"/>
          <w:szCs w:val="18"/>
          <w:color w:val="auto"/>
        </w:rPr>
        <w:t>. Options may be of two types: Incentive Stock Options and Nonqualified Stock Options. The Award Agreement for an Option shall indicate whether the Option is intended to be an Incentive Stock Option or a Nonqualified Stock Option.</w:t>
      </w:r>
    </w:p>
    <w:p>
      <w:pPr>
        <w:spacing w:after="0" w:line="163" w:lineRule="exact"/>
        <w:rPr>
          <w:rFonts w:ascii="Times New Roman" w:cs="Times New Roman" w:eastAsia="Times New Roman" w:hAnsi="Times New Roman"/>
          <w:sz w:val="18"/>
          <w:szCs w:val="18"/>
          <w:color w:val="auto"/>
        </w:rPr>
      </w:pPr>
    </w:p>
    <w:p>
      <w:pPr>
        <w:jc w:val="both"/>
        <w:ind w:firstLine="515"/>
        <w:spacing w:after="0" w:line="272" w:lineRule="auto"/>
        <w:tabs>
          <w:tab w:leader="none" w:pos="103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Types and Nature of SARs</w:t>
      </w:r>
      <w:r>
        <w:rPr>
          <w:rFonts w:ascii="Times New Roman" w:cs="Times New Roman" w:eastAsia="Times New Roman" w:hAnsi="Times New Roman"/>
          <w:sz w:val="17"/>
          <w:szCs w:val="17"/>
          <w:color w:val="auto"/>
        </w:rPr>
        <w:t>. SARs may be “Tandem SARs,” which are granted in conjunction with an Option, or “Free-Standing SARs,” which are not granted in conjunction with an Option. Upon the exercise of an SAR, the Participant shall be entitled to receive an amount in cash, Shares, or both, in value equal to the product of (i) the excess of the Fair Market Value of one Share over the exercise price of the applicable SAR, multiplied by (ii) the number of Shares in respect of which the SAR has been exercised. The applicable Award Agreement shall specify whether such payment is to be made in cash or Common Stock or both, or shall reserve to the Committee or the Participant the right to make that determination prior to or upon the exercise of the SAR.</w:t>
      </w:r>
    </w:p>
    <w:p>
      <w:pPr>
        <w:spacing w:after="0" w:line="167" w:lineRule="exact"/>
        <w:rPr>
          <w:rFonts w:ascii="Times New Roman" w:cs="Times New Roman" w:eastAsia="Times New Roman" w:hAnsi="Times New Roman"/>
          <w:sz w:val="17"/>
          <w:szCs w:val="17"/>
          <w:color w:val="auto"/>
        </w:rPr>
      </w:pPr>
    </w:p>
    <w:p>
      <w:pPr>
        <w:jc w:val="both"/>
        <w:ind w:firstLine="515"/>
        <w:spacing w:after="0" w:line="255" w:lineRule="auto"/>
        <w:tabs>
          <w:tab w:leader="none" w:pos="108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SARs</w:t>
      </w:r>
      <w:r>
        <w:rPr>
          <w:rFonts w:ascii="Times New Roman" w:cs="Times New Roman" w:eastAsia="Times New Roman" w:hAnsi="Times New Roman"/>
          <w:sz w:val="18"/>
          <w:szCs w:val="18"/>
          <w:color w:val="auto"/>
        </w:rPr>
        <w:t>. A Tandem SAR may be granted at the Grant Date of the related Option. A Tandem SAR shall be exercisable only at such time or times and to the extent that the related Option is exercisable in accordance with the provisions of this Section 6,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82" w:lineRule="exact"/>
        <w:rPr>
          <w:rFonts w:ascii="Times New Roman" w:cs="Times New Roman" w:eastAsia="Times New Roman" w:hAnsi="Times New Roman"/>
          <w:sz w:val="18"/>
          <w:szCs w:val="18"/>
          <w:color w:val="auto"/>
        </w:rPr>
      </w:pPr>
    </w:p>
    <w:p>
      <w:pPr>
        <w:jc w:val="both"/>
        <w:ind w:firstLine="515"/>
        <w:spacing w:after="0" w:line="251" w:lineRule="auto"/>
        <w:tabs>
          <w:tab w:leader="none" w:pos="103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or Free- Standing SAR shall be determined by the Committee and set forth in the applicable Award Agreement, and shall not be less than 100% (or, in the case of an Incentive Stock Option granted to a Ten Percent Stockholder, 110%) of the Fair Market Value of a share of the Common Stock on the applicable Grant Date. In no event may any Option or Free-Standing SAR granted under this Plan be amended, other than pursuant to Section 4(d), to decrease the exercise price thereof, be canceled in conjunction with the grant of any new Option or Free-Standing SAR with a lower exercise price, be canceled for cash or other Award or otherwise be subject to any action that would be treated, for accounting purposes or under the applicable listing standards of the Applicable Exchange, as a “repricing” of such Option or Free-Standing SAR, unless such amendment, cancellation, or action is approved by the Company’s stockholders.</w:t>
      </w:r>
    </w:p>
    <w:p>
      <w:pPr>
        <w:spacing w:after="0" w:line="184" w:lineRule="exact"/>
        <w:rPr>
          <w:rFonts w:ascii="Times New Roman" w:cs="Times New Roman" w:eastAsia="Times New Roman" w:hAnsi="Times New Roman"/>
          <w:sz w:val="18"/>
          <w:szCs w:val="18"/>
          <w:color w:val="auto"/>
        </w:rPr>
      </w:pPr>
    </w:p>
    <w:p>
      <w:pPr>
        <w:jc w:val="both"/>
        <w:ind w:firstLine="515"/>
        <w:spacing w:after="0" w:line="281" w:lineRule="auto"/>
        <w:tabs>
          <w:tab w:leader="none" w:pos="111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each Option and each Free-Standing SAR shall be fixed by the Committee, but shall not exceed ten years from the Grant Date (or, in the case of an Incentive Stock Option granted to a Ten Percent Stockholder, five years from the Grant Date). Notwithstanding the foregoing, if, by its terms, an Option, other than an Incentive Stock Option, would expire when trading in Shares is otherwise prohibited by law or by the Company’s Insider Trading Policy, as such may be amended from time to time, then the term of the Option will be automatically extended until the close of trading on the 30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trading day following the expiration of such prohibition; provided, that, in no event will the Option be extended beyond ten years from the Grant Date.</w:t>
      </w:r>
    </w:p>
    <w:p>
      <w:pPr>
        <w:spacing w:after="0" w:line="76" w:lineRule="exact"/>
        <w:rPr>
          <w:rFonts w:ascii="Times New Roman" w:cs="Times New Roman" w:eastAsia="Times New Roman" w:hAnsi="Times New Roman"/>
          <w:sz w:val="17"/>
          <w:szCs w:val="17"/>
          <w:color w:val="auto"/>
        </w:rPr>
      </w:pPr>
    </w:p>
    <w:p>
      <w:pPr>
        <w:jc w:val="both"/>
        <w:ind w:firstLine="515"/>
        <w:spacing w:after="0" w:line="252" w:lineRule="auto"/>
        <w:tabs>
          <w:tab w:leader="none" w:pos="11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Exercisability</w:t>
      </w:r>
      <w:r>
        <w:rPr>
          <w:rFonts w:ascii="Times New Roman" w:cs="Times New Roman" w:eastAsia="Times New Roman" w:hAnsi="Times New Roman"/>
          <w:sz w:val="18"/>
          <w:szCs w:val="18"/>
          <w:color w:val="auto"/>
        </w:rPr>
        <w:t>. Except as otherwise provided herein, Options and Free-Standing SARs shall be exercisable at such time or 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 In the event of a temporary absence exceeding 90 days, the Company shall have authority to suspend the vesting period for such period of time and on such terms as management of the Company shall deem appropriate.</w:t>
      </w:r>
    </w:p>
    <w:p>
      <w:pPr>
        <w:spacing w:after="0" w:line="183" w:lineRule="exact"/>
        <w:rPr>
          <w:rFonts w:ascii="Times New Roman" w:cs="Times New Roman" w:eastAsia="Times New Roman" w:hAnsi="Times New Roman"/>
          <w:sz w:val="18"/>
          <w:szCs w:val="18"/>
          <w:color w:val="auto"/>
        </w:rPr>
      </w:pPr>
    </w:p>
    <w:p>
      <w:pPr>
        <w:jc w:val="both"/>
        <w:ind w:firstLine="515"/>
        <w:spacing w:after="0" w:line="250" w:lineRule="auto"/>
        <w:tabs>
          <w:tab w:leader="none" w:pos="10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Subject to the provisions of this Section 6, Options and Free-Standing SARs may be exercised, in whole or in part, at any time during the applicable Term by giving written notice of exercise to the Company or through the procedures established with the Company’s appointed third-party Option administrator specifying the number of Shares as to which the Option or Free-Standing SAR is being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permitted by the Committee, any such exercise must be with respect to a portion of the applicable Option or Free-Standing SAR relating to no less than the lesser of the number of 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187"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09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 Incentive Stock Option, the right to make a payment in the form of already owned Shares of the same class as the Common Stock subject to the Option may be authorized only at the time the Option is granted.</w:t>
      </w:r>
    </w:p>
    <w:p>
      <w:pPr>
        <w:spacing w:after="0" w:line="182" w:lineRule="exact"/>
        <w:rPr>
          <w:rFonts w:ascii="Times New Roman" w:cs="Times New Roman" w:eastAsia="Times New Roman" w:hAnsi="Times New Roman"/>
          <w:sz w:val="18"/>
          <w:szCs w:val="18"/>
          <w:color w:val="auto"/>
        </w:rPr>
      </w:pPr>
    </w:p>
    <w:p>
      <w:pPr>
        <w:jc w:val="both"/>
        <w:ind w:left="1020" w:firstLine="514"/>
        <w:spacing w:after="0" w:line="268" w:lineRule="auto"/>
        <w:tabs>
          <w:tab w:leader="none" w:pos="2216"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w:t>
      </w:r>
    </w:p>
    <w:p>
      <w:pPr>
        <w:spacing w:after="0" w:line="2" w:lineRule="exact"/>
        <w:rPr>
          <w:sz w:val="20"/>
          <w:szCs w:val="20"/>
          <w:color w:val="auto"/>
        </w:rPr>
      </w:pPr>
    </w:p>
    <w:p>
      <w:pPr>
        <w:jc w:val="both"/>
        <w:ind w:left="1020"/>
        <w:spacing w:after="0" w:line="246" w:lineRule="auto"/>
        <w:rPr>
          <w:sz w:val="20"/>
          <w:szCs w:val="20"/>
          <w:color w:val="auto"/>
        </w:rPr>
      </w:pPr>
      <w:r>
        <w:rPr>
          <w:rFonts w:ascii="Times New Roman" w:cs="Times New Roman" w:eastAsia="Times New Roman" w:hAnsi="Times New Roman"/>
          <w:sz w:val="18"/>
          <w:szCs w:val="18"/>
          <w:color w:val="auto"/>
        </w:rPr>
        <w:t>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ind w:left="1020" w:firstLine="514"/>
        <w:spacing w:after="0" w:line="255" w:lineRule="auto"/>
        <w:tabs>
          <w:tab w:leader="none" w:pos="214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Options that are not Incentive Stock Options, payment may be made by “net exercise” arrangement, pursuant to which a Participant instructs the Committee to withhold a whole number of Shares having a Fair Market Value (based on the Fair Market Value of the Common Stock on the date the applicable Option is exercised) equal to the product of (A) the exercise price multiplied by (B) the number of Shares in respect of which the Option shall have been exercised.</w:t>
      </w:r>
    </w:p>
    <w:p>
      <w:pPr>
        <w:spacing w:after="0" w:line="182" w:lineRule="exact"/>
        <w:rPr>
          <w:rFonts w:ascii="Times New Roman" w:cs="Times New Roman" w:eastAsia="Times New Roman" w:hAnsi="Times New Roman"/>
          <w:sz w:val="18"/>
          <w:szCs w:val="18"/>
          <w:color w:val="auto"/>
        </w:rPr>
      </w:pPr>
    </w:p>
    <w:p>
      <w:pPr>
        <w:jc w:val="both"/>
        <w:ind w:firstLine="515"/>
        <w:spacing w:after="0" w:line="253" w:lineRule="auto"/>
        <w:tabs>
          <w:tab w:leader="none" w:pos="10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Rights of Stockholders</w:t>
      </w:r>
      <w:r>
        <w:rPr>
          <w:rFonts w:ascii="Times New Roman" w:cs="Times New Roman" w:eastAsia="Times New Roman" w:hAnsi="Times New Roman"/>
          <w:sz w:val="18"/>
          <w:szCs w:val="18"/>
          <w:color w:val="auto"/>
        </w:rPr>
        <w:t>. No Shares shall be delivered pursuant to the exercise of an Option until the exercise price therefor has been fully paid and applicable taxes have been withheld. The applicable Participant shall have all of the rights of a stockholder of the Company holding the class or series of Common Stock that is subject to the Option or SAR (including, if applicable, the right to vote the applicable Shares and the right to receive dividends), when the Participant (i) has given written notice of exercise, (ii) if requested, has given the representation described in Section 16(a), and (iii) in the case of an Option, has paid in full for such Shares.</w:t>
      </w:r>
    </w:p>
    <w:p>
      <w:pPr>
        <w:spacing w:after="0" w:line="183" w:lineRule="exact"/>
        <w:rPr>
          <w:rFonts w:ascii="Times New Roman" w:cs="Times New Roman" w:eastAsia="Times New Roman" w:hAnsi="Times New Roman"/>
          <w:sz w:val="18"/>
          <w:szCs w:val="18"/>
          <w:color w:val="auto"/>
        </w:rPr>
      </w:pPr>
    </w:p>
    <w:p>
      <w:pPr>
        <w:jc w:val="both"/>
        <w:ind w:firstLine="515"/>
        <w:spacing w:after="0" w:line="249" w:lineRule="auto"/>
        <w:tabs>
          <w:tab w:leader="none" w:pos="10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 and SARs</w:t>
      </w:r>
      <w:r>
        <w:rPr>
          <w:rFonts w:ascii="Times New Roman" w:cs="Times New Roman" w:eastAsia="Times New Roman" w:hAnsi="Times New Roman"/>
          <w:sz w:val="18"/>
          <w:szCs w:val="18"/>
          <w:color w:val="auto"/>
        </w:rPr>
        <w:t xml:space="preserve">. No Option or Free-Standing SAR shall be transferable by a Participant other than (i) by will or by the laws of descent and distribution, or (ii) in the case of a Nonqualified Stock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and any successor thereto. A Tandem SAR shall be transferable only with the related Option as permitted by the preceding sentence. Any Option or SAR shall be exercisable, subject to the terms of this Plan, only by the applicable Participant, the guardian or legal representative of such Participant, or any person to whom such Option or SAR is permissibly transferred pursuant to this Section 6(i), it being understood that the term “Participant” includes such guardian, legal representative and other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“Termination of Employment” shall continue to refer to the Termination of Employment of the original Participant.</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7. RESTRICTED STOCK</w:t>
      </w:r>
    </w:p>
    <w:p>
      <w:pPr>
        <w:spacing w:after="0" w:line="220" w:lineRule="exact"/>
        <w:rPr>
          <w:sz w:val="20"/>
          <w:szCs w:val="20"/>
          <w:color w:val="auto"/>
        </w:rPr>
      </w:pPr>
    </w:p>
    <w:p>
      <w:pPr>
        <w:jc w:val="both"/>
        <w:ind w:firstLine="515"/>
        <w:spacing w:after="0" w:line="255" w:lineRule="auto"/>
        <w:tabs>
          <w:tab w:leader="none" w:pos="10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Awards and Certificates</w:t>
      </w:r>
      <w:r>
        <w:rPr>
          <w:rFonts w:ascii="Times New Roman" w:cs="Times New Roman" w:eastAsia="Times New Roman" w:hAnsi="Times New Roman"/>
          <w:sz w:val="18"/>
          <w:szCs w:val="18"/>
          <w:color w:val="auto"/>
        </w:rPr>
        <w:t>.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 substantially in the following form:</w:t>
      </w:r>
    </w:p>
    <w:p>
      <w:pPr>
        <w:spacing w:after="0" w:line="1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terms and conditions (including forfeiture) of the Tripadvisor, Inc. 2023 Stock and Annual Incentive Plan and an Award Agreement. Copies of such Plan and Agreement are on file at the offices of TripAdvisor, Inc.”</w:t>
      </w:r>
    </w:p>
    <w:p>
      <w:pPr>
        <w:spacing w:after="0" w:line="17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77" w:lineRule="exact"/>
        <w:rPr>
          <w:sz w:val="20"/>
          <w:szCs w:val="20"/>
          <w:color w:val="auto"/>
        </w:rPr>
      </w:pPr>
    </w:p>
    <w:p>
      <w:pPr>
        <w:ind w:left="1040" w:hanging="525"/>
        <w:spacing w:after="0"/>
        <w:tabs>
          <w:tab w:leader="none" w:pos="10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Shares of Restricted Stock shall be subject to the following terms and conditions:</w:t>
      </w:r>
    </w:p>
    <w:p>
      <w:pPr>
        <w:spacing w:after="0" w:line="217" w:lineRule="exact"/>
        <w:rPr>
          <w:rFonts w:ascii="Times New Roman" w:cs="Times New Roman" w:eastAsia="Times New Roman" w:hAnsi="Times New Roman"/>
          <w:sz w:val="18"/>
          <w:szCs w:val="18"/>
          <w:color w:val="auto"/>
        </w:rPr>
      </w:pPr>
    </w:p>
    <w:p>
      <w:pPr>
        <w:jc w:val="both"/>
        <w:ind w:left="1020" w:firstLine="514"/>
        <w:spacing w:after="0" w:line="251" w:lineRule="auto"/>
        <w:tabs>
          <w:tab w:leader="none" w:pos="21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Performance Award. The conditions for grant, vesting, or transferability and the other provisions of Restricted Stock Awards (including without limitation any Performance Goals) need not be the same with respect to each Participant.</w:t>
      </w:r>
    </w:p>
    <w:p>
      <w:pPr>
        <w:spacing w:after="0" w:line="184"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1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period, if any, set by the Committee, commencing with the date of such Restricted Stock Award for which such vesting restrictions apply and until the expiration of such vesting restrictions (the “</w:t>
      </w:r>
      <w:r>
        <w:rPr>
          <w:rFonts w:ascii="Times New Roman" w:cs="Times New Roman" w:eastAsia="Times New Roman" w:hAnsi="Times New Roman"/>
          <w:sz w:val="18"/>
          <w:szCs w:val="18"/>
          <w:u w:val="single" w:color="auto"/>
          <w:color w:val="auto"/>
        </w:rPr>
        <w:t>RS Restriction Period</w:t>
      </w:r>
      <w:r>
        <w:rPr>
          <w:rFonts w:ascii="Times New Roman" w:cs="Times New Roman" w:eastAsia="Times New Roman" w:hAnsi="Times New Roman"/>
          <w:sz w:val="18"/>
          <w:szCs w:val="18"/>
          <w:color w:val="auto"/>
        </w:rPr>
        <w:t>”), the Participant shall not be permitted to sell, assign, transfer, pledge or otherwise encumber Shares of Restricted Stock.</w:t>
      </w:r>
    </w:p>
    <w:p>
      <w:pPr>
        <w:spacing w:after="0" w:line="182" w:lineRule="exact"/>
        <w:rPr>
          <w:rFonts w:ascii="Times New Roman" w:cs="Times New Roman" w:eastAsia="Times New Roman" w:hAnsi="Times New Roman"/>
          <w:sz w:val="18"/>
          <w:szCs w:val="18"/>
          <w:color w:val="auto"/>
        </w:rPr>
      </w:pPr>
    </w:p>
    <w:p>
      <w:pPr>
        <w:jc w:val="both"/>
        <w:ind w:left="1020" w:firstLine="514"/>
        <w:spacing w:after="0" w:line="268" w:lineRule="auto"/>
        <w:tabs>
          <w:tab w:leader="none" w:pos="206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this Section 7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w:t>
      </w:r>
    </w:p>
    <w:p>
      <w:pPr>
        <w:spacing w:after="0" w:line="2" w:lineRule="exact"/>
        <w:rPr>
          <w:sz w:val="20"/>
          <w:szCs w:val="20"/>
          <w:color w:val="auto"/>
        </w:rPr>
      </w:pPr>
    </w:p>
    <w:p>
      <w:pPr>
        <w:ind w:left="1020"/>
        <w:spacing w:after="0" w:line="246" w:lineRule="auto"/>
        <w:rPr>
          <w:sz w:val="20"/>
          <w:szCs w:val="20"/>
          <w:color w:val="auto"/>
        </w:rPr>
      </w:pPr>
      <w:r>
        <w:rPr>
          <w:rFonts w:ascii="Times New Roman" w:cs="Times New Roman" w:eastAsia="Times New Roman" w:hAnsi="Times New Roman"/>
          <w:sz w:val="18"/>
          <w:szCs w:val="18"/>
          <w:color w:val="auto"/>
        </w:rPr>
        <w:t>Committee in the applicable Award Agreement and subject to Section 16(e), (A) cash dividends on the class or series of Common Stock that is the subject of the Restricted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Award shall be automatically reinvested in additional Restricted Stock, held subject to the vesting of the underlying Restricted Stock, and (B) subject to any adjustment pursuant to Section 4(d), dividends payable in Common Stock shall be paid in the form of Restricted Stock of the same class as the Common Stock with which such dividend was paid, held subject to the vesting and forfeiture of the underlying Restricted Stock.</w:t>
      </w:r>
    </w:p>
    <w:p>
      <w:pPr>
        <w:spacing w:after="0" w:line="183" w:lineRule="exact"/>
        <w:rPr>
          <w:sz w:val="20"/>
          <w:szCs w:val="20"/>
          <w:color w:val="auto"/>
        </w:rPr>
      </w:pPr>
    </w:p>
    <w:p>
      <w:pPr>
        <w:jc w:val="both"/>
        <w:ind w:left="1020" w:firstLine="514"/>
        <w:spacing w:after="0" w:line="252" w:lineRule="auto"/>
        <w:tabs>
          <w:tab w:leader="none" w:pos="21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the applicable Award Agreement, upon a Participant’s Termination of Employment for any reason (other than death) during the RS Restriction Period or before the applicable Performance Goals are satisfied, all Shares of Restricted Stock still subject to restriction shall be forfeited by such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Committee shall have the discretion to waive, in whole or in part, any or all remaining restrictions with respect to any or all of such Participant’s Shares of Restricted Stock. Upon a Participant’s Termination of Employment by reason of death, during the RS Restriction Period or before the applicable Performance Goals are satisfied, all Shares of Restricted Stock reflected in the Participant’s account shall immediately and automatically vest.</w:t>
      </w:r>
    </w:p>
    <w:p>
      <w:pPr>
        <w:spacing w:after="0" w:line="183"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0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8. RESTRICTED STOCK UNITS</w:t>
      </w:r>
    </w:p>
    <w:p>
      <w:pPr>
        <w:spacing w:after="0" w:line="220" w:lineRule="exact"/>
        <w:rPr>
          <w:sz w:val="20"/>
          <w:szCs w:val="20"/>
          <w:color w:val="auto"/>
        </w:rPr>
      </w:pPr>
    </w:p>
    <w:p>
      <w:pPr>
        <w:ind w:firstLine="515"/>
        <w:spacing w:after="0" w:line="275" w:lineRule="auto"/>
        <w:tabs>
          <w:tab w:leader="none" w:pos="108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Awards</w:t>
      </w:r>
      <w:r>
        <w:rPr>
          <w:rFonts w:ascii="Times New Roman" w:cs="Times New Roman" w:eastAsia="Times New Roman" w:hAnsi="Times New Roman"/>
          <w:sz w:val="18"/>
          <w:szCs w:val="18"/>
          <w:color w:val="auto"/>
        </w:rPr>
        <w:t>. RSUs are Awards denominated in Shares that will be settled, subject to the terms and conditions of the RSUs, in an amount in cash, Shares or both, based upon the Fair Market Value of a specified number of Shares.</w:t>
      </w:r>
    </w:p>
    <w:p>
      <w:pPr>
        <w:spacing w:after="0" w:line="163" w:lineRule="exact"/>
        <w:rPr>
          <w:rFonts w:ascii="Times New Roman" w:cs="Times New Roman" w:eastAsia="Times New Roman" w:hAnsi="Times New Roman"/>
          <w:sz w:val="18"/>
          <w:szCs w:val="18"/>
          <w:color w:val="auto"/>
        </w:rPr>
      </w:pPr>
    </w:p>
    <w:p>
      <w:pPr>
        <w:ind w:left="1040" w:hanging="525"/>
        <w:spacing w:after="0"/>
        <w:tabs>
          <w:tab w:leader="none" w:pos="10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RSUs shall be subject to the following terms and conditions:</w:t>
      </w:r>
    </w:p>
    <w:p>
      <w:pPr>
        <w:spacing w:after="0" w:line="218" w:lineRule="exact"/>
        <w:rPr>
          <w:rFonts w:ascii="Times New Roman" w:cs="Times New Roman" w:eastAsia="Times New Roman" w:hAnsi="Times New Roman"/>
          <w:sz w:val="18"/>
          <w:szCs w:val="18"/>
          <w:color w:val="auto"/>
        </w:rPr>
      </w:pPr>
    </w:p>
    <w:p>
      <w:pPr>
        <w:jc w:val="both"/>
        <w:ind w:left="1020" w:firstLine="514"/>
        <w:spacing w:after="0" w:line="250" w:lineRule="auto"/>
        <w:tabs>
          <w:tab w:leader="none" w:pos="209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prior to or at the time of grant, condition the grant, vesting, or transferability of RSUs upon the continued service of the applicable Participant or the attainment of Performance Goals, or the attainment of Performance Goals and the continued service of the applicable Participant. In the event that the Committee conditions the grant or vesting of RSUs upon the attainment of Performance Goals or the attainment of Performance Goals and the continued service of the applicable Participant, the Committee may, prior to or at the time of grant, designate such Awards as Performance Awards. The conditions for grant, vesting or transferability and the other provisions of RSUs (including without limitation any Performance Goals) need not be the same with respect to each Participant. In the event of a temporary absence exceeding 90 days, the Company shall have authority to suspend the vesting of such RSUs for such period of time and on such terms as management of the Company shall deem appropriate.</w:t>
      </w:r>
    </w:p>
    <w:p>
      <w:pPr>
        <w:spacing w:after="0" w:line="187"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17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period, if any, set by the Committee, commencing with the date of such RSUs for which such vesting restrictions apply and until the expiration of such vesting restrictions (the “RSU Restriction Period”), the Participant shall not be permitted to sell, assign, transfer, pledge or otherwise encumber RSUs.</w:t>
      </w:r>
    </w:p>
    <w:p>
      <w:pPr>
        <w:spacing w:after="0" w:line="177"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24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for RSUs shall specify whether, to what extent and on what terms and conditions the applicable Participant shall be entitled to receive current or delayed payments of cash, Common Stock or other property corresponding to the dividends payable on the Common Stock (subject to Section 16(e) below).</w:t>
      </w:r>
    </w:p>
    <w:p>
      <w:pPr>
        <w:spacing w:after="0" w:line="177" w:lineRule="exact"/>
        <w:rPr>
          <w:rFonts w:ascii="Times New Roman" w:cs="Times New Roman" w:eastAsia="Times New Roman" w:hAnsi="Times New Roman"/>
          <w:sz w:val="18"/>
          <w:szCs w:val="18"/>
          <w:color w:val="auto"/>
        </w:rPr>
      </w:pPr>
    </w:p>
    <w:p>
      <w:pPr>
        <w:jc w:val="both"/>
        <w:ind w:left="1020" w:firstLine="514"/>
        <w:spacing w:after="0" w:line="252" w:lineRule="auto"/>
        <w:tabs>
          <w:tab w:leader="none" w:pos="217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the applicable Award Agreement, upon a Participant’s Termination of Employment for any reason during the RSU Restriction Period or before the applicable Performance Goals are satisfied, all RSUs still subject to restriction shall be forfeited by such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Committee shall have the discretion to waive, in whole or in part, any or all remaining restrictions with respect to any or all of such Participant’s RSUs;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upon a Participant’s Termination of Employment by reason of death, during the RSU Restriction Period or before the applicable Performance Goals are satisfied, all RSUs reflected in the Participant’s account shall immediately and automatically vest.</w:t>
      </w:r>
    </w:p>
    <w:p>
      <w:pPr>
        <w:spacing w:after="0" w:line="183" w:lineRule="exact"/>
        <w:rPr>
          <w:rFonts w:ascii="Times New Roman" w:cs="Times New Roman" w:eastAsia="Times New Roman" w:hAnsi="Times New Roman"/>
          <w:sz w:val="18"/>
          <w:szCs w:val="18"/>
          <w:color w:val="auto"/>
        </w:rPr>
      </w:pPr>
    </w:p>
    <w:p>
      <w:pPr>
        <w:ind w:left="1020" w:firstLine="514"/>
        <w:spacing w:after="0" w:line="275" w:lineRule="auto"/>
        <w:tabs>
          <w:tab w:leader="none" w:pos="208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the applicable Award Agreement, an award of RSUs shall be settled as and when the RSUs vest (but in no event later than 60 days thereafter).</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9. PERFORMANCE AWARDS</w:t>
      </w:r>
    </w:p>
    <w:p>
      <w:pPr>
        <w:spacing w:after="0" w:line="220" w:lineRule="exact"/>
        <w:rPr>
          <w:sz w:val="20"/>
          <w:szCs w:val="20"/>
          <w:color w:val="auto"/>
        </w:rPr>
      </w:pPr>
    </w:p>
    <w:p>
      <w:pPr>
        <w:ind w:left="1060" w:hanging="545"/>
        <w:spacing w:after="0"/>
        <w:tabs>
          <w:tab w:leader="none" w:pos="10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An Award under this Plan may be in the form of a Performance Award.</w:t>
      </w:r>
    </w:p>
    <w:p>
      <w:pPr>
        <w:spacing w:after="0" w:line="217" w:lineRule="exact"/>
        <w:rPr>
          <w:rFonts w:ascii="Times New Roman" w:cs="Times New Roman" w:eastAsia="Times New Roman" w:hAnsi="Times New Roman"/>
          <w:sz w:val="18"/>
          <w:szCs w:val="18"/>
          <w:color w:val="auto"/>
        </w:rPr>
      </w:pPr>
    </w:p>
    <w:p>
      <w:pPr>
        <w:ind w:firstLine="515"/>
        <w:spacing w:after="0" w:line="257" w:lineRule="auto"/>
        <w:tabs>
          <w:tab w:leader="none" w:pos="10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Each Performance Award shall be earned, vested and payable (as applicable) only upon the achievement of one or more Performance Goals, together with the satisfaction of any other conditions, such as continued employment, as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Committee may determine to be appropriate. Performance Goals applicable to the Performance Award will be established by the Committee.</w:t>
      </w:r>
    </w:p>
    <w:p>
      <w:pPr>
        <w:spacing w:after="0" w:line="218" w:lineRule="exact"/>
        <w:rPr>
          <w:sz w:val="20"/>
          <w:szCs w:val="20"/>
          <w:color w:val="auto"/>
        </w:rPr>
      </w:pPr>
    </w:p>
    <w:p>
      <w:pPr>
        <w:jc w:val="both"/>
        <w:ind w:firstLine="515"/>
        <w:spacing w:after="0" w:line="255" w:lineRule="auto"/>
        <w:tabs>
          <w:tab w:leader="none" w:pos="107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Committee will determine any other terms and conditions applicable to any Performance Award, including any vesting conditions or restrictions on the delivery of Common Stock payable in connection with the Performance Award and restrictions that could result in the future forfeiture of all or part of any Common Stock earned. The Committee may provide that shares of Common Stock issued in connection with a Performance Award be held in escrow and/or legended.</w:t>
      </w:r>
    </w:p>
    <w:p>
      <w:pPr>
        <w:spacing w:after="0" w:line="182" w:lineRule="exact"/>
        <w:rPr>
          <w:rFonts w:ascii="Times New Roman" w:cs="Times New Roman" w:eastAsia="Times New Roman" w:hAnsi="Times New Roman"/>
          <w:sz w:val="18"/>
          <w:szCs w:val="18"/>
          <w:color w:val="auto"/>
        </w:rPr>
      </w:pPr>
    </w:p>
    <w:p>
      <w:pPr>
        <w:jc w:val="both"/>
        <w:ind w:firstLine="515"/>
        <w:spacing w:after="0" w:line="252" w:lineRule="auto"/>
        <w:tabs>
          <w:tab w:leader="none" w:pos="105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of Performance Against Performance Goals</w:t>
      </w:r>
      <w:r>
        <w:rPr>
          <w:rFonts w:ascii="Times New Roman" w:cs="Times New Roman" w:eastAsia="Times New Roman" w:hAnsi="Times New Roman"/>
          <w:sz w:val="18"/>
          <w:szCs w:val="18"/>
          <w:color w:val="auto"/>
        </w:rPr>
        <w:t>. The Committee will, as soon as practicable after the close of a Performance Period, determine the extent to which the Performance Goals for such Performance Period have been achieved, and the percentage of the Performance Awards, if any, earned as a result. All determinations of the Committee will be absolute and final as to the facts and conclusions therein made and are binding on all parties. As promptly as practicable after the Committee has made the foregoing determination, each Eligible Individual who has earned Performance Award will be notified thereof. Subject to Section 16(i), an Eligible Individual may not sell, transfer, pledge, exchange, hypothecate or otherwise dispose of all or any portion of a Performance Awards during the Performance Period.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10. OTHER STOCK-BASED AWARDS</w:t>
      </w:r>
    </w:p>
    <w:p>
      <w:pPr>
        <w:spacing w:after="0" w:line="22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this Plan.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11. BONUS AWARDS</w:t>
      </w:r>
    </w:p>
    <w:p>
      <w:pPr>
        <w:spacing w:after="0" w:line="220" w:lineRule="exact"/>
        <w:rPr>
          <w:sz w:val="20"/>
          <w:szCs w:val="20"/>
          <w:color w:val="auto"/>
        </w:rPr>
      </w:pPr>
    </w:p>
    <w:p>
      <w:pPr>
        <w:jc w:val="both"/>
        <w:ind w:firstLine="515"/>
        <w:spacing w:after="0" w:line="260" w:lineRule="auto"/>
        <w:tabs>
          <w:tab w:leader="none" w:pos="111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Awards</w:t>
      </w:r>
      <w:r>
        <w:rPr>
          <w:rFonts w:ascii="Times New Roman" w:cs="Times New Roman" w:eastAsia="Times New Roman" w:hAnsi="Times New Roman"/>
          <w:sz w:val="18"/>
          <w:szCs w:val="18"/>
          <w:color w:val="auto"/>
        </w:rPr>
        <w:t>. The Committee shall determine the total amount of Bonus Awards for each Plan Year or such shorter performance period as the Committee may establish in its sole discretion. Bonus Awards that are Performance Awards shall be subject to the provisions of Section 9 of this Plan.</w:t>
      </w:r>
    </w:p>
    <w:p>
      <w:pPr>
        <w:spacing w:after="0" w:line="177" w:lineRule="exact"/>
        <w:rPr>
          <w:rFonts w:ascii="Times New Roman" w:cs="Times New Roman" w:eastAsia="Times New Roman" w:hAnsi="Times New Roman"/>
          <w:sz w:val="18"/>
          <w:szCs w:val="18"/>
          <w:color w:val="auto"/>
        </w:rPr>
      </w:pPr>
    </w:p>
    <w:p>
      <w:pPr>
        <w:jc w:val="both"/>
        <w:ind w:firstLine="515"/>
        <w:spacing w:after="0" w:line="251" w:lineRule="auto"/>
        <w:tabs>
          <w:tab w:leader="none" w:pos="10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Awards.</w:t>
      </w:r>
      <w:r>
        <w:rPr>
          <w:rFonts w:ascii="Times New Roman" w:cs="Times New Roman" w:eastAsia="Times New Roman" w:hAnsi="Times New Roman"/>
          <w:sz w:val="18"/>
          <w:szCs w:val="18"/>
          <w:color w:val="auto"/>
        </w:rPr>
        <w:t xml:space="preserve"> Bonus Awards under this Plan shall be paid in cash or in Shares (valued at Fair Market Value as of the date of payment) as determined by the Committee, as soon as practicable following the close of this Plan Year or such shorter performance period as the Committee may establish.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Subject to Section 16(k), the Committee may at its option establish procedures pursuant to which Participants are permitted to defer the receipt of Bonus Awards payable hereunder. The Bonus Award to any Participant for any Plan Year or such shorter performance period may be reduced or eliminated by the Committee in its discretion.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12. TERMINATION OF EMPLOYMENT</w:t>
      </w:r>
    </w:p>
    <w:p>
      <w:pPr>
        <w:spacing w:after="0" w:line="220" w:lineRule="exact"/>
        <w:rPr>
          <w:sz w:val="20"/>
          <w:szCs w:val="20"/>
          <w:color w:val="auto"/>
        </w:rPr>
      </w:pPr>
    </w:p>
    <w:p>
      <w:pPr>
        <w:ind w:left="1060" w:hanging="545"/>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 Participant’s Awards shall be forfeited upon such Participant’s Termination of Employment, except as set forth below:</w:t>
      </w:r>
    </w:p>
    <w:p>
      <w:pPr>
        <w:spacing w:after="0" w:line="217"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09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death, all Awards reflected in the Participant’s account that were unvested at the time of death shall automatically vest and all such Options or SARs held by the Participant may be exercised at any time until the earlier of (A) the first anniversary of the date of such death and (B) the expiration of the Term thereof;</w:t>
      </w:r>
    </w:p>
    <w:p>
      <w:pPr>
        <w:spacing w:after="0" w:line="177"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2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Disability or Retirement, any Option or SAR held by the Participant that was exercisable immediately before the Termination of Employment may be exercised at any time until the earlier of (A) the first anniversary of such Termination of Employment and the (B) expiration of the Term thereof;</w:t>
      </w:r>
    </w:p>
    <w:p>
      <w:pPr>
        <w:spacing w:after="0" w:line="177" w:lineRule="exact"/>
        <w:rPr>
          <w:rFonts w:ascii="Times New Roman" w:cs="Times New Roman" w:eastAsia="Times New Roman" w:hAnsi="Times New Roman"/>
          <w:sz w:val="18"/>
          <w:szCs w:val="18"/>
          <w:color w:val="auto"/>
        </w:rPr>
      </w:pPr>
    </w:p>
    <w:p>
      <w:pPr>
        <w:ind w:left="1020" w:right="20" w:firstLine="514"/>
        <w:spacing w:after="0" w:line="275" w:lineRule="auto"/>
        <w:tabs>
          <w:tab w:leader="none" w:pos="218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for Cause, any unvested Award held by the Participant shall be forfeited, effective as of such Termination of Employment;</w:t>
      </w:r>
    </w:p>
    <w:p>
      <w:pPr>
        <w:spacing w:after="0" w:line="163" w:lineRule="exact"/>
        <w:rPr>
          <w:rFonts w:ascii="Times New Roman" w:cs="Times New Roman" w:eastAsia="Times New Roman" w:hAnsi="Times New Roman"/>
          <w:sz w:val="18"/>
          <w:szCs w:val="18"/>
          <w:color w:val="auto"/>
        </w:rPr>
      </w:pPr>
    </w:p>
    <w:p>
      <w:pPr>
        <w:ind w:left="2200" w:hanging="666"/>
        <w:spacing w:after="0"/>
        <w:tabs>
          <w:tab w:leader="none" w:pos="22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for any reason other than death, Disability, Retirement or for Cause, any</w:t>
      </w:r>
    </w:p>
    <w:p>
      <w:pPr>
        <w:spacing w:after="0" w:line="25" w:lineRule="exact"/>
        <w:rPr>
          <w:sz w:val="20"/>
          <w:szCs w:val="20"/>
          <w:color w:val="auto"/>
        </w:rPr>
      </w:pPr>
    </w:p>
    <w:p>
      <w:pPr>
        <w:ind w:left="1020"/>
        <w:spacing w:after="0" w:line="246" w:lineRule="auto"/>
        <w:rPr>
          <w:sz w:val="20"/>
          <w:szCs w:val="20"/>
          <w:color w:val="auto"/>
        </w:rPr>
      </w:pPr>
      <w:r>
        <w:rPr>
          <w:rFonts w:ascii="Times New Roman" w:cs="Times New Roman" w:eastAsia="Times New Roman" w:hAnsi="Times New Roman"/>
          <w:sz w:val="18"/>
          <w:szCs w:val="18"/>
          <w:color w:val="auto"/>
        </w:rPr>
        <w:t>Option or SAR held by the Participant that was exercisable immediately before the Termination of Employment may be exercised at any time until the earlier of (A) the 90th day following such Termination of Employment and (B) expiration of the Term thereof;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jc w:val="both"/>
        <w:ind w:left="1020" w:firstLine="514"/>
        <w:spacing w:after="0" w:line="255" w:lineRule="auto"/>
        <w:tabs>
          <w:tab w:leader="none" w:pos="22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provisions of this Section 12(a), if a Participant dies after such Participant’s Termination of Employment but while any Option or SAR remains exercisable as set forth above, such Option or SAR may be exercised at any time until the later of (A) the earlier of (1) the first anniversary of the date of such death and (2) expiration of the Term thereof and (B) the last date on which such Option or SAR would have been exercisable, absent this Section 12(a).</w:t>
      </w:r>
    </w:p>
    <w:p>
      <w:pPr>
        <w:spacing w:after="0" w:line="182" w:lineRule="exact"/>
        <w:rPr>
          <w:rFonts w:ascii="Times New Roman" w:cs="Times New Roman" w:eastAsia="Times New Roman" w:hAnsi="Times New Roman"/>
          <w:sz w:val="18"/>
          <w:szCs w:val="18"/>
          <w:color w:val="auto"/>
        </w:rPr>
      </w:pPr>
    </w:p>
    <w:p>
      <w:pPr>
        <w:jc w:val="both"/>
        <w:ind w:firstLine="515"/>
        <w:spacing w:after="0" w:line="255" w:lineRule="auto"/>
        <w:tabs>
          <w:tab w:leader="none" w:pos="121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w:t>
      </w:r>
      <w:r>
        <w:rPr>
          <w:rFonts w:ascii="Times New Roman" w:cs="Times New Roman" w:eastAsia="Times New Roman" w:hAnsi="Times New Roman"/>
          <w:sz w:val="18"/>
          <w:szCs w:val="18"/>
          <w:color w:val="auto"/>
        </w:rPr>
        <w:t xml:space="preserve">Notwithstanding the foregoing, the Committee shall have the power, in its discretion, to apply different rules concerning the consequences of a Termination of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Stock Option.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13. CHANGE IN CONTROL PROVISIONS</w:t>
      </w:r>
    </w:p>
    <w:p>
      <w:pPr>
        <w:spacing w:after="0" w:line="220" w:lineRule="exact"/>
        <w:rPr>
          <w:sz w:val="20"/>
          <w:szCs w:val="20"/>
          <w:color w:val="auto"/>
        </w:rPr>
      </w:pPr>
    </w:p>
    <w:p>
      <w:pPr>
        <w:ind w:right="20" w:firstLine="515"/>
        <w:spacing w:after="0" w:line="275" w:lineRule="auto"/>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Change in Control</w:t>
      </w:r>
      <w:r>
        <w:rPr>
          <w:rFonts w:ascii="Times New Roman" w:cs="Times New Roman" w:eastAsia="Times New Roman" w:hAnsi="Times New Roman"/>
          <w:sz w:val="18"/>
          <w:szCs w:val="18"/>
          <w:color w:val="auto"/>
        </w:rPr>
        <w:t>. Except as otherwise may be provided in an applicable Award Agreement, for purposes of this Plan,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 Control</w:t>
      </w:r>
      <w:r>
        <w:rPr>
          <w:rFonts w:ascii="Times New Roman" w:cs="Times New Roman" w:eastAsia="Times New Roman" w:hAnsi="Times New Roman"/>
          <w:sz w:val="18"/>
          <w:szCs w:val="18"/>
          <w:color w:val="auto"/>
        </w:rPr>
        <w:t>” shall mean any of the following events:</w:t>
      </w:r>
    </w:p>
    <w:p>
      <w:pPr>
        <w:spacing w:after="0" w:line="163" w:lineRule="exact"/>
        <w:rPr>
          <w:rFonts w:ascii="Times New Roman" w:cs="Times New Roman" w:eastAsia="Times New Roman" w:hAnsi="Times New Roman"/>
          <w:sz w:val="18"/>
          <w:szCs w:val="18"/>
          <w:color w:val="auto"/>
        </w:rPr>
      </w:pPr>
    </w:p>
    <w:p>
      <w:pPr>
        <w:jc w:val="both"/>
        <w:ind w:left="1020" w:firstLine="514"/>
        <w:spacing w:after="0" w:line="250" w:lineRule="auto"/>
        <w:tabs>
          <w:tab w:leader="none" w:pos="211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other than Liberty TripAdvisor Holdings, Inc., and its affiliates,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would qualify as a transaction described in clauses (A), (B) or(C) of subsection (iii) below; or</w:t>
      </w:r>
    </w:p>
    <w:p>
      <w:pPr>
        <w:spacing w:after="0" w:line="187" w:lineRule="exact"/>
        <w:rPr>
          <w:rFonts w:ascii="Times New Roman" w:cs="Times New Roman" w:eastAsia="Times New Roman" w:hAnsi="Times New Roman"/>
          <w:sz w:val="18"/>
          <w:szCs w:val="18"/>
          <w:color w:val="auto"/>
        </w:rPr>
      </w:pPr>
    </w:p>
    <w:p>
      <w:pPr>
        <w:jc w:val="both"/>
        <w:ind w:left="1020" w:firstLine="514"/>
        <w:spacing w:after="0" w:line="251" w:lineRule="auto"/>
        <w:tabs>
          <w:tab w:leader="none" w:pos="223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[two] consecutive years, individuals who, at the beginning of such period,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beginning of such period,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4" w:lineRule="exact"/>
        <w:rPr>
          <w:rFonts w:ascii="Times New Roman" w:cs="Times New Roman" w:eastAsia="Times New Roman" w:hAnsi="Times New Roman"/>
          <w:sz w:val="18"/>
          <w:szCs w:val="18"/>
          <w:color w:val="auto"/>
        </w:rPr>
      </w:pPr>
    </w:p>
    <w:p>
      <w:pPr>
        <w:jc w:val="both"/>
        <w:ind w:left="1020" w:firstLine="514"/>
        <w:spacing w:after="0" w:line="264" w:lineRule="auto"/>
        <w:tabs>
          <w:tab w:leader="none" w:pos="209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reorganization, merger or consolidation or sale or other disposition of all or substantially all of the assets of the Company or the purchase of assets or stock of another entity (a “</w:t>
      </w:r>
      <w:r>
        <w:rPr>
          <w:rFonts w:ascii="Times New Roman" w:cs="Times New Roman" w:eastAsia="Times New Roman" w:hAnsi="Times New Roman"/>
          <w:sz w:val="17"/>
          <w:szCs w:val="17"/>
          <w:u w:val="single" w:color="auto"/>
          <w:color w:val="auto"/>
        </w:rPr>
        <w:t>Business Combination</w:t>
      </w:r>
      <w:r>
        <w:rPr>
          <w:rFonts w:ascii="Times New Roman" w:cs="Times New Roman" w:eastAsia="Times New Roman" w:hAnsi="Times New Roman"/>
          <w:sz w:val="17"/>
          <w:szCs w:val="17"/>
          <w:color w:val="auto"/>
        </w:rPr>
        <w:t>”),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Liberty TripAdvisor Holdings, Inc., and its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(I) will have been members of the Incumbent Board at the time of the initial agreement, or action of the Board, providing for such Business Combination, or (II) would have been elected, or nominated for election by the Company’s stockholders, by an approval vote of at least a majority of the directors then comprising the Incumbent Board; or</w:t>
      </w:r>
    </w:p>
    <w:p>
      <w:pPr>
        <w:spacing w:after="0" w:line="174" w:lineRule="exact"/>
        <w:rPr>
          <w:rFonts w:ascii="Times New Roman" w:cs="Times New Roman" w:eastAsia="Times New Roman" w:hAnsi="Times New Roman"/>
          <w:sz w:val="17"/>
          <w:szCs w:val="17"/>
          <w:color w:val="auto"/>
        </w:rPr>
      </w:pPr>
    </w:p>
    <w:p>
      <w:pPr>
        <w:ind w:left="2060" w:hanging="526"/>
        <w:spacing w:after="0"/>
        <w:tabs>
          <w:tab w:leader="none" w:pos="20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218" w:lineRule="exact"/>
        <w:rPr>
          <w:sz w:val="20"/>
          <w:szCs w:val="20"/>
          <w:color w:val="auto"/>
        </w:rPr>
      </w:pPr>
    </w:p>
    <w:p>
      <w:pPr>
        <w:jc w:val="both"/>
        <w:ind w:left="10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foregoing, unless provided otherwise in an Award Agreement, with respect to any Award that is characterized as “nonqualified deferred compensation” within the meaning of Section 409A of the Code, an event shall not be considered to be a Change in Control under this Plan for purposes of payment of such Award unless such event is also 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ind w:left="1020"/>
        <w:spacing w:after="0" w:line="275" w:lineRule="auto"/>
        <w:rPr>
          <w:sz w:val="20"/>
          <w:szCs w:val="20"/>
          <w:color w:val="auto"/>
        </w:rPr>
      </w:pPr>
      <w:r>
        <w:rPr>
          <w:rFonts w:ascii="Times New Roman" w:cs="Times New Roman" w:eastAsia="Times New Roman" w:hAnsi="Times New Roman"/>
          <w:sz w:val="18"/>
          <w:szCs w:val="18"/>
          <w:color w:val="auto"/>
        </w:rPr>
        <w:t>“change in ownership,” a “change in effective control,” or a “change in the ownership of a substantial portion of the assets” of the Company within the meaning of Section 409A of the Code.</w:t>
      </w:r>
    </w:p>
    <w:p>
      <w:pPr>
        <w:spacing w:after="0" w:line="163" w:lineRule="exact"/>
        <w:rPr>
          <w:sz w:val="20"/>
          <w:szCs w:val="20"/>
          <w:color w:val="auto"/>
        </w:rPr>
      </w:pPr>
    </w:p>
    <w:p>
      <w:pPr>
        <w:jc w:val="both"/>
        <w:ind w:firstLine="515"/>
        <w:spacing w:after="0" w:line="255" w:lineRule="auto"/>
        <w:tabs>
          <w:tab w:leader="none" w:pos="10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Event/Double Trigger on Vice Presidents and Above</w:t>
      </w:r>
      <w:r>
        <w:rPr>
          <w:rFonts w:ascii="Times New Roman" w:cs="Times New Roman" w:eastAsia="Times New Roman" w:hAnsi="Times New Roman"/>
          <w:sz w:val="18"/>
          <w:szCs w:val="18"/>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 Participant who, as of the date of termination, has a title of Vice President or above, by the Company other than for Cause or Disability or by the Participant for Good Reason, then:</w:t>
      </w:r>
    </w:p>
    <w:p>
      <w:pPr>
        <w:spacing w:after="0" w:line="182"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0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and SARs outstanding as of such Termination of 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 (B) expiration of the Term of such Option or SAR;</w:t>
      </w:r>
    </w:p>
    <w:p>
      <w:pPr>
        <w:spacing w:after="0" w:line="182" w:lineRule="exact"/>
        <w:rPr>
          <w:rFonts w:ascii="Times New Roman" w:cs="Times New Roman" w:eastAsia="Times New Roman" w:hAnsi="Times New Roman"/>
          <w:sz w:val="18"/>
          <w:szCs w:val="18"/>
          <w:color w:val="auto"/>
        </w:rPr>
      </w:pPr>
    </w:p>
    <w:p>
      <w:pPr>
        <w:ind w:left="1020" w:firstLine="514"/>
        <w:spacing w:after="0" w:line="275" w:lineRule="auto"/>
        <w:tabs>
          <w:tab w:leader="none" w:pos="20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outstanding as of such Termination of Employment which was outstanding as of the date of such Change in Control shall become free of all restrictions and become fully vested and transferable;</w:t>
      </w:r>
    </w:p>
    <w:p>
      <w:pPr>
        <w:spacing w:after="0" w:line="163" w:lineRule="exact"/>
        <w:rPr>
          <w:rFonts w:ascii="Times New Roman" w:cs="Times New Roman" w:eastAsia="Times New Roman" w:hAnsi="Times New Roman"/>
          <w:sz w:val="18"/>
          <w:szCs w:val="18"/>
          <w:color w:val="auto"/>
        </w:rPr>
      </w:pPr>
    </w:p>
    <w:p>
      <w:pPr>
        <w:jc w:val="both"/>
        <w:ind w:left="1020" w:firstLine="514"/>
        <w:spacing w:after="0" w:line="260" w:lineRule="auto"/>
        <w:tabs>
          <w:tab w:leader="none" w:pos="211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spacing w:after="0" w:line="177"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1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 Awards outstanding as of such Termination of Employment which were outstanding as of the date of such Change in 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182" w:lineRule="exact"/>
        <w:rPr>
          <w:rFonts w:ascii="Times New Roman" w:cs="Times New Roman" w:eastAsia="Times New Roman" w:hAnsi="Times New Roman"/>
          <w:sz w:val="18"/>
          <w:szCs w:val="18"/>
          <w:color w:val="auto"/>
        </w:rPr>
      </w:pPr>
    </w:p>
    <w:p>
      <w:pPr>
        <w:jc w:val="both"/>
        <w:ind w:firstLine="515"/>
        <w:spacing w:after="0" w:line="255" w:lineRule="auto"/>
        <w:tabs>
          <w:tab w:leader="none" w:pos="10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Event/Double Trigger on Other Participants</w:t>
      </w:r>
      <w:r>
        <w:rPr>
          <w:rFonts w:ascii="Times New Roman" w:cs="Times New Roman" w:eastAsia="Times New Roman" w:hAnsi="Times New Roman"/>
          <w:sz w:val="18"/>
          <w:szCs w:val="18"/>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any other Participant, by the Company other than for Cause or Disability or by the Participant for Good Reason:</w:t>
      </w:r>
    </w:p>
    <w:p>
      <w:pPr>
        <w:spacing w:after="0" w:line="182"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09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any Options and SARs outstanding as of such Termination of 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 (B) expiration of the Term of such Option or SAR;</w:t>
      </w:r>
    </w:p>
    <w:p>
      <w:pPr>
        <w:spacing w:after="0" w:line="182" w:lineRule="exact"/>
        <w:rPr>
          <w:rFonts w:ascii="Times New Roman" w:cs="Times New Roman" w:eastAsia="Times New Roman" w:hAnsi="Times New Roman"/>
          <w:sz w:val="18"/>
          <w:szCs w:val="18"/>
          <w:color w:val="auto"/>
        </w:rPr>
      </w:pPr>
    </w:p>
    <w:p>
      <w:pPr>
        <w:ind w:left="1020" w:firstLine="514"/>
        <w:spacing w:after="0" w:line="275" w:lineRule="auto"/>
        <w:tabs>
          <w:tab w:leader="none" w:pos="20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Restricted Stock outstanding as of such Termination of Employment which were outstanding as of the date of such Change in Control shall become free of all restrictions and become fully vested and transferable;</w:t>
      </w:r>
    </w:p>
    <w:p>
      <w:pPr>
        <w:spacing w:after="0" w:line="163"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13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spacing w:after="0" w:line="182" w:lineRule="exact"/>
        <w:rPr>
          <w:rFonts w:ascii="Times New Roman" w:cs="Times New Roman" w:eastAsia="Times New Roman" w:hAnsi="Times New Roman"/>
          <w:sz w:val="18"/>
          <w:szCs w:val="18"/>
          <w:color w:val="auto"/>
        </w:rPr>
      </w:pPr>
    </w:p>
    <w:p>
      <w:pPr>
        <w:jc w:val="both"/>
        <w:ind w:left="1020" w:firstLine="514"/>
        <w:spacing w:after="0" w:line="255" w:lineRule="auto"/>
        <w:tabs>
          <w:tab w:leader="none" w:pos="20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Performance Awards outstanding as of such Termination of Employment which were outstanding as of the date of such Change in 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183"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8"/>
          <w:szCs w:val="18"/>
          <w:color w:val="auto"/>
        </w:rPr>
        <w:t>Notwithstanding the foregoing, the Committee will continue to have plenary authority and complete discretion to, among other things, accelerate the vesting of a greater percentage of Awards.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14. TERM, AMENDMENT AND TERMINATION</w:t>
      </w:r>
    </w:p>
    <w:p>
      <w:pPr>
        <w:spacing w:after="0" w:line="220" w:lineRule="exact"/>
        <w:rPr>
          <w:sz w:val="20"/>
          <w:szCs w:val="20"/>
          <w:color w:val="auto"/>
        </w:rPr>
      </w:pPr>
    </w:p>
    <w:p>
      <w:pPr>
        <w:jc w:val="both"/>
        <w:ind w:firstLine="515"/>
        <w:spacing w:after="0" w:line="253" w:lineRule="auto"/>
        <w:tabs>
          <w:tab w:leader="none" w:pos="10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Plan shall be effective as of [____], 2023 (the “Effective Date”), subject to approval by the affirmative vote of a majority of the outstanding shares of Common Stock present by person or by proxy at the Company’s 2023 Annual Meeting that are entitled to vote on a proposal to approve the adoption of this Plan.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ind w:firstLine="515"/>
        <w:spacing w:after="0" w:line="275" w:lineRule="auto"/>
        <w:tabs>
          <w:tab w:leader="none" w:pos="102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Plan will terminate on the tenth anniversary of the Effective Date. Awards outstanding as of such date shall not be affected or impaired by the termination of this Plan.</w:t>
      </w:r>
    </w:p>
    <w:p>
      <w:pPr>
        <w:spacing w:after="0" w:line="163" w:lineRule="exact"/>
        <w:rPr>
          <w:rFonts w:ascii="Times New Roman" w:cs="Times New Roman" w:eastAsia="Times New Roman" w:hAnsi="Times New Roman"/>
          <w:sz w:val="18"/>
          <w:szCs w:val="18"/>
          <w:color w:val="auto"/>
        </w:rPr>
      </w:pPr>
    </w:p>
    <w:p>
      <w:pPr>
        <w:jc w:val="both"/>
        <w:ind w:firstLine="515"/>
        <w:spacing w:after="0" w:line="252" w:lineRule="auto"/>
        <w:tabs>
          <w:tab w:leader="none" w:pos="11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alter, or discontinue this Plan, but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 or to the extent determined by the Committee to be required by the Code to ensure that Incentive Stock Options granted under this Plan are qualified under Section 422 of the Code.</w:t>
      </w:r>
    </w:p>
    <w:p>
      <w:pPr>
        <w:spacing w:after="0" w:line="183" w:lineRule="exact"/>
        <w:rPr>
          <w:rFonts w:ascii="Times New Roman" w:cs="Times New Roman" w:eastAsia="Times New Roman" w:hAnsi="Times New Roman"/>
          <w:sz w:val="18"/>
          <w:szCs w:val="18"/>
          <w:color w:val="auto"/>
        </w:rPr>
      </w:pPr>
    </w:p>
    <w:p>
      <w:pPr>
        <w:jc w:val="both"/>
        <w:ind w:firstLine="515"/>
        <w:spacing w:after="0" w:line="260" w:lineRule="auto"/>
        <w:tabs>
          <w:tab w:leader="none" w:pos="12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Section 6(d), the Committee may unilaterally amend the terms of any Award theretofore granted, prospectively or retroactively, but no such amendment shall, without the Participant’s consent, materially impair the rights of any Participant with respect to an Award, except such an amendment made to cause this Plan or Award to comply with applicable law, stock exchange rules or accounting rules.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15. UNFUNDED STATUS OF PLAN</w:t>
      </w:r>
    </w:p>
    <w:p>
      <w:pPr>
        <w:spacing w:after="0" w:line="22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7"/>
          <w:szCs w:val="17"/>
          <w:color w:val="auto"/>
        </w:rPr>
        <w:t xml:space="preserve">It is presently intended that this Plan constitute an “unfunded” plan. Solely to the extent permitted under Section 409A, the Committee may authorize the creation of trusts or other arrangements to meet the obligations created under this Plan to deliver Common Stock or make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existence of such trusts or other arrangements is consistent with the “unfunded” status of this Plan. Notwithstanding any other provision of this 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16. GENERAL PROVISIONS</w:t>
      </w:r>
    </w:p>
    <w:p>
      <w:pPr>
        <w:spacing w:after="0" w:line="220" w:lineRule="exact"/>
        <w:rPr>
          <w:sz w:val="20"/>
          <w:szCs w:val="20"/>
          <w:color w:val="auto"/>
        </w:rPr>
      </w:pPr>
    </w:p>
    <w:p>
      <w:pPr>
        <w:jc w:val="both"/>
        <w:ind w:firstLine="515"/>
        <w:spacing w:after="0" w:line="249" w:lineRule="auto"/>
        <w:tabs>
          <w:tab w:leader="none" w:pos="11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for Issuance</w:t>
      </w:r>
      <w:r>
        <w:rPr>
          <w:rFonts w:ascii="Times New Roman" w:cs="Times New Roman" w:eastAsia="Times New Roman" w:hAnsi="Times New Roman"/>
          <w:sz w:val="18"/>
          <w:szCs w:val="18"/>
          <w:color w:val="auto"/>
        </w:rPr>
        <w:t>.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92" w:lineRule="exact"/>
        <w:rPr>
          <w:rFonts w:ascii="Times New Roman" w:cs="Times New Roman" w:eastAsia="Times New Roman" w:hAnsi="Times New Roman"/>
          <w:sz w:val="18"/>
          <w:szCs w:val="18"/>
          <w:color w:val="auto"/>
        </w:rPr>
      </w:pPr>
    </w:p>
    <w:p>
      <w:pPr>
        <w:ind w:right="20" w:firstLine="515"/>
        <w:spacing w:after="0" w:line="275" w:lineRule="auto"/>
        <w:tabs>
          <w:tab w:leader="none" w:pos="119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Compensation Arrangements</w:t>
      </w:r>
      <w:r>
        <w:rPr>
          <w:rFonts w:ascii="Times New Roman" w:cs="Times New Roman" w:eastAsia="Times New Roman" w:hAnsi="Times New Roman"/>
          <w:sz w:val="18"/>
          <w:szCs w:val="18"/>
          <w:color w:val="auto"/>
        </w:rPr>
        <w:t>. Nothing contained in this Plan shall prevent the Company or any Subsidiary or Affiliate from adopting other or additional compensation arrangements for its employees.</w:t>
      </w:r>
    </w:p>
    <w:p>
      <w:pPr>
        <w:spacing w:after="0" w:line="163" w:lineRule="exact"/>
        <w:rPr>
          <w:rFonts w:ascii="Times New Roman" w:cs="Times New Roman" w:eastAsia="Times New Roman" w:hAnsi="Times New Roman"/>
          <w:sz w:val="18"/>
          <w:szCs w:val="18"/>
          <w:color w:val="auto"/>
        </w:rPr>
      </w:pPr>
    </w:p>
    <w:p>
      <w:pPr>
        <w:jc w:val="both"/>
        <w:ind w:firstLine="515"/>
        <w:spacing w:after="0" w:line="255" w:lineRule="auto"/>
        <w:tabs>
          <w:tab w:leader="none" w:pos="11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Contract of Employment or Service</w:t>
      </w:r>
      <w:r>
        <w:rPr>
          <w:rFonts w:ascii="Times New Roman" w:cs="Times New Roman" w:eastAsia="Times New Roman" w:hAnsi="Times New Roman"/>
          <w:sz w:val="18"/>
          <w:szCs w:val="18"/>
          <w:color w:val="auto"/>
        </w:rPr>
        <w:t>. Neither this Plan nor the grant of any Award hereunder shall constitute a contract of employment or service, and neither the adoption of this Plan nor the grant of any Award hereunder shall confer upon any employee, consultant, independent contractor or service provider any right to continued employment or service, nor shall it interfere in any way with the right of the Company or any Subsidiary or Affiliate to terminate the employment or service of any employee, consultant, independent contractor or service provider at any time.</w:t>
      </w:r>
    </w:p>
    <w:p>
      <w:pPr>
        <w:spacing w:after="0" w:line="182" w:lineRule="exact"/>
        <w:rPr>
          <w:rFonts w:ascii="Times New Roman" w:cs="Times New Roman" w:eastAsia="Times New Roman" w:hAnsi="Times New Roman"/>
          <w:sz w:val="18"/>
          <w:szCs w:val="18"/>
          <w:color w:val="auto"/>
        </w:rPr>
      </w:pPr>
    </w:p>
    <w:p>
      <w:pPr>
        <w:jc w:val="both"/>
        <w:ind w:firstLine="515"/>
        <w:spacing w:after="0" w:line="248" w:lineRule="auto"/>
        <w:tabs>
          <w:tab w:leader="none" w:pos="109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Taxes</w:t>
      </w:r>
      <w:r>
        <w:rPr>
          <w:rFonts w:ascii="Times New Roman" w:cs="Times New Roman" w:eastAsia="Times New Roman" w:hAnsi="Times New Roman"/>
          <w:sz w:val="18"/>
          <w:szCs w:val="18"/>
          <w:color w:val="auto"/>
        </w:rPr>
        <w:t>. No later than the date as of which an amount first becomes includible in the gross income of a Participant for federal, state, 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provided, however, that the amount withheld does not exceed the maximum statutory tax rate or such lesser amount as is necessary to avoid liability accounting treatment. The required tax withholding obligation may also be satisfied, in whole or in part, by an arrangement whereby a certain number of Shares issued pursuant to any Award are immediately sold and proceeds from such sale are remitted to the Company in an amount that would satisfy the withholding amount due. In addition, the Committee may require Awards to be subject to mandatory share withholding up to the required withholding amount. The obligations of the Company under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3" w:name="page124"/>
    <w:bookmarkEnd w:id="123"/>
    <w:p>
      <w:pPr>
        <w:jc w:val="both"/>
        <w:spacing w:after="0" w:line="260" w:lineRule="auto"/>
        <w:rPr>
          <w:sz w:val="20"/>
          <w:szCs w:val="20"/>
          <w:color w:val="auto"/>
        </w:rPr>
      </w:pPr>
      <w:r>
        <w:rPr>
          <w:rFonts w:ascii="Times New Roman" w:cs="Times New Roman" w:eastAsia="Times New Roman" w:hAnsi="Times New Roman"/>
          <w:sz w:val="18"/>
          <w:szCs w:val="18"/>
          <w:color w:val="auto"/>
        </w:rPr>
        <w:t>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77" w:lineRule="exact"/>
        <w:rPr>
          <w:sz w:val="20"/>
          <w:szCs w:val="20"/>
          <w:color w:val="auto"/>
        </w:rPr>
      </w:pPr>
    </w:p>
    <w:p>
      <w:pPr>
        <w:jc w:val="both"/>
        <w:ind w:firstLine="515"/>
        <w:spacing w:after="0" w:line="250" w:lineRule="auto"/>
        <w:tabs>
          <w:tab w:leader="none" w:pos="11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Dividend Reinvestment and Dividend Equivalents</w:t>
      </w:r>
      <w:r>
        <w:rPr>
          <w:rFonts w:ascii="Times New Roman" w:cs="Times New Roman" w:eastAsia="Times New Roman" w:hAnsi="Times New Roman"/>
          <w:sz w:val="18"/>
          <w:szCs w:val="18"/>
          <w:color w:val="auto"/>
        </w:rPr>
        <w:t>. Reinvestment of dividends in additional Restricted Stock at the time of any dividend payment, and the payment of Shares with respect to dividends to Participants holding Awards of RSUs, shall only be permissible if sufficient Shares are available under Section 4 for such reinvestment or payment (taking into account then outstanding Awards). In the event that sufficient Shares are not available for such reinvestment or payment, such reinvestment or payment shall be made in the form of a grant of RSUs equal in number to the Shares that would have been obtained by such payment or reinvestment, the terms of which RSUs shall provide for settlement in cash and for dividend equivalent reinvestment in further RSUs on the terms contemplated by this Section 16(e). Any dividend equivalents granted with respect to an Award will be payable to the Participant only if, when and to the extent such underlying Award vests, and that dividend equivalent rights granted with respect to Awards that do not vest will be forfeited. For the avoidance of doubt, dividends and dividend equivalents shall not be payable with respect to Options or SARs.</w:t>
      </w:r>
    </w:p>
    <w:p>
      <w:pPr>
        <w:spacing w:after="0" w:line="187" w:lineRule="exact"/>
        <w:rPr>
          <w:rFonts w:ascii="Times New Roman" w:cs="Times New Roman" w:eastAsia="Times New Roman" w:hAnsi="Times New Roman"/>
          <w:sz w:val="18"/>
          <w:szCs w:val="18"/>
          <w:color w:val="auto"/>
        </w:rPr>
      </w:pPr>
    </w:p>
    <w:p>
      <w:pPr>
        <w:jc w:val="both"/>
        <w:ind w:firstLine="515"/>
        <w:spacing w:after="0" w:line="260" w:lineRule="auto"/>
        <w:tabs>
          <w:tab w:leader="none" w:pos="118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Death Beneficiary</w:t>
      </w:r>
      <w:r>
        <w:rPr>
          <w:rFonts w:ascii="Times New Roman" w:cs="Times New Roman" w:eastAsia="Times New Roman" w:hAnsi="Times New Roman"/>
          <w:sz w:val="18"/>
          <w:szCs w:val="18"/>
          <w:color w:val="auto"/>
        </w:rPr>
        <w:t>. The Committee shall establish such procedures as it deems appropriate for a Participant to designate a beneficiary to whom any amounts payable in the event of such Participant’s death are to be paid or by whom any rights of such eligible Individual, after such Participant’s death, may be exercised.</w:t>
      </w:r>
    </w:p>
    <w:p>
      <w:pPr>
        <w:spacing w:after="0" w:line="177" w:lineRule="exact"/>
        <w:rPr>
          <w:rFonts w:ascii="Times New Roman" w:cs="Times New Roman" w:eastAsia="Times New Roman" w:hAnsi="Times New Roman"/>
          <w:sz w:val="18"/>
          <w:szCs w:val="18"/>
          <w:color w:val="auto"/>
        </w:rPr>
      </w:pPr>
    </w:p>
    <w:p>
      <w:pPr>
        <w:jc w:val="both"/>
        <w:ind w:firstLine="515"/>
        <w:spacing w:after="0" w:line="275" w:lineRule="auto"/>
        <w:tabs>
          <w:tab w:leader="none" w:pos="119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Subsidiary Employees</w:t>
      </w:r>
      <w:r>
        <w:rPr>
          <w:rFonts w:ascii="Times New Roman" w:cs="Times New Roman" w:eastAsia="Times New Roman" w:hAnsi="Times New Roman"/>
          <w:sz w:val="17"/>
          <w:szCs w:val="17"/>
          <w:color w:val="auto"/>
        </w:rPr>
        <w:t>.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should revert to the Company.</w:t>
      </w:r>
    </w:p>
    <w:p>
      <w:pPr>
        <w:spacing w:after="0" w:line="166" w:lineRule="exact"/>
        <w:rPr>
          <w:rFonts w:ascii="Times New Roman" w:cs="Times New Roman" w:eastAsia="Times New Roman" w:hAnsi="Times New Roman"/>
          <w:sz w:val="17"/>
          <w:szCs w:val="17"/>
          <w:color w:val="auto"/>
        </w:rPr>
      </w:pPr>
    </w:p>
    <w:p>
      <w:pPr>
        <w:jc w:val="both"/>
        <w:ind w:firstLine="515"/>
        <w:spacing w:after="0" w:line="260" w:lineRule="auto"/>
        <w:tabs>
          <w:tab w:leader="none" w:pos="119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Interpretation</w:t>
      </w:r>
      <w:r>
        <w:rPr>
          <w:rFonts w:ascii="Times New Roman" w:cs="Times New Roman" w:eastAsia="Times New Roman" w:hAnsi="Times New Roman"/>
          <w:sz w:val="18"/>
          <w:szCs w:val="18"/>
          <w:color w:val="auto"/>
        </w:rPr>
        <w:t>. This Plan and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177" w:lineRule="exact"/>
        <w:rPr>
          <w:rFonts w:ascii="Times New Roman" w:cs="Times New Roman" w:eastAsia="Times New Roman" w:hAnsi="Times New Roman"/>
          <w:sz w:val="18"/>
          <w:szCs w:val="18"/>
          <w:color w:val="auto"/>
        </w:rPr>
      </w:pPr>
    </w:p>
    <w:p>
      <w:pPr>
        <w:ind w:firstLine="515"/>
        <w:spacing w:after="0" w:line="275" w:lineRule="auto"/>
        <w:tabs>
          <w:tab w:leader="none" w:pos="108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Except as otherwise provided in Section 6(i) or by the Committee, Awards under this Plan are not transferable except by will or by laws of descent and distribution.</w:t>
      </w:r>
    </w:p>
    <w:p>
      <w:pPr>
        <w:spacing w:after="0" w:line="163" w:lineRule="exact"/>
        <w:rPr>
          <w:rFonts w:ascii="Times New Roman" w:cs="Times New Roman" w:eastAsia="Times New Roman" w:hAnsi="Times New Roman"/>
          <w:sz w:val="18"/>
          <w:szCs w:val="18"/>
          <w:color w:val="auto"/>
        </w:rPr>
      </w:pPr>
    </w:p>
    <w:p>
      <w:pPr>
        <w:jc w:val="both"/>
        <w:ind w:firstLine="515"/>
        <w:spacing w:after="0" w:line="252" w:lineRule="auto"/>
        <w:tabs>
          <w:tab w:leader="none" w:pos="10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Employees and Foreign Law Considerations</w:t>
      </w:r>
      <w:r>
        <w:rPr>
          <w:rFonts w:ascii="Times New Roman" w:cs="Times New Roman" w:eastAsia="Times New Roman" w:hAnsi="Times New Roman"/>
          <w:sz w:val="18"/>
          <w:szCs w:val="18"/>
          <w:color w:val="auto"/>
        </w:rPr>
        <w:t>.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or subplans as may be necessary or advisable to comply with such legal or regulatory provisions.</w:t>
      </w:r>
    </w:p>
    <w:p>
      <w:pPr>
        <w:spacing w:after="0" w:line="183" w:lineRule="exact"/>
        <w:rPr>
          <w:rFonts w:ascii="Times New Roman" w:cs="Times New Roman" w:eastAsia="Times New Roman" w:hAnsi="Times New Roman"/>
          <w:sz w:val="18"/>
          <w:szCs w:val="18"/>
          <w:color w:val="auto"/>
        </w:rPr>
      </w:pPr>
    </w:p>
    <w:p>
      <w:pPr>
        <w:jc w:val="both"/>
        <w:ind w:firstLine="515"/>
        <w:spacing w:after="0" w:line="262" w:lineRule="auto"/>
        <w:tabs>
          <w:tab w:leader="none" w:pos="105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of the Code</w:t>
      </w:r>
      <w:r>
        <w:rPr>
          <w:rFonts w:ascii="Times New Roman" w:cs="Times New Roman" w:eastAsia="Times New Roman" w:hAnsi="Times New Roman"/>
          <w:sz w:val="17"/>
          <w:szCs w:val="17"/>
          <w:color w:val="auto"/>
        </w:rPr>
        <w:t>. This Plan and Awards are intended to comply with or be exempt from the applicable requirements of Section 409A of the Code and shall be limited, construed, and interpreted in accordance with such intent.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 In no event may a Participant, directly or indirectly, designate the calendar year of any payment to be made under any Award.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The Participant shall be solely responsible for the payment of any taxes, penalties, interest, or other expenses incurred by the Participant with respect to any Award that is not compliant with or exempt from Section 409A,</w:t>
      </w:r>
    </w:p>
    <w:p>
      <w:pPr>
        <w:spacing w:after="0" w:line="6" w:lineRule="exact"/>
        <w:rPr>
          <w:sz w:val="20"/>
          <w:szCs w:val="20"/>
          <w:color w:val="auto"/>
        </w:rPr>
      </w:pPr>
    </w:p>
    <w:p>
      <w:pPr>
        <w:ind w:left="5400" w:right="760" w:hanging="5401"/>
        <w:spacing w:after="0" w:line="252" w:lineRule="auto"/>
        <w:rPr>
          <w:sz w:val="20"/>
          <w:szCs w:val="20"/>
          <w:color w:val="auto"/>
        </w:rPr>
      </w:pPr>
      <w:r>
        <w:rPr>
          <w:rFonts w:ascii="Times New Roman" w:cs="Times New Roman" w:eastAsia="Times New Roman" w:hAnsi="Times New Roman"/>
          <w:sz w:val="18"/>
          <w:szCs w:val="18"/>
          <w:color w:val="auto"/>
        </w:rPr>
        <w:t>and the Company shall have no responsibility to the Participant or any other party for the payment of such taxes, penalties interest or other expense. 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48260</wp:posOffset>
            </wp:positionV>
            <wp:extent cx="716026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both"/>
        <w:ind w:firstLine="515"/>
        <w:spacing w:after="0" w:line="250" w:lineRule="auto"/>
        <w:tabs>
          <w:tab w:leader="none" w:pos="123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will have been a member of the Board or of the Committee and any designee of the Board or Committee will be indemnified and held harmless by the Company against and from any loss, cost, liability, or expense that may be imposed on or reasonably incurred by him in connection with or resulting from any claim, action, suit, or proceeding to which he may be made party or in which he may be involved by reason of any determination, interpretation, action taken or failure to act under this Plan and against and from any and all amounts paid by him in settlement thereof, with the Company’s approval, or paid by him in satisfaction of any judgment in any such action, suit or proceeding against him, provided he will give the Company an opportunity, at its own expense, to handle and defend the same before he undertakes to handle and defend it on his own behalf. The foregoing right of indemnification will not be exclusive and will be independent of any other rights of indemnification to which such persons may be entitled under the Company’s Articles of Incorporation, By-laws, by contract, as a matter of law, or otherwise.</w:t>
      </w:r>
    </w:p>
    <w:p>
      <w:pPr>
        <w:spacing w:after="0" w:line="187" w:lineRule="exact"/>
        <w:rPr>
          <w:rFonts w:ascii="Times New Roman" w:cs="Times New Roman" w:eastAsia="Times New Roman" w:hAnsi="Times New Roman"/>
          <w:sz w:val="18"/>
          <w:szCs w:val="18"/>
          <w:color w:val="auto"/>
        </w:rPr>
      </w:pPr>
    </w:p>
    <w:p>
      <w:pPr>
        <w:jc w:val="both"/>
        <w:ind w:firstLine="515"/>
        <w:spacing w:after="0" w:line="251" w:lineRule="auto"/>
        <w:tabs>
          <w:tab w:leader="none" w:pos="10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Recoupment or “Clawback” Policy</w:t>
      </w:r>
      <w:r>
        <w:rPr>
          <w:rFonts w:ascii="Times New Roman" w:cs="Times New Roman" w:eastAsia="Times New Roman" w:hAnsi="Times New Roman"/>
          <w:sz w:val="18"/>
          <w:szCs w:val="18"/>
          <w:color w:val="auto"/>
        </w:rPr>
        <w:t>.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w:t>
      </w:r>
    </w:p>
    <w:p>
      <w:pPr>
        <w:spacing w:after="0" w:line="184" w:lineRule="exact"/>
        <w:rPr>
          <w:rFonts w:ascii="Times New Roman" w:cs="Times New Roman" w:eastAsia="Times New Roman" w:hAnsi="Times New Roman"/>
          <w:sz w:val="18"/>
          <w:szCs w:val="18"/>
          <w:color w:val="auto"/>
        </w:rPr>
      </w:pPr>
    </w:p>
    <w:p>
      <w:pPr>
        <w:jc w:val="both"/>
        <w:ind w:firstLine="560"/>
        <w:spacing w:after="0" w:line="253" w:lineRule="auto"/>
        <w:tabs>
          <w:tab w:leader="none" w:pos="102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4" w:lineRule="exact"/>
        <w:rPr>
          <w:sz w:val="20"/>
          <w:szCs w:val="20"/>
          <w:color w:val="auto"/>
        </w:rPr>
      </w:pPr>
    </w:p>
    <w:p>
      <w:pPr>
        <w:jc w:val="both"/>
        <w:ind w:firstLine="515"/>
        <w:spacing w:after="0" w:line="262" w:lineRule="auto"/>
        <w:tabs>
          <w:tab w:leader="none" w:pos="1171"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 As a condition of receipt of any Award, each Participant explicitly and unambiguously consents to the collection, use, and transfer, in electronic or other form, of personal data as described in this Section 16(o)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57785</wp:posOffset>
            </wp:positionV>
            <wp:extent cx="716026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8133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260" cy="8133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990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260" cy="799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990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260" cy="799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79902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260" cy="799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x"/>
      <w:numFmt w:val="bullet"/>
      <w:start w:val="1"/>
    </w:lvl>
  </w:abstractNum>
  <w:abstractNum w:abstractNumId="1">
    <w:nsid w:val="2F305DEF"/>
    <w:multiLevelType w:val="hybridMultilevel"/>
    <w:lvl w:ilvl="0">
      <w:lvlJc w:val="left"/>
      <w:lvlText w:val="o"/>
      <w:numFmt w:val="bullet"/>
      <w:start w:val="1"/>
    </w:lvl>
  </w:abstractNum>
  <w:abstractNum w:abstractNumId="2">
    <w:nsid w:val="25A70BF7"/>
    <w:multiLevelType w:val="hybridMultilevel"/>
    <w:lvl w:ilvl="0">
      <w:lvlJc w:val="left"/>
      <w:lvlText w:val="x"/>
      <w:numFmt w:val="bullet"/>
      <w:start w:val="1"/>
    </w:lvl>
  </w:abstractNum>
  <w:abstractNum w:abstractNumId="3">
    <w:nsid w:val="1DBABF00"/>
    <w:multiLevelType w:val="hybridMultilevel"/>
    <w:lvl w:ilvl="0">
      <w:lvlJc w:val="left"/>
      <w:lvlText w:val="o"/>
      <w:numFmt w:val="bullet"/>
      <w:start w:val="1"/>
    </w:lvl>
  </w:abstractNum>
  <w:abstractNum w:abstractNumId="4">
    <w:nsid w:val="4AD084E9"/>
    <w:multiLevelType w:val="hybridMultilevel"/>
    <w:lvl w:ilvl="0">
      <w:lvlJc w:val="left"/>
      <w:lvlText w:val="x"/>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1."/>
      <w:numFmt w:val="decimal"/>
      <w:start w:val="1"/>
    </w:lvl>
  </w:abstractNum>
  <w:abstractNum w:abstractNumId="8">
    <w:nsid w:val="100F8FCA"/>
    <w:multiLevelType w:val="hybridMultilevel"/>
    <w:lvl w:ilvl="0">
      <w:lvlJc w:val="left"/>
      <w:lvlText w:val="(%1)"/>
      <w:numFmt w:val="lowerRoman"/>
      <w:start w:val="2"/>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1)"/>
      <w:numFmt w:val="decimal"/>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1)"/>
      <w:numFmt w:val="lowerRoman"/>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1)"/>
      <w:numFmt w:val="decimal"/>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1)"/>
      <w:numFmt w:val="lowerRoman"/>
      <w:start w:val="3"/>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1)"/>
      <w:numFmt w:val="decimal"/>
      <w:start w:val="1"/>
    </w:lvl>
  </w:abstractNum>
  <w:abstractNum w:abstractNumId="43">
    <w:nsid w:val="94211F2"/>
    <w:multiLevelType w:val="hybridMultilevel"/>
    <w:lvl w:ilvl="0">
      <w:lvlJc w:val="left"/>
      <w:lvlText w:val="(%1)"/>
      <w:numFmt w:val="decimal"/>
      <w:start w:val="1"/>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1)"/>
      <w:numFmt w:val="decimal"/>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1)"/>
      <w:numFmt w:val="decimal"/>
      <w:start w:val="5"/>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
      <w:numFmt w:val="bullet"/>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
      <w:numFmt w:val="bullet"/>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1)"/>
      <w:numFmt w:val="lowerRoman"/>
      <w:start w:val="1"/>
    </w:lvl>
  </w:abstractNum>
  <w:abstractNum w:abstractNumId="64">
    <w:nsid w:val="5FB8370B"/>
    <w:multiLevelType w:val="hybridMultilevel"/>
    <w:lvl w:ilvl="0">
      <w:lvlJc w:val="left"/>
      <w:lvlText w:val="(%1)"/>
      <w:numFmt w:val="lowerRoman"/>
      <w:start w:val="3"/>
    </w:lvl>
  </w:abstractNum>
  <w:abstractNum w:abstractNumId="65">
    <w:nsid w:val="50801EE1"/>
    <w:multiLevelType w:val="hybridMultilevel"/>
    <w:lvl w:ilvl="0">
      <w:lvlJc w:val="left"/>
      <w:lvlText w:val="(%1)"/>
      <w:numFmt w:val="lowerLetter"/>
      <w:start w:val="25"/>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
      <w:numFmt w:val="bullet"/>
      <w:start w:val="1"/>
    </w:lvl>
    <w:lvl w:ilvl="1">
      <w:lvlJc w:val="left"/>
      <w:lvlText w:val="(%2)"/>
      <w:numFmt w:val="decimal"/>
      <w:start w:val="1"/>
    </w:lvl>
  </w:abstractNum>
  <w:abstractNum w:abstractNumId="73">
    <w:nsid w:val="5F3534A4"/>
    <w:multiLevelType w:val="hybridMultilevel"/>
    <w:lvl w:ilvl="0">
      <w:lvlJc w:val="left"/>
      <w:lvlText w:val="(%1)"/>
      <w:numFmt w:val="decimal"/>
      <w:start w:val="3"/>
    </w:lvl>
  </w:abstractNum>
  <w:abstractNum w:abstractNumId="74">
    <w:nsid w:val="73A1821B"/>
    <w:multiLevelType w:val="hybridMultilevel"/>
    <w:lvl w:ilvl="0">
      <w:lvlJc w:val="left"/>
      <w:lvlText w:val="•"/>
      <w:numFmt w:val="bullet"/>
      <w:start w:val="1"/>
    </w:lvl>
  </w:abstractNum>
  <w:abstractNum w:abstractNumId="75">
    <w:nsid w:val="7DE67713"/>
    <w:multiLevelType w:val="hybridMultilevel"/>
    <w:lvl w:ilvl="0">
      <w:lvlJc w:val="left"/>
      <w:lvlText w:val="(%1)"/>
      <w:numFmt w:val="lowerRoman"/>
      <w:start w:val="1"/>
    </w:lvl>
  </w:abstractNum>
  <w:abstractNum w:abstractNumId="76">
    <w:nsid w:val="555C55B5"/>
    <w:multiLevelType w:val="hybridMultilevel"/>
    <w:lvl w:ilvl="0">
      <w:lvlJc w:val="left"/>
      <w:lvlText w:val="%1."/>
      <w:numFmt w:val="upperLetter"/>
      <w:start w:val="1"/>
    </w:lvl>
  </w:abstractNum>
  <w:abstractNum w:abstractNumId="77">
    <w:nsid w:val="3FA62ACA"/>
    <w:multiLevelType w:val="hybridMultilevel"/>
    <w:lvl w:ilvl="0">
      <w:lvlJc w:val="left"/>
      <w:lvlText w:val="%1)"/>
      <w:numFmt w:val="upperLetter"/>
      <w:start w:val="1"/>
    </w:lvl>
  </w:abstractNum>
  <w:abstractNum w:abstractNumId="78">
    <w:nsid w:val="14FCE74E"/>
    <w:multiLevelType w:val="hybridMultilevel"/>
    <w:lvl w:ilvl="0">
      <w:lvlJc w:val="left"/>
      <w:lvlText w:val="%1."/>
      <w:numFmt w:val="lowerRoman"/>
      <w:start w:val="1"/>
    </w:lvl>
  </w:abstractNum>
  <w:abstractNum w:abstractNumId="79">
    <w:nsid w:val="6A3DD3E8"/>
    <w:multiLevelType w:val="hybridMultilevel"/>
    <w:lvl w:ilvl="0">
      <w:lvlJc w:val="left"/>
      <w:lvlText w:val="%1)"/>
      <w:numFmt w:val="upperLetter"/>
      <w:start w:val="2"/>
    </w:lvl>
  </w:abstractNum>
  <w:abstractNum w:abstractNumId="80">
    <w:nsid w:val="71C91298"/>
    <w:multiLevelType w:val="hybridMultilevel"/>
    <w:lvl w:ilvl="0">
      <w:lvlJc w:val="left"/>
      <w:lvlText w:val="%1."/>
      <w:numFmt w:val="lowerRoman"/>
      <w:start w:val="1"/>
    </w:lvl>
  </w:abstractNum>
  <w:abstractNum w:abstractNumId="81">
    <w:nsid w:val="9DAF632"/>
    <w:multiLevelType w:val="hybridMultilevel"/>
    <w:lvl w:ilvl="0">
      <w:lvlJc w:val="left"/>
      <w:lvlText w:val="%1)"/>
      <w:numFmt w:val="upperLetter"/>
      <w:start w:val="3"/>
    </w:lvl>
  </w:abstractNum>
  <w:abstractNum w:abstractNumId="82">
    <w:nsid w:val="53299938"/>
    <w:multiLevelType w:val="hybridMultilevel"/>
    <w:lvl w:ilvl="0">
      <w:lvlJc w:val="left"/>
      <w:lvlText w:val="%1."/>
      <w:numFmt w:val="lowerRoman"/>
      <w:start w:val="1"/>
    </w:lvl>
  </w:abstractNum>
  <w:abstractNum w:abstractNumId="83">
    <w:nsid w:val="1FBFE8E0"/>
    <w:multiLevelType w:val="hybridMultilevel"/>
    <w:lvl w:ilvl="0">
      <w:lvlJc w:val="left"/>
      <w:lvlText w:val="%1)"/>
      <w:numFmt w:val="upperLetter"/>
      <w:start w:val="4"/>
    </w:lvl>
  </w:abstractNum>
  <w:abstractNum w:abstractNumId="84">
    <w:nsid w:val="5092CA79"/>
    <w:multiLevelType w:val="hybridMultilevel"/>
    <w:lvl w:ilvl="0">
      <w:lvlJc w:val="left"/>
      <w:lvlText w:val="%1)"/>
      <w:numFmt w:val="upperLetter"/>
      <w:start w:val="1"/>
    </w:lvl>
  </w:abstractNum>
  <w:abstractNum w:abstractNumId="85">
    <w:nsid w:val="1D545C4D"/>
    <w:multiLevelType w:val="hybridMultilevel"/>
    <w:lvl w:ilvl="0">
      <w:lvlJc w:val="left"/>
      <w:lvlText w:val="%1)"/>
      <w:numFmt w:val="upperLetter"/>
      <w:start w:val="2"/>
    </w:lvl>
  </w:abstractNum>
  <w:abstractNum w:abstractNumId="86">
    <w:nsid w:val="59ADEA3D"/>
    <w:multiLevelType w:val="hybridMultilevel"/>
    <w:lvl w:ilvl="0">
      <w:lvlJc w:val="left"/>
      <w:lvlText w:val="%1)"/>
      <w:numFmt w:val="upperLetter"/>
      <w:start w:val="3"/>
    </w:lvl>
  </w:abstractNum>
  <w:abstractNum w:abstractNumId="87">
    <w:nsid w:val="288F1A34"/>
    <w:multiLevelType w:val="hybridMultilevel"/>
    <w:lvl w:ilvl="0">
      <w:lvlJc w:val="left"/>
      <w:lvlText w:val="%1)"/>
      <w:numFmt w:val="upperLetter"/>
      <w:start w:val="1"/>
    </w:lvl>
  </w:abstractNum>
  <w:abstractNum w:abstractNumId="88">
    <w:nsid w:val="2A155DBC"/>
    <w:multiLevelType w:val="hybridMultilevel"/>
    <w:lvl w:ilvl="0">
      <w:lvlJc w:val="left"/>
      <w:lvlText w:val="%1)"/>
      <w:numFmt w:val="upperLetter"/>
      <w:start w:val="2"/>
    </w:lvl>
  </w:abstractNum>
  <w:abstractNum w:abstractNumId="89">
    <w:nsid w:val="1D9F6E5F"/>
    <w:multiLevelType w:val="hybridMultilevel"/>
    <w:lvl w:ilvl="0">
      <w:lvlJc w:val="left"/>
      <w:lvlText w:val="%1)"/>
      <w:numFmt w:val="upperLetter"/>
      <w:start w:val="3"/>
    </w:lvl>
  </w:abstractNum>
  <w:abstractNum w:abstractNumId="90">
    <w:nsid w:val="97E1B4E"/>
    <w:multiLevelType w:val="hybridMultilevel"/>
    <w:lvl w:ilvl="0">
      <w:lvlJc w:val="left"/>
      <w:lvlText w:val="%1)"/>
      <w:numFmt w:val="upperLetter"/>
      <w:start w:val="1"/>
    </w:lvl>
  </w:abstractNum>
  <w:abstractNum w:abstractNumId="91">
    <w:nsid w:val="51088277"/>
    <w:multiLevelType w:val="hybridMultilevel"/>
    <w:lvl w:ilvl="0">
      <w:lvlJc w:val="left"/>
      <w:lvlText w:val="%1)"/>
      <w:numFmt w:val="upperLetter"/>
      <w:start w:val="1"/>
    </w:lvl>
  </w:abstractNum>
  <w:abstractNum w:abstractNumId="92">
    <w:nsid w:val="1CA0C5FA"/>
    <w:multiLevelType w:val="hybridMultilevel"/>
    <w:lvl w:ilvl="0">
      <w:lvlJc w:val="left"/>
      <w:lvlText w:val="%1)"/>
      <w:numFmt w:val="upperLetter"/>
      <w:start w:val="2"/>
    </w:lvl>
  </w:abstractNum>
  <w:abstractNum w:abstractNumId="93">
    <w:nsid w:val="53584BCB"/>
    <w:multiLevelType w:val="hybridMultilevel"/>
    <w:lvl w:ilvl="0">
      <w:lvlJc w:val="left"/>
      <w:lvlText w:val="%1)"/>
      <w:numFmt w:val="upperLetter"/>
      <w:start w:val="3"/>
    </w:lvl>
  </w:abstractNum>
  <w:abstractNum w:abstractNumId="94">
    <w:nsid w:val="415E286C"/>
    <w:multiLevelType w:val="hybridMultilevel"/>
    <w:lvl w:ilvl="0">
      <w:lvlJc w:val="left"/>
      <w:lvlText w:val="%1)"/>
      <w:numFmt w:val="upperLetter"/>
      <w:start w:val="4"/>
    </w:lvl>
  </w:abstractNum>
  <w:abstractNum w:abstractNumId="95">
    <w:nsid w:val="7C58FD05"/>
    <w:multiLevelType w:val="hybridMultilevel"/>
    <w:lvl w:ilvl="0">
      <w:lvlJc w:val="left"/>
      <w:lvlText w:val="%1)"/>
      <w:numFmt w:val="upperLetter"/>
      <w:start w:val="5"/>
    </w:lvl>
  </w:abstractNum>
  <w:abstractNum w:abstractNumId="96">
    <w:nsid w:val="23D86AAC"/>
    <w:multiLevelType w:val="hybridMultilevel"/>
    <w:lvl w:ilvl="0">
      <w:lvlJc w:val="left"/>
      <w:lvlText w:val="%1)"/>
      <w:numFmt w:val="upperLetter"/>
      <w:start w:val="6"/>
    </w:lvl>
  </w:abstractNum>
  <w:abstractNum w:abstractNumId="97">
    <w:nsid w:val="45E6D486"/>
    <w:multiLevelType w:val="hybridMultilevel"/>
    <w:lvl w:ilvl="0">
      <w:lvlJc w:val="left"/>
      <w:lvlText w:val="(%1)"/>
      <w:numFmt w:val="lowerRoman"/>
      <w:start w:val="1"/>
    </w:lvl>
  </w:abstractNum>
  <w:abstractNum w:abstractNumId="98">
    <w:nsid w:val="5C10FE21"/>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99">
    <w:nsid w:val="E7FFA2B"/>
    <w:multiLevelType w:val="hybridMultilevel"/>
    <w:lvl w:ilvl="0">
      <w:lvlJc w:val="left"/>
      <w:lvlText w:val="%1)"/>
      <w:numFmt w:val="upperLetter"/>
      <w:start w:val="2"/>
    </w:lvl>
    <w:lvl w:ilvl="1">
      <w:lvlJc w:val="left"/>
      <w:lvlText w:val="%2"/>
      <w:numFmt w:val="upperLetter"/>
      <w:start w:val="1"/>
    </w:lvl>
    <w:lvl w:ilvl="2">
      <w:lvlJc w:val="left"/>
      <w:lvlText w:val="%3"/>
      <w:numFmt w:val="lowerRoman"/>
      <w:start w:val="1"/>
    </w:lvl>
  </w:abstractNum>
  <w:abstractNum w:abstractNumId="100">
    <w:nsid w:val="3C5991AA"/>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1"/>
    </w:lvl>
    <w:lvl w:ilvl="1">
      <w:lvlJc w:val="left"/>
      <w:lvlText w:val="(%2)"/>
      <w:numFmt w:val="lowerRoman"/>
      <w:start w:val="1"/>
    </w:lvl>
  </w:abstractNum>
  <w:abstractNum w:abstractNumId="103">
    <w:nsid w:val="39B7AAA2"/>
    <w:multiLevelType w:val="hybridMultilevel"/>
    <w:lvl w:ilvl="0">
      <w:lvlJc w:val="left"/>
      <w:lvlText w:val="(%1)"/>
      <w:numFmt w:val="lowerLetter"/>
      <w:start w:val="4"/>
    </w:lvl>
  </w:abstractNum>
  <w:abstractNum w:abstractNumId="104">
    <w:nsid w:val="2B0D8DBE"/>
    <w:multiLevelType w:val="hybridMultilevel"/>
    <w:lvl w:ilvl="0">
      <w:lvlJc w:val="left"/>
      <w:lvlText w:val="(%1)"/>
      <w:numFmt w:val="lowerLetter"/>
      <w:start w:val="1"/>
    </w:lvl>
    <w:lvl w:ilvl="1">
      <w:lvlJc w:val="left"/>
      <w:lvlText w:val="(%2)"/>
      <w:numFmt w:val="lowerRoman"/>
      <w:start w:val="1"/>
    </w:lvl>
  </w:abstractNum>
  <w:abstractNum w:abstractNumId="105">
    <w:nsid w:val="6C80EC70"/>
    <w:multiLevelType w:val="hybridMultilevel"/>
    <w:lvl w:ilvl="0">
      <w:lvlJc w:val="left"/>
      <w:lvlText w:val="%1"/>
      <w:numFmt w:val="lowerLetter"/>
      <w:start w:val="1"/>
    </w:lvl>
    <w:lvl w:ilvl="1">
      <w:lvlJc w:val="left"/>
      <w:lvlText w:val="(%2)"/>
      <w:numFmt w:val="lowerRoman"/>
      <w:start w:val="4"/>
    </w:lvl>
  </w:abstractNum>
  <w:abstractNum w:abstractNumId="106">
    <w:nsid w:val="379E21B5"/>
    <w:multiLevelType w:val="hybridMultilevel"/>
    <w:lvl w:ilvl="0">
      <w:lvlJc w:val="left"/>
      <w:lvlText w:val="(%1)"/>
      <w:numFmt w:val="lowerLetter"/>
      <w:start w:val="5"/>
    </w:lvl>
    <w:lvl w:ilvl="1">
      <w:lvlJc w:val="left"/>
      <w:lvlText w:val="%2"/>
      <w:numFmt w:val="lowerRoman"/>
      <w:start w:val="1"/>
    </w:lvl>
  </w:abstractNum>
  <w:abstractNum w:abstractNumId="107">
    <w:nsid w:val="69E373"/>
    <w:multiLevelType w:val="hybridMultilevel"/>
    <w:lvl w:ilvl="0">
      <w:lvlJc w:val="left"/>
      <w:lvlText w:val="(%1)"/>
      <w:numFmt w:val="lowerLetter"/>
      <w:start w:val="1"/>
    </w:lvl>
    <w:lvl w:ilvl="1">
      <w:lvlJc w:val="left"/>
      <w:lvlText w:val="(%2)"/>
      <w:numFmt w:val="lowerRoman"/>
      <w:start w:val="1"/>
    </w:lvl>
  </w:abstractNum>
  <w:abstractNum w:abstractNumId="108">
    <w:nsid w:val="2C27173B"/>
    <w:multiLevelType w:val="hybridMultilevel"/>
    <w:lvl w:ilvl="0">
      <w:lvlJc w:val="left"/>
      <w:lvlText w:val="%1"/>
      <w:numFmt w:val="lowerLetter"/>
      <w:start w:val="1"/>
    </w:lvl>
    <w:lvl w:ilvl="1">
      <w:lvlJc w:val="left"/>
      <w:lvlText w:val="(%2)"/>
      <w:numFmt w:val="lowerLetter"/>
      <w:start w:val="61"/>
    </w:lvl>
  </w:abstractNum>
  <w:abstractNum w:abstractNumId="109">
    <w:nsid w:val="4C9B0904"/>
    <w:multiLevelType w:val="hybridMultilevel"/>
    <w:lvl w:ilvl="0">
      <w:lvlJc w:val="left"/>
      <w:lvlText w:val="(%1)"/>
      <w:numFmt w:val="lowerLetter"/>
      <w:start w:val="8"/>
    </w:lvl>
    <w:lvl w:ilvl="1">
      <w:lvlJc w:val="left"/>
      <w:lvlText w:val="%2"/>
      <w:numFmt w:val="lowerLetter"/>
      <w:start w:val="1"/>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2"/>
    </w:lvl>
    <w:lvl w:ilvl="1">
      <w:lvlJc w:val="left"/>
      <w:lvlText w:val="(%2)"/>
      <w:numFmt w:val="lowerRoman"/>
      <w:start w:val="1"/>
    </w:lvl>
  </w:abstractNum>
  <w:abstractNum w:abstractNumId="112">
    <w:nsid w:val="5675FF36"/>
    <w:multiLevelType w:val="hybridMultilevel"/>
    <w:lvl w:ilvl="0">
      <w:lvlJc w:val="left"/>
      <w:lvlText w:val="(%1)"/>
      <w:numFmt w:val="lowerRoman"/>
      <w:start w:val="4"/>
    </w:lvl>
  </w:abstractNum>
  <w:abstractNum w:abstractNumId="113">
    <w:nsid w:val="3DD15094"/>
    <w:multiLevelType w:val="hybridMultilevel"/>
    <w:lvl w:ilvl="0">
      <w:lvlJc w:val="left"/>
      <w:lvlText w:val="(%1)"/>
      <w:numFmt w:val="lowerLetter"/>
      <w:start w:val="1"/>
    </w:lvl>
    <w:lvl w:ilvl="1">
      <w:lvlJc w:val="left"/>
      <w:lvlText w:val="(%2)"/>
      <w:numFmt w:val="lowerRoman"/>
      <w:start w:val="1"/>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3"/>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1"/>
    </w:lvl>
    <w:lvl w:ilvl="1">
      <w:lvlJc w:val="left"/>
      <w:lvlText w:val="(%2)"/>
      <w:numFmt w:val="lowerRoman"/>
      <w:start w:val="1"/>
    </w:lvl>
  </w:abstractNum>
  <w:abstractNum w:abstractNumId="118">
    <w:nsid w:val="4F97E3E4"/>
    <w:multiLevelType w:val="hybridMultilevel"/>
    <w:lvl w:ilvl="0">
      <w:lvlJc w:val="left"/>
      <w:lvlText w:val="%1"/>
      <w:numFmt w:val="lowerLetter"/>
      <w:start w:val="1"/>
    </w:lvl>
    <w:lvl w:ilvl="1">
      <w:lvlJc w:val="left"/>
      <w:lvlText w:val="(%2)"/>
      <w:numFmt w:val="lowerLetter"/>
      <w:start w:val="22"/>
    </w:lvl>
  </w:abstractNum>
  <w:abstractNum w:abstractNumId="119">
    <w:nsid w:val="53B0A9E"/>
    <w:multiLevelType w:val="hybridMultilevel"/>
    <w:lvl w:ilvl="0">
      <w:lvlJc w:val="left"/>
      <w:lvlText w:val="(%1)"/>
      <w:numFmt w:val="lowerLetter"/>
      <w:start w:val="2"/>
    </w:lvl>
    <w:lvl w:ilvl="1">
      <w:lvlJc w:val="left"/>
      <w:lvlText w:val="%2"/>
      <w:numFmt w:val="lowerLetter"/>
      <w:start w:val="1"/>
    </w:lvl>
  </w:abstractNum>
  <w:abstractNum w:abstractNumId="120">
    <w:nsid w:val="34FD6B4F"/>
    <w:multiLevelType w:val="hybridMultilevel"/>
    <w:lvl w:ilvl="0">
      <w:lvlJc w:val="left"/>
      <w:lvlText w:val="(%1)"/>
      <w:numFmt w:val="lowerLetter"/>
      <w:start w:val="1"/>
    </w:lvl>
    <w:lvl w:ilvl="1">
      <w:lvlJc w:val="left"/>
      <w:lvlText w:val="(%2)"/>
      <w:numFmt w:val="lowerRoman"/>
      <w:start w:val="1"/>
    </w:lvl>
  </w:abstractNum>
  <w:abstractNum w:abstractNumId="121">
    <w:nsid w:val="5915FF32"/>
    <w:multiLevelType w:val="hybridMultilevel"/>
    <w:lvl w:ilvl="0">
      <w:lvlJc w:val="left"/>
      <w:lvlText w:val="(%1)"/>
      <w:numFmt w:val="lowerLetter"/>
      <w:start w:val="2"/>
    </w:lvl>
    <w:lvl w:ilvl="1">
      <w:lvlJc w:val="left"/>
      <w:lvlText w:val="(%2)"/>
      <w:numFmt w:val="lowerRoman"/>
      <w:start w:val="1"/>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lowerLetter"/>
      <w:start w:val="2"/>
    </w:lvl>
  </w:abstractNum>
  <w:abstractNum w:abstractNumId="124">
    <w:nsid w:val="2C6E4AFD"/>
    <w:multiLevelType w:val="hybridMultilevel"/>
    <w:lvl w:ilvl="0">
      <w:lvlJc w:val="left"/>
      <w:lvlText w:val="(%1)"/>
      <w:numFmt w:val="lowerLetter"/>
      <w:start w:val="1"/>
    </w:lvl>
  </w:abstractNum>
  <w:abstractNum w:abstractNumId="125">
    <w:nsid w:val="17A1B582"/>
    <w:multiLevelType w:val="hybridMultilevel"/>
    <w:lvl w:ilvl="0">
      <w:lvlJc w:val="left"/>
      <w:lvlText w:val="(%1)"/>
      <w:numFmt w:val="lowerLetter"/>
      <w:start w:val="5"/>
    </w:lvl>
  </w:abstractNum>
  <w:abstractNum w:abstractNumId="126">
    <w:nsid w:val="4DF72E4E"/>
    <w:multiLevelType w:val="hybridMultilevel"/>
    <w:lvl w:ilvl="0">
      <w:lvlJc w:val="left"/>
      <w:lvlText w:val="(%1)"/>
      <w:numFmt w:val="lowerLetter"/>
      <w:start w:val="12"/>
    </w:lvl>
    <w:lvl w:ilvl="1">
      <w:lvlJc w:val="left"/>
      <w:lvlText w:val="(%2)"/>
      <w:numFmt w:val="lowerLetter"/>
      <w:start w:val="14"/>
    </w:lvl>
  </w:abstractNum>
  <w:abstractNum w:abstractNumId="127">
    <w:nsid w:val="5046B5A9"/>
    <w:multiLevelType w:val="hybridMultilevel"/>
    <w:lvl w:ilvl="0">
      <w:lvlJc w:val="left"/>
      <w:lvlText w:val="(%1)"/>
      <w:numFmt w:val="lowerLetter"/>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2023-04-10T12:12:04Z</dcterms:created>
  <dcterms:modified xsi:type="dcterms:W3CDTF">2023-04-10T12:12:04Z</dcterms:modified>
</cp:coreProperties>
</file>