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0477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04774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Rijvers Christiaan-Pepijn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420" w:type="dxa"/>
            <w:vAlign w:val="bottom"/>
            <w:tcBorders>
              <w:top w:val="single" w:sz="8" w:color="0000EE"/>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04/28/2026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TripAdvisor,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TRIP</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8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1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400 1ST AVENUE</w:t>
            </w:r>
          </w:p>
        </w:tc>
        <w:tc>
          <w:tcPr>
            <w:tcW w:w="130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TRIPADVISOR, INC.</w:t>
            </w:r>
          </w:p>
        </w:tc>
      </w:tr>
      <w:tr>
        <w:trPr>
          <w:trHeight w:val="177"/>
        </w:trPr>
        <w:tc>
          <w:tcPr>
            <w:tcW w:w="7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1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NEEDHAM MA</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02494</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63"/>
        <w:spacing w:after="0"/>
        <w:rPr>
          <w:sz w:val="20"/>
          <w:szCs w:val="20"/>
          <w:color w:val="auto"/>
        </w:rPr>
      </w:pPr>
      <w:r>
        <w:rPr>
          <w:rFonts w:ascii="Times New Roman" w:cs="Times New Roman" w:eastAsia="Times New Roman" w:hAnsi="Times New Roman"/>
          <w:sz w:val="20"/>
          <w:szCs w:val="20"/>
          <w:color w:val="0000FF"/>
        </w:rPr>
        <w:t>Chief Business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310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720" w:type="dxa"/>
            <w:vAlign w:val="bottom"/>
          </w:tcPr>
          <w:p>
            <w:pPr>
              <w:ind w:left="720"/>
              <w:spacing w:after="0"/>
              <w:rPr>
                <w:sz w:val="20"/>
                <w:szCs w:val="20"/>
                <w:color w:val="auto"/>
              </w:rPr>
            </w:pPr>
            <w:r>
              <w:rPr>
                <w:rFonts w:ascii="Times New Roman" w:cs="Times New Roman" w:eastAsia="Times New Roman" w:hAnsi="Times New Roman"/>
                <w:sz w:val="20"/>
                <w:szCs w:val="20"/>
                <w:color w:val="0000FF"/>
              </w:rPr>
              <w:t>871</w:t>
            </w:r>
          </w:p>
        </w:tc>
        <w:tc>
          <w:tcPr>
            <w:tcW w:w="880" w:type="dxa"/>
            <w:vAlign w:val="bottom"/>
            <w:gridSpan w:val="2"/>
          </w:tcPr>
          <w:p>
            <w:pPr>
              <w:ind w:left="70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tcPr>
          <w:p>
            <w:pPr>
              <w:spacing w:after="0"/>
              <w:rPr>
                <w:sz w:val="9"/>
                <w:szCs w:val="9"/>
                <w:color w:val="auto"/>
              </w:rPr>
            </w:pPr>
          </w:p>
        </w:tc>
        <w:tc>
          <w:tcPr>
            <w:tcW w:w="4420" w:type="dxa"/>
            <w:vAlign w:val="bottom"/>
            <w:tcBorders>
              <w:bottom w:val="single" w:sz="8" w:color="2C2C2C"/>
            </w:tcBorders>
            <w:gridSpan w:val="4"/>
          </w:tcPr>
          <w:p>
            <w:pPr>
              <w:spacing w:after="0"/>
              <w:rPr>
                <w:sz w:val="9"/>
                <w:szCs w:val="9"/>
                <w:color w:val="auto"/>
              </w:rPr>
            </w:pPr>
          </w:p>
        </w:tc>
        <w:tc>
          <w:tcPr>
            <w:tcW w:w="1000" w:type="dxa"/>
            <w:vAlign w:val="bottom"/>
            <w:tcBorders>
              <w:bottom w:val="single" w:sz="8" w:color="2C2C2C"/>
            </w:tcBorders>
            <w:gridSpan w:val="2"/>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3100" w:type="dxa"/>
            <w:vAlign w:val="bottom"/>
            <w:tcBorders>
              <w:top w:val="single" w:sz="8" w:color="2C2C2C"/>
            </w:tcBorders>
          </w:tcPr>
          <w:p>
            <w:pPr>
              <w:spacing w:after="0"/>
              <w:rPr>
                <w:sz w:val="22"/>
                <w:szCs w:val="22"/>
                <w:color w:val="auto"/>
              </w:rPr>
            </w:pPr>
          </w:p>
        </w:tc>
        <w:tc>
          <w:tcPr>
            <w:tcW w:w="5420" w:type="dxa"/>
            <w:vAlign w:val="bottom"/>
            <w:tcBorders>
              <w:top w:val="single" w:sz="8" w:color="2C2C2C"/>
            </w:tcBorders>
            <w:gridSpan w:val="6"/>
          </w:tcPr>
          <w:p>
            <w:pPr>
              <w:ind w:left="6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520" w:type="dxa"/>
            <w:vAlign w:val="bottom"/>
            <w:gridSpan w:val="7"/>
          </w:tcPr>
          <w:p>
            <w:pPr>
              <w:ind w:left="2760"/>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0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1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20" w:type="dxa"/>
            <w:vAlign w:val="bottom"/>
          </w:tcPr>
          <w:p>
            <w:pPr>
              <w:spacing w:after="0"/>
              <w:rPr>
                <w:sz w:val="5"/>
                <w:szCs w:val="5"/>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2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2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100" w:type="dxa"/>
            <w:vAlign w:val="bottom"/>
          </w:tcPr>
          <w:p>
            <w:pPr>
              <w:ind w:left="80"/>
              <w:spacing w:after="0"/>
              <w:rPr>
                <w:sz w:val="20"/>
                <w:szCs w:val="20"/>
                <w:color w:val="auto"/>
              </w:rPr>
            </w:pPr>
            <w:r>
              <w:rPr>
                <w:rFonts w:ascii="Times New Roman" w:cs="Times New Roman" w:eastAsia="Times New Roman" w:hAnsi="Times New Roman"/>
                <w:sz w:val="20"/>
                <w:szCs w:val="20"/>
                <w:color w:val="0000FF"/>
                <w:w w:val="99"/>
              </w:rPr>
              <w:t>Restricted Stock Units (Performance-</w:t>
            </w:r>
          </w:p>
        </w:tc>
        <w:tc>
          <w:tcPr>
            <w:tcW w:w="980" w:type="dxa"/>
            <w:vAlign w:val="bottom"/>
            <w:vMerge w:val="restart"/>
          </w:tcPr>
          <w:p>
            <w:pPr>
              <w:ind w:left="160"/>
              <w:spacing w:after="0"/>
              <w:rPr>
                <w:sz w:val="20"/>
                <w:szCs w:val="20"/>
                <w:color w:val="auto"/>
              </w:rPr>
            </w:pPr>
            <w:r>
              <w:rPr>
                <w:rFonts w:ascii="Times New Roman" w:cs="Times New Roman" w:eastAsia="Times New Roman" w:hAnsi="Times New Roman"/>
                <w:sz w:val="15"/>
                <w:szCs w:val="15"/>
                <w:color w:val="0000FF"/>
              </w:rPr>
              <w:t>10/01/2025</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10/01/2026</w:t>
            </w:r>
          </w:p>
        </w:tc>
        <w:tc>
          <w:tcPr>
            <w:tcW w:w="1720" w:type="dxa"/>
            <w:vAlign w:val="bottom"/>
            <w:vMerge w:val="restart"/>
          </w:tcPr>
          <w:p>
            <w:pPr>
              <w:ind w:left="300"/>
              <w:spacing w:after="0"/>
              <w:rPr>
                <w:sz w:val="20"/>
                <w:szCs w:val="20"/>
                <w:color w:val="auto"/>
              </w:rPr>
            </w:pPr>
            <w:r>
              <w:rPr>
                <w:rFonts w:ascii="Times New Roman" w:cs="Times New Roman" w:eastAsia="Times New Roman" w:hAnsi="Times New Roman"/>
                <w:sz w:val="20"/>
                <w:szCs w:val="20"/>
                <w:color w:val="0000FF"/>
              </w:rPr>
              <w:t>Common Stock</w:t>
            </w: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0000FF"/>
              </w:rPr>
              <w:t>13,949</w:t>
            </w:r>
          </w:p>
        </w:tc>
        <w:tc>
          <w:tcPr>
            <w:tcW w:w="60" w:type="dxa"/>
            <w:vAlign w:val="bottom"/>
          </w:tcPr>
          <w:p>
            <w:pPr>
              <w:spacing w:after="0"/>
              <w:rPr>
                <w:sz w:val="24"/>
                <w:szCs w:val="24"/>
                <w:color w:val="auto"/>
              </w:rPr>
            </w:pPr>
          </w:p>
        </w:tc>
        <w:tc>
          <w:tcPr>
            <w:tcW w:w="940" w:type="dxa"/>
            <w:vAlign w:val="bottom"/>
            <w:vMerge w:val="restart"/>
          </w:tcPr>
          <w:p>
            <w:pPr>
              <w:ind w:left="220"/>
              <w:spacing w:after="0"/>
              <w:rPr>
                <w:sz w:val="20"/>
                <w:szCs w:val="20"/>
                <w:color w:val="auto"/>
              </w:rPr>
            </w:pPr>
            <w:r>
              <w:rPr>
                <w:rFonts w:ascii="Times New Roman" w:cs="Times New Roman" w:eastAsia="Times New Roman" w:hAnsi="Times New Roman"/>
                <w:sz w:val="20"/>
                <w:szCs w:val="20"/>
                <w:color w:val="0000FF"/>
              </w:rPr>
              <w:t>16.13</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10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Based)</w:t>
            </w:r>
          </w:p>
        </w:tc>
        <w:tc>
          <w:tcPr>
            <w:tcW w:w="9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1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100" w:type="dxa"/>
            <w:vAlign w:val="bottom"/>
          </w:tcPr>
          <w:p>
            <w:pPr>
              <w:ind w:left="80"/>
              <w:spacing w:after="0"/>
              <w:rPr>
                <w:sz w:val="20"/>
                <w:szCs w:val="20"/>
                <w:color w:val="auto"/>
              </w:rPr>
            </w:pPr>
            <w:r>
              <w:rPr>
                <w:rFonts w:ascii="Times New Roman" w:cs="Times New Roman" w:eastAsia="Times New Roman" w:hAnsi="Times New Roman"/>
                <w:sz w:val="20"/>
                <w:szCs w:val="20"/>
                <w:color w:val="0000FF"/>
                <w:w w:val="99"/>
              </w:rPr>
              <w:t>Restricted Stock Units (Performance-</w:t>
            </w:r>
          </w:p>
        </w:tc>
        <w:tc>
          <w:tcPr>
            <w:tcW w:w="980" w:type="dxa"/>
            <w:vAlign w:val="bottom"/>
            <w:vMerge w:val="restart"/>
          </w:tcPr>
          <w:p>
            <w:pPr>
              <w:ind w:left="160"/>
              <w:spacing w:after="0"/>
              <w:rPr>
                <w:sz w:val="20"/>
                <w:szCs w:val="20"/>
                <w:color w:val="auto"/>
              </w:rPr>
            </w:pPr>
            <w:r>
              <w:rPr>
                <w:rFonts w:ascii="Times New Roman" w:cs="Times New Roman" w:eastAsia="Times New Roman" w:hAnsi="Times New Roman"/>
                <w:sz w:val="15"/>
                <w:szCs w:val="15"/>
                <w:color w:val="0000FF"/>
              </w:rPr>
              <w:t>02/15/2028</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12/31/2028</w:t>
            </w:r>
          </w:p>
        </w:tc>
        <w:tc>
          <w:tcPr>
            <w:tcW w:w="1720" w:type="dxa"/>
            <w:vAlign w:val="bottom"/>
            <w:vMerge w:val="restart"/>
          </w:tcPr>
          <w:p>
            <w:pPr>
              <w:ind w:left="300"/>
              <w:spacing w:after="0"/>
              <w:rPr>
                <w:sz w:val="20"/>
                <w:szCs w:val="20"/>
                <w:color w:val="auto"/>
              </w:rPr>
            </w:pPr>
            <w:r>
              <w:rPr>
                <w:rFonts w:ascii="Times New Roman" w:cs="Times New Roman" w:eastAsia="Times New Roman" w:hAnsi="Times New Roman"/>
                <w:sz w:val="20"/>
                <w:szCs w:val="20"/>
                <w:color w:val="0000FF"/>
              </w:rPr>
              <w:t>Common Stock</w:t>
            </w: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0000FF"/>
              </w:rPr>
              <w:t>73,964</w:t>
            </w:r>
          </w:p>
        </w:tc>
        <w:tc>
          <w:tcPr>
            <w:tcW w:w="60" w:type="dxa"/>
            <w:vAlign w:val="bottom"/>
          </w:tcPr>
          <w:p>
            <w:pPr>
              <w:spacing w:after="0"/>
              <w:rPr>
                <w:sz w:val="24"/>
                <w:szCs w:val="24"/>
                <w:color w:val="auto"/>
              </w:rPr>
            </w:pPr>
          </w:p>
        </w:tc>
        <w:tc>
          <w:tcPr>
            <w:tcW w:w="940" w:type="dxa"/>
            <w:vAlign w:val="bottom"/>
            <w:vMerge w:val="restart"/>
          </w:tcPr>
          <w:p>
            <w:pPr>
              <w:ind w:left="220"/>
              <w:spacing w:after="0"/>
              <w:rPr>
                <w:sz w:val="20"/>
                <w:szCs w:val="20"/>
                <w:color w:val="auto"/>
              </w:rPr>
            </w:pPr>
            <w:r>
              <w:rPr>
                <w:rFonts w:ascii="Times New Roman" w:cs="Times New Roman" w:eastAsia="Times New Roman" w:hAnsi="Times New Roman"/>
                <w:sz w:val="20"/>
                <w:szCs w:val="20"/>
                <w:color w:val="0000FF"/>
              </w:rPr>
              <w:t>10.14</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10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Based)</w:t>
            </w:r>
          </w:p>
        </w:tc>
        <w:tc>
          <w:tcPr>
            <w:tcW w:w="9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1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10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Restricted Stock Units</w:t>
            </w:r>
          </w:p>
        </w:tc>
        <w:tc>
          <w:tcPr>
            <w:tcW w:w="980" w:type="dxa"/>
            <w:vAlign w:val="bottom"/>
          </w:tcPr>
          <w:p>
            <w:pPr>
              <w:ind w:left="160"/>
              <w:spacing w:after="0"/>
              <w:rPr>
                <w:sz w:val="20"/>
                <w:szCs w:val="20"/>
                <w:color w:val="auto"/>
              </w:rPr>
            </w:pPr>
            <w:r>
              <w:rPr>
                <w:rFonts w:ascii="Times New Roman" w:cs="Times New Roman" w:eastAsia="Times New Roman" w:hAnsi="Times New Roman"/>
                <w:sz w:val="15"/>
                <w:szCs w:val="15"/>
                <w:color w:val="0000FF"/>
              </w:rPr>
              <w:t>05/01/2026</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11/01/2028</w:t>
            </w:r>
          </w:p>
        </w:tc>
        <w:tc>
          <w:tcPr>
            <w:tcW w:w="172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Common Stock</w:t>
            </w:r>
          </w:p>
        </w:tc>
        <w:tc>
          <w:tcPr>
            <w:tcW w:w="82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13,949</w:t>
            </w:r>
          </w:p>
        </w:tc>
        <w:tc>
          <w:tcPr>
            <w:tcW w:w="60" w:type="dxa"/>
            <w:vAlign w:val="bottom"/>
          </w:tcPr>
          <w:p>
            <w:pPr>
              <w:spacing w:after="0"/>
              <w:rPr>
                <w:sz w:val="24"/>
                <w:szCs w:val="24"/>
                <w:color w:val="auto"/>
              </w:rPr>
            </w:pPr>
          </w:p>
        </w:tc>
        <w:tc>
          <w:tcPr>
            <w:tcW w:w="940" w:type="dxa"/>
            <w:vAlign w:val="bottom"/>
          </w:tcPr>
          <w:p>
            <w:pPr>
              <w:ind w:left="220"/>
              <w:spacing w:after="0"/>
              <w:rPr>
                <w:sz w:val="20"/>
                <w:szCs w:val="20"/>
                <w:color w:val="auto"/>
              </w:rPr>
            </w:pPr>
            <w:r>
              <w:rPr>
                <w:rFonts w:ascii="Times New Roman" w:cs="Times New Roman" w:eastAsia="Times New Roman" w:hAnsi="Times New Roman"/>
                <w:sz w:val="20"/>
                <w:szCs w:val="20"/>
                <w:color w:val="0000FF"/>
              </w:rPr>
              <w:t>16.13</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1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10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Restricted Stock Units</w:t>
            </w:r>
          </w:p>
        </w:tc>
        <w:tc>
          <w:tcPr>
            <w:tcW w:w="980" w:type="dxa"/>
            <w:vAlign w:val="bottom"/>
          </w:tcPr>
          <w:p>
            <w:pPr>
              <w:ind w:left="160"/>
              <w:spacing w:after="0"/>
              <w:rPr>
                <w:sz w:val="20"/>
                <w:szCs w:val="20"/>
                <w:color w:val="auto"/>
              </w:rPr>
            </w:pPr>
            <w:r>
              <w:rPr>
                <w:rFonts w:ascii="Times New Roman" w:cs="Times New Roman" w:eastAsia="Times New Roman" w:hAnsi="Times New Roman"/>
                <w:sz w:val="15"/>
                <w:szCs w:val="15"/>
                <w:color w:val="0000FF"/>
              </w:rPr>
              <w:t>02/15/2027</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02/15/2030</w:t>
            </w:r>
          </w:p>
        </w:tc>
        <w:tc>
          <w:tcPr>
            <w:tcW w:w="172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Common Stock</w:t>
            </w:r>
          </w:p>
        </w:tc>
        <w:tc>
          <w:tcPr>
            <w:tcW w:w="82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73,964</w:t>
            </w:r>
          </w:p>
        </w:tc>
        <w:tc>
          <w:tcPr>
            <w:tcW w:w="60" w:type="dxa"/>
            <w:vAlign w:val="bottom"/>
          </w:tcPr>
          <w:p>
            <w:pPr>
              <w:spacing w:after="0"/>
              <w:rPr>
                <w:sz w:val="24"/>
                <w:szCs w:val="24"/>
                <w:color w:val="auto"/>
              </w:rPr>
            </w:pPr>
          </w:p>
        </w:tc>
        <w:tc>
          <w:tcPr>
            <w:tcW w:w="940" w:type="dxa"/>
            <w:vAlign w:val="bottom"/>
          </w:tcPr>
          <w:p>
            <w:pPr>
              <w:ind w:left="220"/>
              <w:spacing w:after="0"/>
              <w:rPr>
                <w:sz w:val="20"/>
                <w:szCs w:val="20"/>
                <w:color w:val="auto"/>
              </w:rPr>
            </w:pPr>
            <w:r>
              <w:rPr>
                <w:rFonts w:ascii="Times New Roman" w:cs="Times New Roman" w:eastAsia="Times New Roman" w:hAnsi="Times New Roman"/>
                <w:sz w:val="20"/>
                <w:szCs w:val="20"/>
                <w:color w:val="0000FF"/>
              </w:rPr>
              <w:t>10.14</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1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10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Restricted Stock Units</w:t>
            </w:r>
          </w:p>
        </w:tc>
        <w:tc>
          <w:tcPr>
            <w:tcW w:w="980" w:type="dxa"/>
            <w:vAlign w:val="bottom"/>
          </w:tcPr>
          <w:p>
            <w:pPr>
              <w:ind w:left="160"/>
              <w:spacing w:after="0"/>
              <w:rPr>
                <w:sz w:val="20"/>
                <w:szCs w:val="20"/>
                <w:color w:val="auto"/>
              </w:rPr>
            </w:pPr>
            <w:r>
              <w:rPr>
                <w:rFonts w:ascii="Times New Roman" w:cs="Times New Roman" w:eastAsia="Times New Roman" w:hAnsi="Times New Roman"/>
                <w:sz w:val="15"/>
                <w:szCs w:val="15"/>
                <w:color w:val="0000FF"/>
              </w:rPr>
              <w:t>05/01/2026</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05/01/2028</w:t>
            </w:r>
          </w:p>
        </w:tc>
        <w:tc>
          <w:tcPr>
            <w:tcW w:w="172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Common Stock</w:t>
            </w:r>
          </w:p>
        </w:tc>
        <w:tc>
          <w:tcPr>
            <w:tcW w:w="82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59,101</w:t>
            </w:r>
          </w:p>
        </w:tc>
        <w:tc>
          <w:tcPr>
            <w:tcW w:w="60" w:type="dxa"/>
            <w:vAlign w:val="bottom"/>
          </w:tcPr>
          <w:p>
            <w:pPr>
              <w:spacing w:after="0"/>
              <w:rPr>
                <w:sz w:val="24"/>
                <w:szCs w:val="24"/>
                <w:color w:val="auto"/>
              </w:rPr>
            </w:pPr>
          </w:p>
        </w:tc>
        <w:tc>
          <w:tcPr>
            <w:tcW w:w="940" w:type="dxa"/>
            <w:vAlign w:val="bottom"/>
          </w:tcPr>
          <w:p>
            <w:pPr>
              <w:ind w:left="220"/>
              <w:spacing w:after="0"/>
              <w:rPr>
                <w:sz w:val="20"/>
                <w:szCs w:val="20"/>
                <w:color w:val="auto"/>
              </w:rPr>
            </w:pPr>
            <w:r>
              <w:rPr>
                <w:rFonts w:ascii="Times New Roman" w:cs="Times New Roman" w:eastAsia="Times New Roman" w:hAnsi="Times New Roman"/>
                <w:sz w:val="20"/>
                <w:szCs w:val="20"/>
                <w:color w:val="0000FF"/>
              </w:rPr>
              <w:t>12.69</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1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10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Linda C. Frazier,</w:t>
            </w:r>
          </w:p>
        </w:tc>
        <w:tc>
          <w:tcPr>
            <w:tcW w:w="62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05/05/2026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18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5"/>
              </w:rPr>
              <w:t>attorney in fact</w:t>
            </w:r>
          </w:p>
        </w:tc>
        <w:tc>
          <w:tcPr>
            <w:tcW w:w="1000" w:type="dxa"/>
            <w:vAlign w:val="bottom"/>
            <w:gridSpan w:val="2"/>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180" w:type="dxa"/>
            <w:vAlign w:val="bottom"/>
            <w:tcBorders>
              <w:bottom w:val="single" w:sz="8" w:color="auto"/>
            </w:tcBorders>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ind w:left="6387"/>
        <w:spacing w:after="0"/>
        <w:rPr>
          <w:sz w:val="20"/>
          <w:szCs w:val="20"/>
          <w:color w:val="auto"/>
        </w:rPr>
      </w:pPr>
      <w:r>
        <w:rPr>
          <w:rFonts w:ascii="Times New Roman" w:cs="Times New Roman" w:eastAsia="Times New Roman" w:hAnsi="Times New Roman"/>
          <w:sz w:val="34"/>
          <w:szCs w:val="34"/>
          <w:b w:val="1"/>
          <w:bCs w:val="1"/>
          <w:color w:val="auto"/>
        </w:rPr>
        <w:t>EXHIBIT 24</w:t>
      </w:r>
    </w:p>
    <w:p>
      <w:pPr>
        <w:spacing w:after="0" w:line="200" w:lineRule="exact"/>
        <w:rPr>
          <w:sz w:val="20"/>
          <w:szCs w:val="20"/>
          <w:color w:val="auto"/>
        </w:rPr>
      </w:pPr>
    </w:p>
    <w:p>
      <w:pPr>
        <w:spacing w:after="0" w:line="354" w:lineRule="exact"/>
        <w:rPr>
          <w:sz w:val="20"/>
          <w:szCs w:val="20"/>
          <w:color w:val="auto"/>
        </w:rPr>
      </w:pPr>
    </w:p>
    <w:p>
      <w:pPr>
        <w:ind w:left="2647"/>
        <w:spacing w:after="0"/>
        <w:rPr>
          <w:sz w:val="20"/>
          <w:szCs w:val="20"/>
          <w:color w:val="auto"/>
        </w:rPr>
      </w:pPr>
      <w:r>
        <w:rPr>
          <w:rFonts w:ascii="Times New Roman" w:cs="Times New Roman" w:eastAsia="Times New Roman" w:hAnsi="Times New Roman"/>
          <w:sz w:val="34"/>
          <w:szCs w:val="34"/>
          <w:b w:val="1"/>
          <w:bCs w:val="1"/>
          <w:color w:val="auto"/>
        </w:rPr>
        <w:t>Tripadvisor, Inc.</w:t>
      </w:r>
    </w:p>
    <w:p>
      <w:pPr>
        <w:spacing w:after="0" w:line="243" w:lineRule="exact"/>
        <w:rPr>
          <w:sz w:val="20"/>
          <w:szCs w:val="20"/>
          <w:color w:val="auto"/>
        </w:rPr>
      </w:pPr>
    </w:p>
    <w:p>
      <w:pPr>
        <w:jc w:val="center"/>
        <w:ind w:right="1712"/>
        <w:spacing w:after="0"/>
        <w:rPr>
          <w:sz w:val="20"/>
          <w:szCs w:val="20"/>
          <w:color w:val="auto"/>
        </w:rPr>
      </w:pPr>
      <w:r>
        <w:rPr>
          <w:rFonts w:ascii="Times New Roman" w:cs="Times New Roman" w:eastAsia="Times New Roman" w:hAnsi="Times New Roman"/>
          <w:sz w:val="29"/>
          <w:szCs w:val="29"/>
          <w:b w:val="1"/>
          <w:bCs w:val="1"/>
          <w:color w:val="auto"/>
        </w:rPr>
        <w:t>Power of Attorney</w:t>
      </w:r>
    </w:p>
    <w:p>
      <w:pPr>
        <w:spacing w:after="0" w:line="35" w:lineRule="exact"/>
        <w:rPr>
          <w:sz w:val="20"/>
          <w:szCs w:val="20"/>
          <w:color w:val="auto"/>
        </w:rPr>
      </w:pPr>
    </w:p>
    <w:p>
      <w:pPr>
        <w:jc w:val="center"/>
        <w:ind w:right="1712"/>
        <w:spacing w:after="0"/>
        <w:rPr>
          <w:sz w:val="20"/>
          <w:szCs w:val="20"/>
          <w:color w:val="auto"/>
        </w:rPr>
      </w:pPr>
      <w:r>
        <w:rPr>
          <w:rFonts w:ascii="Times New Roman" w:cs="Times New Roman" w:eastAsia="Times New Roman" w:hAnsi="Times New Roman"/>
          <w:sz w:val="29"/>
          <w:szCs w:val="29"/>
          <w:b w:val="1"/>
          <w:bCs w:val="1"/>
          <w:color w:val="auto"/>
        </w:rPr>
        <w:t>for Executing Forms 3, 4 and 5</w:t>
      </w:r>
    </w:p>
    <w:p>
      <w:pPr>
        <w:spacing w:after="0" w:line="389" w:lineRule="exact"/>
        <w:rPr>
          <w:sz w:val="20"/>
          <w:szCs w:val="20"/>
          <w:color w:val="auto"/>
        </w:rPr>
      </w:pPr>
    </w:p>
    <w:p>
      <w:pPr>
        <w:jc w:val="both"/>
        <w:ind w:left="47" w:right="1299"/>
        <w:spacing w:after="0" w:line="266" w:lineRule="auto"/>
        <w:rPr>
          <w:sz w:val="20"/>
          <w:szCs w:val="20"/>
          <w:color w:val="auto"/>
        </w:rPr>
      </w:pPr>
      <w:r>
        <w:rPr>
          <w:rFonts w:ascii="Times New Roman" w:cs="Times New Roman" w:eastAsia="Times New Roman" w:hAnsi="Times New Roman"/>
          <w:sz w:val="23"/>
          <w:szCs w:val="23"/>
          <w:color w:val="auto"/>
        </w:rPr>
        <w:t>Know all men by these presents, that the undersigned, director or officer, or both, of Tripadvisor, Inc., hereby constitutes and appoints each of Linda C. Frazier, Michael F. Billotti, signing singly, the undersigned's true and lawful attorney-in-fact to:</w:t>
      </w:r>
    </w:p>
    <w:p>
      <w:pPr>
        <w:spacing w:after="0" w:line="111" w:lineRule="exact"/>
        <w:rPr>
          <w:sz w:val="20"/>
          <w:szCs w:val="20"/>
          <w:color w:val="auto"/>
        </w:rPr>
      </w:pPr>
    </w:p>
    <w:p>
      <w:pPr>
        <w:jc w:val="both"/>
        <w:ind w:left="867" w:right="1259" w:hanging="867"/>
        <w:spacing w:after="0" w:line="245" w:lineRule="auto"/>
        <w:tabs>
          <w:tab w:leader="none" w:pos="867"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execute for and on behalf of the undersigned, in the undersigned's capacity as an officer and/or director of Tripadvisor, Inc. (the "Company"), Forms 3, 4, and 5 in accordance with Section 16(a) of the Securities Exchange Act of 1934 and the rules thereunder;</w:t>
      </w:r>
    </w:p>
    <w:p>
      <w:pPr>
        <w:spacing w:after="0" w:line="133" w:lineRule="exact"/>
        <w:rPr>
          <w:rFonts w:ascii="Times New Roman" w:cs="Times New Roman" w:eastAsia="Times New Roman" w:hAnsi="Times New Roman"/>
          <w:sz w:val="24"/>
          <w:szCs w:val="24"/>
          <w:color w:val="auto"/>
        </w:rPr>
      </w:pPr>
    </w:p>
    <w:p>
      <w:pPr>
        <w:ind w:left="867" w:right="1319" w:hanging="867"/>
        <w:spacing w:after="0" w:line="259" w:lineRule="auto"/>
        <w:tabs>
          <w:tab w:leader="none" w:pos="867" w:val="left"/>
        </w:tabs>
        <w:numPr>
          <w:ilvl w:val="0"/>
          <w:numId w:val="4"/>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118" w:lineRule="exact"/>
        <w:rPr>
          <w:rFonts w:ascii="Times New Roman" w:cs="Times New Roman" w:eastAsia="Times New Roman" w:hAnsi="Times New Roman"/>
          <w:sz w:val="23"/>
          <w:szCs w:val="23"/>
          <w:color w:val="auto"/>
        </w:rPr>
      </w:pPr>
    </w:p>
    <w:p>
      <w:pPr>
        <w:ind w:left="867" w:right="1299" w:hanging="867"/>
        <w:spacing w:after="0"/>
        <w:tabs>
          <w:tab w:leader="none" w:pos="867"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39" w:lineRule="exact"/>
        <w:rPr>
          <w:sz w:val="20"/>
          <w:szCs w:val="20"/>
          <w:color w:val="auto"/>
        </w:rPr>
      </w:pPr>
    </w:p>
    <w:p>
      <w:pPr>
        <w:ind w:left="47" w:right="1199"/>
        <w:spacing w:after="0" w:line="237" w:lineRule="auto"/>
        <w:rPr>
          <w:sz w:val="20"/>
          <w:szCs w:val="20"/>
          <w:color w:val="auto"/>
        </w:rPr>
      </w:pPr>
      <w:r>
        <w:rPr>
          <w:rFonts w:ascii="Times New Roman" w:cs="Times New Roman" w:eastAsia="Times New Roman" w:hAnsi="Times New Roman"/>
          <w:sz w:val="24"/>
          <w:szCs w:val="24"/>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51" w:lineRule="exact"/>
        <w:rPr>
          <w:sz w:val="20"/>
          <w:szCs w:val="20"/>
          <w:color w:val="auto"/>
        </w:rPr>
      </w:pPr>
    </w:p>
    <w:p>
      <w:pPr>
        <w:ind w:left="47" w:right="1199"/>
        <w:spacing w:after="0" w:line="245"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the undersigned is no longer required to file Forms 3, 4 and 5 with respect to the undersigned's holdings of and transactions in securities of Tripadvisor, Inc. unless earlier revoked by the undersigned in a signed writing delivered to the foregoing attorneys-in-fact.</w:t>
      </w:r>
    </w:p>
    <w:p>
      <w:pPr>
        <w:spacing w:after="0" w:line="134" w:lineRule="exact"/>
        <w:rPr>
          <w:sz w:val="20"/>
          <w:szCs w:val="20"/>
          <w:color w:val="auto"/>
        </w:rPr>
      </w:pPr>
    </w:p>
    <w:p>
      <w:pPr>
        <w:ind w:left="47" w:right="1359"/>
        <w:spacing w:after="0" w:line="264" w:lineRule="auto"/>
        <w:rPr>
          <w:sz w:val="20"/>
          <w:szCs w:val="20"/>
          <w:color w:val="auto"/>
        </w:rPr>
      </w:pPr>
      <w:r>
        <w:rPr>
          <w:rFonts w:ascii="Times New Roman" w:cs="Times New Roman" w:eastAsia="Times New Roman" w:hAnsi="Times New Roman"/>
          <w:sz w:val="24"/>
          <w:szCs w:val="24"/>
          <w:color w:val="auto"/>
        </w:rPr>
        <w:t>IN WITNESS WHEREOF, the undersigned has executed this Power of Attorney as of this 22</w:t>
      </w:r>
      <w:r>
        <w:rPr>
          <w:rFonts w:ascii="Times New Roman" w:cs="Times New Roman" w:eastAsia="Times New Roman" w:hAnsi="Times New Roman"/>
          <w:sz w:val="40"/>
          <w:szCs w:val="40"/>
          <w:color w:val="auto"/>
          <w:vertAlign w:val="superscript"/>
        </w:rPr>
        <w:t>nd</w:t>
      </w:r>
      <w:r>
        <w:rPr>
          <w:rFonts w:ascii="Times New Roman" w:cs="Times New Roman" w:eastAsia="Times New Roman" w:hAnsi="Times New Roman"/>
          <w:sz w:val="24"/>
          <w:szCs w:val="24"/>
          <w:color w:val="auto"/>
        </w:rPr>
        <w:t xml:space="preserve"> day of April, 2026</w:t>
      </w:r>
    </w:p>
    <w:p>
      <w:pPr>
        <w:spacing w:after="0" w:line="1" w:lineRule="exact"/>
        <w:rPr>
          <w:sz w:val="20"/>
          <w:szCs w:val="20"/>
          <w:color w:val="auto"/>
        </w:rPr>
      </w:pPr>
    </w:p>
    <w:p>
      <w:pPr>
        <w:ind w:left="6447"/>
        <w:spacing w:after="0"/>
        <w:rPr>
          <w:sz w:val="20"/>
          <w:szCs w:val="20"/>
          <w:color w:val="auto"/>
        </w:rPr>
      </w:pPr>
      <w:r>
        <w:rPr>
          <w:rFonts w:ascii="Times New Roman" w:cs="Times New Roman" w:eastAsia="Times New Roman" w:hAnsi="Times New Roman"/>
          <w:sz w:val="23"/>
          <w:szCs w:val="23"/>
          <w:color w:val="auto"/>
        </w:rPr>
        <w:t>/s/ Christiaan-Pepijn Rijvers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4086225</wp:posOffset>
            </wp:positionH>
            <wp:positionV relativeFrom="paragraph">
              <wp:posOffset>31750</wp:posOffset>
            </wp:positionV>
            <wp:extent cx="24777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477770" cy="9525"/>
                    </a:xfrm>
                    <a:prstGeom prst="rect">
                      <a:avLst/>
                    </a:prstGeom>
                    <a:noFill/>
                  </pic:spPr>
                </pic:pic>
              </a:graphicData>
            </a:graphic>
          </wp:anchor>
        </w:drawing>
      </w:r>
    </w:p>
    <w:p>
      <w:pPr>
        <w:spacing w:after="0" w:line="61" w:lineRule="exact"/>
        <w:rPr>
          <w:sz w:val="20"/>
          <w:szCs w:val="20"/>
          <w:color w:val="auto"/>
        </w:rPr>
      </w:pPr>
    </w:p>
    <w:p>
      <w:pPr>
        <w:ind w:left="6447"/>
        <w:spacing w:after="0"/>
        <w:rPr>
          <w:sz w:val="20"/>
          <w:szCs w:val="20"/>
          <w:color w:val="auto"/>
        </w:rPr>
      </w:pPr>
      <w:r>
        <w:rPr>
          <w:rFonts w:ascii="Times New Roman" w:cs="Times New Roman" w:eastAsia="Times New Roman" w:hAnsi="Times New Roman"/>
          <w:sz w:val="24"/>
          <w:szCs w:val="24"/>
          <w:color w:val="auto"/>
        </w:rPr>
        <w:t>Christiaan-Pepijn Rijvers</w:t>
      </w:r>
    </w:p>
    <w:sectPr>
      <w:pgSz w:w="11900" w:h="16838" w:orient="portrait"/>
      <w:cols w:equalWidth="0" w:num="1">
        <w:col w:w="9406"/>
      </w:cols>
      <w:pgMar w:left="1053"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2132030" TargetMode="External"/><Relationship Id="rId11" Type="http://schemas.openxmlformats.org/officeDocument/2006/relationships/hyperlink" Target="http://www.sec.gov/cgi-bin/browse-edgar?action=getcompany&amp;CIK=00015265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2026-05-05T18:08:36Z</dcterms:created>
  <dcterms:modified xsi:type="dcterms:W3CDTF">2026-05-05T18:08:36Z</dcterms:modified>
</cp:coreProperties>
</file>