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trip-20260630.htm"/>
      <w:bookmarkStart w:id="1" w:name="kstrip20260630"/>
      <w:bookmarkEnd w:id="0"/>
      <w:bookmarkEnd w:id="1"/>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Commission file number: 001-35362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48"/>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80-0743202</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sz w:val="20"/>
        </w:rPr>
      </w:pPr>
      <w:r>
        <w:rPr>
          <w:rFonts w:ascii="Times New Roman" w:hAnsi="Times New Roman"/>
          <w:b/>
          <w:color w:val="000000"/>
          <w:sz w:val="20"/>
        </w:rPr>
        <w:t>400 1</w:t>
      </w:r>
      <w:r>
        <w:rPr>
          <w:rFonts w:ascii="Times New Roman" w:hAnsi="Times New Roman"/>
          <w:b/>
          <w:color w:val="000000"/>
          <w:sz w:val="13"/>
        </w:rPr>
        <w:t>st</w:t>
      </w:r>
      <w:r>
        <w:rPr>
          <w:rFonts w:ascii="Times New Roman" w:hAnsi="Times New Roman"/>
          <w:color w:val="000000"/>
          <w:sz w:val="20"/>
        </w:rPr>
        <w:t xml:space="preserve"> </w:t>
      </w:r>
      <w:r>
        <w:rPr>
          <w:rFonts w:ascii="Times New Roman" w:hAnsi="Times New Roman"/>
          <w:b/>
          <w:color w:val="000000"/>
          <w:sz w:val="20"/>
        </w:rPr>
        <w:t>Avenue</w:t>
      </w:r>
    </w:p>
    <w:p>
      <w:pPr>
        <w:pStyle w:val="TextBody"/>
        <w:bidi w:val="0"/>
        <w:jc w:val="center"/>
        <w:rPr>
          <w:rFonts w:ascii="Times New Roman" w:hAnsi="Times New Roman"/>
          <w:sz w:val="20"/>
        </w:rPr>
      </w:pPr>
      <w:r>
        <w:rPr>
          <w:rFonts w:ascii="Times New Roman" w:hAnsi="Times New Roman"/>
          <w:b/>
          <w:color w:val="000000"/>
          <w:sz w:val="20"/>
        </w:rPr>
        <w:t>Needham, MA</w:t>
      </w:r>
      <w:r>
        <w:rPr>
          <w:rFonts w:ascii="Times New Roman" w:hAnsi="Times New Roman"/>
          <w:color w:val="000000"/>
          <w:sz w:val="20"/>
        </w:rPr>
        <w:t xml:space="preserve"> </w:t>
      </w:r>
      <w:r>
        <w:rPr>
          <w:rFonts w:ascii="Times New Roman" w:hAnsi="Times New Roman"/>
          <w:b/>
          <w:color w:val="000000"/>
          <w:sz w:val="20"/>
        </w:rPr>
        <w:t xml:space="preserve">02494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 (Zip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(781) 800-5000</w:t>
      </w:r>
      <w:r>
        <w:rPr>
          <w:rFonts w:ascii="Times New Roman" w:hAnsi="Times New Roman"/>
          <w:color w:val="000000"/>
          <w:sz w:val="20"/>
        </w:rPr>
        <w:t xml:space="preserve"> </w:t>
      </w:r>
    </w:p>
    <w:p>
      <w:pPr>
        <w:pStyle w:val="TextBody"/>
        <w:bidi w:val="0"/>
        <w:spacing w:before="120" w:after="60"/>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5913" w:type="dxa"/>
        <w:jc w:val="left"/>
        <w:tblInd w:w="0" w:type="dxa"/>
        <w:tblLayout w:type="fixed"/>
        <w:tblCellMar>
          <w:top w:w="28" w:type="dxa"/>
          <w:left w:w="28" w:type="dxa"/>
          <w:bottom w:w="28" w:type="dxa"/>
          <w:right w:w="28" w:type="dxa"/>
        </w:tblCellMar>
      </w:tblPr>
      <w:tblGrid>
        <w:gridCol w:w="1381"/>
        <w:gridCol w:w="1261"/>
        <w:gridCol w:w="3271"/>
      </w:tblGrid>
      <w:tr>
        <w:trPr/>
        <w:tc>
          <w:tcPr>
            <w:tcW w:w="13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2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w:t>
            </w:r>
          </w:p>
        </w:tc>
        <w:tc>
          <w:tcPr>
            <w:tcW w:w="32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TRIP</w:t>
            </w:r>
          </w:p>
        </w:tc>
        <w:tc>
          <w:tcPr>
            <w:tcW w:w="32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jc w:val="left"/>
        <w:rPr/>
      </w:pPr>
      <w:r>
        <w:rPr/>
        <w:t> </w:t>
      </w:r>
    </w:p>
    <w:tbl>
      <w:tblPr>
        <w:tblW w:w="6366" w:type="dxa"/>
        <w:jc w:val="left"/>
        <w:tblInd w:w="0" w:type="dxa"/>
        <w:tblLayout w:type="fixed"/>
        <w:tblCellMar>
          <w:top w:w="28" w:type="dxa"/>
          <w:left w:w="28" w:type="dxa"/>
          <w:bottom w:w="28" w:type="dxa"/>
          <w:right w:w="28" w:type="dxa"/>
        </w:tblCellMar>
      </w:tblPr>
      <w:tblGrid>
        <w:gridCol w:w="3601"/>
        <w:gridCol w:w="109"/>
        <w:gridCol w:w="2656"/>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pBdr>
                <w:bottom w:val="single" w:sz="8" w:space="1" w:color="000000"/>
              </w:pBdr>
              <w:bidi w:val="0"/>
              <w:spacing w:before="0" w:after="20"/>
              <w:jc w:val="center"/>
              <w:rPr>
                <w:rFonts w:ascii="Times New Roman" w:hAnsi="Times New Roman"/>
                <w:color w:val="000000"/>
                <w:sz w:val="16"/>
              </w:rPr>
            </w:pPr>
            <w:r>
              <w:rPr>
                <w:rFonts w:ascii="Times New Roman" w:hAnsi="Times New Roman"/>
                <w:color w:val="000000"/>
                <w:sz w:val="16"/>
              </w:rPr>
              <w:t>Class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16"/>
              </w:rPr>
            </w:pPr>
            <w:r>
              <w:rPr>
                <w:rFonts w:ascii="Times New Roman" w:hAnsi="Times New Roman"/>
                <w:color w:val="000000"/>
                <w:sz w:val="16"/>
              </w:rPr>
              <w:t>Outstanding Shares at July 30, 2026</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117,199,342 shares</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Quarter Ended June 30, 2026</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105"/>
        <w:gridCol w:w="109"/>
        <w:gridCol w:w="991"/>
      </w:tblGrid>
      <w:tr>
        <w:trPr/>
        <w:tc>
          <w:tcPr>
            <w:tcW w:w="9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0"/>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I—Financial Information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 Unaudited Condensed Consolidated Financial Statements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unaudited_consolidated_statements_of_ope">
              <w:r>
                <w:rPr>
                  <w:rStyle w:val="InternetLink"/>
                  <w:rFonts w:ascii="Times New Roman" w:hAnsi="Times New Roman"/>
                  <w:color w:val="0000FF"/>
                  <w:sz w:val="20"/>
                  <w:u w:val="single"/>
                </w:rPr>
                <w:t>Unaudited Condensed Consolidated Statements of Operations for the Three and Six Months Ended June 30, 2026 and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3</w:t>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unaudited_consolidated_statements_of_com">
              <w:r>
                <w:rPr>
                  <w:rStyle w:val="InternetLink"/>
                  <w:rFonts w:ascii="Times New Roman" w:hAnsi="Times New Roman"/>
                  <w:color w:val="0000FF"/>
                  <w:sz w:val="20"/>
                  <w:u w:val="single"/>
                </w:rPr>
                <w:t>Unaudited Condensed Consolidated Statements of Comprehensive Income (Loss) for the Three and Six Months Ended June 30, 2026 and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4</w:t>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unaudited_consolidated_balance_sheets">
              <w:r>
                <w:rPr>
                  <w:rStyle w:val="InternetLink"/>
                  <w:rFonts w:ascii="Times New Roman" w:hAnsi="Times New Roman"/>
                  <w:color w:val="0000FF"/>
                  <w:sz w:val="20"/>
                  <w:u w:val="single"/>
                </w:rPr>
                <w:t>Unaudited Condensed Consolidated Balance Sheets at June 30, 2026 and December 31,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5</w:t>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unaudited_consolidated_statements_of_cha">
              <w:r>
                <w:rPr>
                  <w:rStyle w:val="InternetLink"/>
                  <w:rFonts w:ascii="Times New Roman" w:hAnsi="Times New Roman"/>
                  <w:color w:val="0000FF"/>
                  <w:sz w:val="20"/>
                  <w:u w:val="single"/>
                </w:rPr>
                <w:t>Unaudited Condensed Consolidated Statements of Changes in Stockholders’ Equity for the Three and Six Months Ended June 30, 2026 and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6</w:t>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unaudited_consolidated_caseflow">
              <w:r>
                <w:rPr>
                  <w:rStyle w:val="InternetLink"/>
                  <w:rFonts w:ascii="Times New Roman" w:hAnsi="Times New Roman"/>
                  <w:color w:val="0000FF"/>
                  <w:sz w:val="20"/>
                  <w:u w:val="single"/>
                </w:rPr>
                <w:t>Unaudited Condensed Consolidated Statements of Cash Flows for the Six Months Ended June 30, 2026 and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9</w:t>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unaudited_financial_notes">
              <w:r>
                <w:rPr>
                  <w:rStyle w:val="InternetLink"/>
                  <w:rFonts w:ascii="Times New Roman" w:hAnsi="Times New Roman"/>
                  <w:color w:val="0000FF"/>
                  <w:sz w:val="20"/>
                  <w:u w:val="single"/>
                </w:rPr>
                <w:t>Notes to Unaudited Condensed Consolidated Financial Statements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2_management_discussion_and_anal">
              <w:r>
                <w:rPr>
                  <w:rStyle w:val="InternetLink"/>
                  <w:rFonts w:ascii="Times New Roman" w:hAnsi="Times New Roman"/>
                  <w:color w:val="0000FF"/>
                  <w:sz w:val="20"/>
                  <w:u w:val="single"/>
                </w:rPr>
                <w:t>Item 2. Management’s Discussion and Analysis of Financial Condition and Results of Operations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3_quantitative_and_qualitative_dis">
              <w:r>
                <w:rPr>
                  <w:rStyle w:val="InternetLink"/>
                  <w:rFonts w:ascii="Times New Roman" w:hAnsi="Times New Roman"/>
                  <w:color w:val="0000FF"/>
                  <w:sz w:val="20"/>
                  <w:u w:val="single"/>
                </w:rPr>
                <w:t>Item 3. Quantitative and Qualitative Disclosures about Market Risk</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4_controls_and_procedures">
              <w:r>
                <w:rPr>
                  <w:rStyle w:val="InternetLink"/>
                  <w:rFonts w:ascii="Times New Roman" w:hAnsi="Times New Roman"/>
                  <w:color w:val="0000FF"/>
                  <w:sz w:val="20"/>
                  <w:u w:val="single"/>
                </w:rPr>
                <w:t>Item 4. Controls and Procedures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1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Part II—Other Information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Item 1. Legal Proceedings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2_unregistered_sales_of_equity_sec">
              <w:r>
                <w:rPr>
                  <w:rStyle w:val="InternetLink"/>
                  <w:rFonts w:ascii="Times New Roman" w:hAnsi="Times New Roman"/>
                  <w:color w:val="0000FF"/>
                  <w:sz w:val="20"/>
                  <w:u w:val="single"/>
                </w:rPr>
                <w:t>Item 2. Unregistered Sales of Equity Securities and Use of Proceeds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3_defaults_upon_senior_securities">
              <w:r>
                <w:rPr>
                  <w:rStyle w:val="InternetLink"/>
                  <w:rFonts w:ascii="Times New Roman" w:hAnsi="Times New Roman"/>
                  <w:color w:val="0000FF"/>
                  <w:sz w:val="20"/>
                  <w:u w:val="single"/>
                </w:rPr>
                <w:t>Item 3. Defaults Upon Senior Securities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Item 4. Mine Safety Disclosures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Item 5. Other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Item 6. Exhibits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bl>
    <w:p>
      <w:pPr>
        <w:pStyle w:val="TextBody"/>
        <w:bidi w:val="0"/>
        <w:jc w:val="left"/>
        <w:rPr/>
      </w:pPr>
      <w:r>
        <w:rPr/>
        <w:t> </w:t>
      </w:r>
    </w:p>
    <w:p>
      <w:pPr>
        <w:pStyle w:val="TextBody"/>
        <w:bidi w:val="0"/>
        <w:jc w:val="left"/>
        <w:rPr/>
      </w:pPr>
      <w:r>
        <w:rPr/>
        <w:t> </w:t>
      </w:r>
    </w:p>
    <w:p>
      <w:pPr>
        <w:pStyle w:val="TextBody"/>
        <w:bidi w:val="0"/>
        <w:spacing w:before="4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r>
        <w:rPr>
          <w:rFonts w:ascii="Times New Roman" w:hAnsi="Times New Roman"/>
          <w:b/>
          <w:color w:val="000000"/>
          <w:sz w:val="20"/>
        </w:rPr>
        <w:t>Item 1. Unaudited Condensed Consolidated Financial Statements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 w:name="unaudited_consolidated_statements_of_ope"/>
      <w:bookmarkEnd w:id="2"/>
      <w:r>
        <w:rPr>
          <w:rFonts w:ascii="Times New Roman" w:hAnsi="Times New Roman"/>
          <w:b/>
          <w:color w:val="000000"/>
          <w:sz w:val="20"/>
        </w:rPr>
        <w:t>UNAUDITED CONDENSED CONSOLIDATED STATEMENTS OF OPERATIONS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b/>
          <w:color w:val="000000"/>
          <w:sz w:val="20"/>
        </w:rPr>
        <w:t>(in millions, except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584"/>
        <w:gridCol w:w="146"/>
        <w:gridCol w:w="211"/>
        <w:gridCol w:w="571"/>
        <w:gridCol w:w="166"/>
        <w:gridCol w:w="146"/>
        <w:gridCol w:w="211"/>
        <w:gridCol w:w="571"/>
        <w:gridCol w:w="166"/>
        <w:gridCol w:w="146"/>
        <w:gridCol w:w="211"/>
        <w:gridCol w:w="571"/>
        <w:gridCol w:w="166"/>
        <w:gridCol w:w="146"/>
        <w:gridCol w:w="211"/>
        <w:gridCol w:w="571"/>
        <w:gridCol w:w="411"/>
      </w:tblGrid>
      <w:tr>
        <w:trPr/>
        <w:tc>
          <w:tcPr>
            <w:tcW w:w="5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 (exclusive of depreciation and amortization as shown separately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(including stock-based compensation of $16.8, $26.2, $35.3 and $51.5,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related reorganization costs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from discontinued operations, net of tax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common stockholders from continuing operations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common stockholders from discontinued operations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common stockholders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3" w:name="unaudited_consolidated_statements_of_com"/>
      <w:bookmarkEnd w:id="3"/>
      <w:r>
        <w:rPr>
          <w:rFonts w:ascii="Times New Roman" w:hAnsi="Times New Roman"/>
          <w:b/>
          <w:color w:val="000000"/>
          <w:sz w:val="20"/>
        </w:rPr>
        <w:t>UNAUDITED CONDENSED CONSOLIDATED STATEMENTS OF COMPREHENSIVE INCOME (LOSS)</w:t>
      </w:r>
    </w:p>
    <w:p>
      <w:pPr>
        <w:pStyle w:val="TextBody"/>
        <w:bidi w:val="0"/>
        <w:jc w:val="center"/>
        <w:rPr>
          <w:rFonts w:ascii="Times New Roman" w:hAnsi="Times New Roman"/>
          <w:sz w:val="20"/>
        </w:rPr>
      </w:pPr>
      <w:r>
        <w:rPr>
          <w:rFonts w:ascii="Times New Roman" w:hAnsi="Times New Roman"/>
          <w:b/>
          <w:color w:val="000000"/>
          <w:sz w:val="20"/>
        </w:rPr>
        <w:t>(in millions)</w:t>
      </w:r>
      <w:r>
        <w:rPr>
          <w:rFonts w:ascii="Times New Roman" w:hAnsi="Times New Roman"/>
          <w:color w:val="000000"/>
          <w:sz w:val="20"/>
        </w:rPr>
        <w:t xml:space="preserve"> </w:t>
      </w:r>
    </w:p>
    <w:p>
      <w:pPr>
        <w:pStyle w:val="TextBody"/>
        <w:bidi w:val="0"/>
        <w:jc w:val="center"/>
        <w:rPr/>
      </w:pPr>
      <w:r>
        <w:rPr/>
        <w:t> </w:t>
      </w:r>
    </w:p>
    <w:tbl>
      <w:tblPr>
        <w:tblW w:w="9222" w:type="dxa"/>
        <w:jc w:val="left"/>
        <w:tblInd w:w="0" w:type="dxa"/>
        <w:tblLayout w:type="fixed"/>
        <w:tblCellMar>
          <w:top w:w="28" w:type="dxa"/>
          <w:left w:w="28" w:type="dxa"/>
          <w:bottom w:w="28" w:type="dxa"/>
          <w:right w:w="28" w:type="dxa"/>
        </w:tblCellMar>
      </w:tblPr>
      <w:tblGrid>
        <w:gridCol w:w="4701"/>
        <w:gridCol w:w="346"/>
        <w:gridCol w:w="211"/>
        <w:gridCol w:w="466"/>
        <w:gridCol w:w="166"/>
        <w:gridCol w:w="146"/>
        <w:gridCol w:w="211"/>
        <w:gridCol w:w="466"/>
        <w:gridCol w:w="146"/>
        <w:gridCol w:w="146"/>
        <w:gridCol w:w="211"/>
        <w:gridCol w:w="526"/>
        <w:gridCol w:w="166"/>
        <w:gridCol w:w="146"/>
        <w:gridCol w:w="211"/>
        <w:gridCol w:w="466"/>
        <w:gridCol w:w="491"/>
      </w:tblGrid>
      <w:tr>
        <w:trPr/>
        <w:tc>
          <w:tcPr>
            <w:tcW w:w="47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Foreign currency translation adjustments, net of tax </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 net of tax</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(1) Deferred income tax liabilities related to these amounts were not material.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unaudited_consolidated_balance_sheets"/>
      <w:bookmarkEnd w:id="4"/>
      <w:r>
        <w:rPr>
          <w:rFonts w:ascii="Times New Roman" w:hAnsi="Times New Roman"/>
          <w:b/>
          <w:color w:val="000000"/>
          <w:sz w:val="20"/>
        </w:rPr>
        <w:t>UNAUDITED 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 except number of shares and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00"/>
        <w:gridCol w:w="146"/>
        <w:gridCol w:w="196"/>
        <w:gridCol w:w="646"/>
        <w:gridCol w:w="166"/>
        <w:gridCol w:w="146"/>
        <w:gridCol w:w="258"/>
        <w:gridCol w:w="855"/>
        <w:gridCol w:w="592"/>
      </w:tblGrid>
      <w:tr>
        <w:trPr/>
        <w:tc>
          <w:tcPr>
            <w:tcW w:w="7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978.0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Accounts receivable, net of allowance for expected credit losses of $14.1</w:t>
            </w:r>
            <w:r>
              <w:rPr>
                <w:rFonts w:ascii="Times New Roman" w:hAnsi="Times New Roman"/>
                <w:color w:val="000000"/>
                <w:sz w:val="20"/>
              </w:rPr>
              <w:t> </w:t>
            </w:r>
            <w:r>
              <w:rPr>
                <w:rFonts w:ascii="Times New Roman" w:hAnsi="Times New Roman"/>
                <w:color w:val="000000"/>
                <w:sz w:val="18"/>
              </w:rPr>
              <w:t>and $15.4, respectively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assets - held for sale from discontinued operations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Property and equipment, net of accumulated depreciation of $564.1</w:t>
            </w:r>
            <w:r>
              <w:rPr>
                <w:rFonts w:ascii="Times New Roman" w:hAnsi="Times New Roman"/>
                <w:color w:val="000000"/>
                <w:sz w:val="20"/>
              </w:rPr>
              <w:t> </w:t>
            </w:r>
            <w:r>
              <w:rPr>
                <w:rFonts w:ascii="Times New Roman" w:hAnsi="Times New Roman"/>
                <w:color w:val="000000"/>
                <w:sz w:val="18"/>
              </w:rPr>
              <w:t>and $537.7,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Intangible assets, net of accumulated amortization of $120.7</w:t>
            </w:r>
            <w:r>
              <w:rPr>
                <w:rFonts w:ascii="Times New Roman" w:hAnsi="Times New Roman"/>
                <w:color w:val="000000"/>
                <w:sz w:val="20"/>
              </w:rPr>
              <w:t> </w:t>
            </w:r>
            <w:r>
              <w:rPr>
                <w:rFonts w:ascii="Times New Roman" w:hAnsi="Times New Roman"/>
                <w:color w:val="000000"/>
                <w:sz w:val="18"/>
              </w:rPr>
              <w:t>and $119.6,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Non-marketable investments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Noncurrent assets - held for sale from discontinued operations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2,625.4</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merchant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debt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payable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liabilities - held for sale from discontinued operations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debt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obligation,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Noncurrent liabilities - held for sale from discontinued operations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$0.001</w:t>
            </w:r>
            <w:r>
              <w:rPr>
                <w:rFonts w:ascii="Times New Roman" w:hAnsi="Times New Roman"/>
                <w:color w:val="000000"/>
                <w:sz w:val="20"/>
              </w:rPr>
              <w:t> </w:t>
            </w:r>
            <w:r>
              <w:rPr>
                <w:rFonts w:ascii="Times New Roman" w:hAnsi="Times New Roman"/>
                <w:color w:val="000000"/>
                <w:sz w:val="18"/>
              </w:rPr>
              <w:t>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Authorized shares: 100,000,000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Shares issued and outstanding: 0</w:t>
            </w:r>
            <w:r>
              <w:rPr>
                <w:rFonts w:ascii="Times New Roman" w:hAnsi="Times New Roman"/>
                <w:color w:val="000000"/>
                <w:sz w:val="20"/>
              </w:rPr>
              <w:t> </w:t>
            </w:r>
            <w:r>
              <w:rPr>
                <w:rFonts w:ascii="Times New Roman" w:hAnsi="Times New Roman"/>
                <w:color w:val="000000"/>
                <w:sz w:val="18"/>
              </w:rPr>
              <w:t>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Authorized shares: 1,600,000,000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Shares issued: 123,213,743</w:t>
            </w:r>
            <w:r>
              <w:rPr>
                <w:rFonts w:ascii="Times New Roman" w:hAnsi="Times New Roman"/>
                <w:color w:val="000000"/>
                <w:sz w:val="20"/>
              </w:rPr>
              <w:t> </w:t>
            </w:r>
            <w:r>
              <w:rPr>
                <w:rFonts w:ascii="Times New Roman" w:hAnsi="Times New Roman"/>
                <w:color w:val="000000"/>
                <w:sz w:val="18"/>
              </w:rPr>
              <w:t>and 120,577,305,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Shares outstanding: 117,108,481</w:t>
            </w:r>
            <w:r>
              <w:rPr>
                <w:rFonts w:ascii="Times New Roman" w:hAnsi="Times New Roman"/>
                <w:color w:val="000000"/>
                <w:sz w:val="20"/>
              </w:rPr>
              <w:t> </w:t>
            </w:r>
            <w:r>
              <w:rPr>
                <w:rFonts w:ascii="Times New Roman" w:hAnsi="Times New Roman"/>
                <w:color w:val="000000"/>
                <w:sz w:val="18"/>
              </w:rPr>
              <w:t>and 114,472,043,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Treasury stock-common stock, at cost, 6,105,262</w:t>
            </w:r>
            <w:r>
              <w:rPr>
                <w:rFonts w:ascii="Times New Roman" w:hAnsi="Times New Roman"/>
                <w:color w:val="000000"/>
                <w:sz w:val="20"/>
              </w:rPr>
              <w:t> </w:t>
            </w:r>
            <w:r>
              <w:rPr>
                <w:rFonts w:ascii="Times New Roman" w:hAnsi="Times New Roman"/>
                <w:color w:val="000000"/>
                <w:sz w:val="18"/>
              </w:rPr>
              <w:t>and 6,105,262</w:t>
            </w:r>
            <w:r>
              <w:rPr>
                <w:rFonts w:ascii="Times New Roman" w:hAnsi="Times New Roman"/>
                <w:color w:val="000000"/>
                <w:sz w:val="20"/>
              </w:rPr>
              <w:t> </w:t>
            </w:r>
            <w:r>
              <w:rPr>
                <w:rFonts w:ascii="Times New Roman" w:hAnsi="Times New Roman"/>
                <w:color w:val="000000"/>
                <w:sz w:val="18"/>
              </w:rPr>
              <w:t>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2,625.4</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9"/>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unaudited_consolidated_statements_of_cha"/>
      <w:bookmarkEnd w:id="5"/>
      <w:r>
        <w:rPr>
          <w:rFonts w:ascii="Times New Roman" w:hAnsi="Times New Roman"/>
          <w:b/>
          <w:color w:val="000000"/>
          <w:sz w:val="19"/>
        </w:rPr>
        <w:t>UNAUDITED CONDENSED CONSOLIDATED STATEMENTS OF CHANGES IN STOCKHOLDERS’ EQUITY</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19"/>
        </w:rPr>
        <w:t>(in millions, except number of shares)</w:t>
      </w:r>
      <w:r>
        <w:rPr>
          <w:rFonts w:ascii="Times New Roman" w:hAnsi="Times New Roman"/>
          <w:color w:val="000000"/>
          <w:sz w:val="20"/>
        </w:rPr>
        <w:t xml:space="preserve"> </w:t>
      </w:r>
    </w:p>
    <w:tbl>
      <w:tblPr>
        <w:tblW w:w="11033" w:type="dxa"/>
        <w:jc w:val="left"/>
        <w:tblInd w:w="0" w:type="dxa"/>
        <w:tblLayout w:type="fixed"/>
        <w:tblCellMar>
          <w:top w:w="28" w:type="dxa"/>
          <w:left w:w="28" w:type="dxa"/>
          <w:bottom w:w="28" w:type="dxa"/>
          <w:right w:w="28" w:type="dxa"/>
        </w:tblCellMar>
      </w:tblPr>
      <w:tblGrid>
        <w:gridCol w:w="1186"/>
        <w:gridCol w:w="146"/>
        <w:gridCol w:w="146"/>
        <w:gridCol w:w="1006"/>
        <w:gridCol w:w="146"/>
        <w:gridCol w:w="146"/>
        <w:gridCol w:w="271"/>
        <w:gridCol w:w="480"/>
        <w:gridCol w:w="146"/>
        <w:gridCol w:w="146"/>
        <w:gridCol w:w="258"/>
        <w:gridCol w:w="673"/>
        <w:gridCol w:w="166"/>
        <w:gridCol w:w="146"/>
        <w:gridCol w:w="220"/>
        <w:gridCol w:w="576"/>
        <w:gridCol w:w="146"/>
        <w:gridCol w:w="146"/>
        <w:gridCol w:w="359"/>
        <w:gridCol w:w="887"/>
        <w:gridCol w:w="166"/>
        <w:gridCol w:w="146"/>
        <w:gridCol w:w="146"/>
        <w:gridCol w:w="886"/>
        <w:gridCol w:w="166"/>
        <w:gridCol w:w="146"/>
        <w:gridCol w:w="217"/>
        <w:gridCol w:w="534"/>
        <w:gridCol w:w="166"/>
        <w:gridCol w:w="146"/>
        <w:gridCol w:w="196"/>
        <w:gridCol w:w="51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122,399,761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(6,105,262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related to exercises of options and vesting of RSUs, net of common stock withheld due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Withholding taxes on net share settlements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123,213,743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(6,105,262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1053" w:type="dxa"/>
        <w:jc w:val="left"/>
        <w:tblInd w:w="0" w:type="dxa"/>
        <w:tblLayout w:type="fixed"/>
        <w:tblCellMar>
          <w:top w:w="28" w:type="dxa"/>
          <w:left w:w="28" w:type="dxa"/>
          <w:bottom w:w="28" w:type="dxa"/>
          <w:right w:w="28" w:type="dxa"/>
        </w:tblCellMar>
      </w:tblPr>
      <w:tblGrid>
        <w:gridCol w:w="1186"/>
        <w:gridCol w:w="146"/>
        <w:gridCol w:w="146"/>
        <w:gridCol w:w="1006"/>
        <w:gridCol w:w="146"/>
        <w:gridCol w:w="146"/>
        <w:gridCol w:w="271"/>
        <w:gridCol w:w="480"/>
        <w:gridCol w:w="146"/>
        <w:gridCol w:w="146"/>
        <w:gridCol w:w="258"/>
        <w:gridCol w:w="673"/>
        <w:gridCol w:w="166"/>
        <w:gridCol w:w="146"/>
        <w:gridCol w:w="220"/>
        <w:gridCol w:w="576"/>
        <w:gridCol w:w="166"/>
        <w:gridCol w:w="146"/>
        <w:gridCol w:w="359"/>
        <w:gridCol w:w="887"/>
        <w:gridCol w:w="166"/>
        <w:gridCol w:w="146"/>
        <w:gridCol w:w="146"/>
        <w:gridCol w:w="886"/>
        <w:gridCol w:w="166"/>
        <w:gridCol w:w="146"/>
        <w:gridCol w:w="217"/>
        <w:gridCol w:w="534"/>
        <w:gridCol w:w="166"/>
        <w:gridCol w:w="146"/>
        <w:gridCol w:w="196"/>
        <w:gridCol w:w="51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0"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120,577,305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(6,105,262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related to exercises of options and vesting of RSUs, net of common stock withheld due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2,636,438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Withholding taxes on net share settlements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123,213,743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(6,105,262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19"/>
        </w:rPr>
      </w:pPr>
      <w:r>
        <w:rPr>
          <w:rFonts w:ascii="Times New Roman" w:hAnsi="Times New Roman"/>
          <w:color w:val="000000"/>
          <w:sz w:val="19"/>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9"/>
        </w:rPr>
        <w:t>TRIPADVISOR, INC.</w:t>
      </w:r>
      <w:r>
        <w:rPr>
          <w:rFonts w:ascii="Times New Roman" w:hAnsi="Times New Roman"/>
          <w:color w:val="000000"/>
          <w:sz w:val="20"/>
        </w:rPr>
        <w:t xml:space="preserve"> </w:t>
      </w:r>
    </w:p>
    <w:p>
      <w:pPr>
        <w:pStyle w:val="TextBody"/>
        <w:bidi w:val="0"/>
        <w:jc w:val="center"/>
        <w:rPr>
          <w:rFonts w:ascii="Times New Roman" w:hAnsi="Times New Roman"/>
          <w:b/>
          <w:color w:val="000000"/>
          <w:sz w:val="19"/>
        </w:rPr>
      </w:pPr>
      <w:r>
        <w:rPr>
          <w:rFonts w:ascii="Times New Roman" w:hAnsi="Times New Roman"/>
          <w:b/>
          <w:color w:val="000000"/>
          <w:sz w:val="19"/>
        </w:rPr>
        <w:t>UNAUDITED CONDENSED CONSOLIDATED STATEMENTS OF CHANGES IN STOCKHOLDERS’ EQUITY</w:t>
      </w:r>
    </w:p>
    <w:p>
      <w:pPr>
        <w:pStyle w:val="TextBody"/>
        <w:bidi w:val="0"/>
        <w:spacing w:before="0" w:after="60"/>
        <w:jc w:val="center"/>
        <w:rPr>
          <w:rFonts w:ascii="Times New Roman" w:hAnsi="Times New Roman"/>
          <w:sz w:val="20"/>
        </w:rPr>
      </w:pPr>
      <w:r>
        <w:rPr>
          <w:rFonts w:ascii="Times New Roman" w:hAnsi="Times New Roman"/>
          <w:b/>
          <w:color w:val="000000"/>
          <w:sz w:val="19"/>
        </w:rPr>
        <w:t>(in millions, except number of shares)</w:t>
      </w:r>
      <w:r>
        <w:rPr>
          <w:rFonts w:ascii="Times New Roman" w:hAnsi="Times New Roman"/>
          <w:color w:val="000000"/>
          <w:sz w:val="20"/>
        </w:rPr>
        <w:t xml:space="preserve"> </w:t>
      </w:r>
    </w:p>
    <w:p>
      <w:pPr>
        <w:pStyle w:val="TextBody"/>
        <w:bidi w:val="0"/>
        <w:spacing w:before="0" w:after="60"/>
        <w:jc w:val="center"/>
        <w:rPr/>
      </w:pPr>
      <w:r>
        <w:rPr/>
        <w:t> </w:t>
      </w:r>
    </w:p>
    <w:tbl>
      <w:tblPr>
        <w:tblW w:w="15079" w:type="dxa"/>
        <w:jc w:val="left"/>
        <w:tblInd w:w="0" w:type="dxa"/>
        <w:tblLayout w:type="fixed"/>
        <w:tblCellMar>
          <w:top w:w="28" w:type="dxa"/>
          <w:left w:w="28" w:type="dxa"/>
          <w:bottom w:w="28" w:type="dxa"/>
          <w:right w:w="28" w:type="dxa"/>
        </w:tblCellMar>
      </w:tblPr>
      <w:tblGrid>
        <w:gridCol w:w="1186"/>
        <w:gridCol w:w="146"/>
        <w:gridCol w:w="146"/>
        <w:gridCol w:w="1006"/>
        <w:gridCol w:w="166"/>
        <w:gridCol w:w="146"/>
        <w:gridCol w:w="250"/>
        <w:gridCol w:w="501"/>
        <w:gridCol w:w="166"/>
        <w:gridCol w:w="146"/>
        <w:gridCol w:w="146"/>
        <w:gridCol w:w="976"/>
        <w:gridCol w:w="166"/>
        <w:gridCol w:w="146"/>
        <w:gridCol w:w="271"/>
        <w:gridCol w:w="480"/>
        <w:gridCol w:w="146"/>
        <w:gridCol w:w="146"/>
        <w:gridCol w:w="202"/>
        <w:gridCol w:w="729"/>
        <w:gridCol w:w="166"/>
        <w:gridCol w:w="146"/>
        <w:gridCol w:w="264"/>
        <w:gridCol w:w="772"/>
        <w:gridCol w:w="166"/>
        <w:gridCol w:w="146"/>
        <w:gridCol w:w="220"/>
        <w:gridCol w:w="576"/>
        <w:gridCol w:w="146"/>
        <w:gridCol w:w="146"/>
        <w:gridCol w:w="359"/>
        <w:gridCol w:w="887"/>
        <w:gridCol w:w="166"/>
        <w:gridCol w:w="146"/>
        <w:gridCol w:w="146"/>
        <w:gridCol w:w="976"/>
        <w:gridCol w:w="166"/>
        <w:gridCol w:w="146"/>
        <w:gridCol w:w="196"/>
        <w:gridCol w:w="646"/>
        <w:gridCol w:w="166"/>
        <w:gridCol w:w="146"/>
        <w:gridCol w:w="196"/>
        <w:gridCol w:w="51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6" w:type="dxa"/>
            <w:gridSpan w:val="4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 note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receivable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related party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155,266,930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12,799,999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(26,260,252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 related to Merger, net of issuance of common stock as Merger consideration (Note 1)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3,037,959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(26,823,683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Retirement of treasury shares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(40,283,936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(12,799,999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53,083,935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 under share repurchase program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related to exercises of options and vesting of RSUs, net of common stock withheld due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Withholding taxes on net share settlements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118,858,327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(2,808,080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19"/>
        </w:rPr>
      </w:pPr>
      <w:r>
        <w:rPr>
          <w:rFonts w:ascii="Times New Roman" w:hAnsi="Times New Roman"/>
          <w:color w:val="000000"/>
          <w:sz w:val="19"/>
        </w:rPr>
        <w:t>The accompanying notes are an integral part of these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9"/>
        </w:rPr>
        <w:t>TRIPADVISOR, INC.</w:t>
      </w:r>
      <w:r>
        <w:rPr>
          <w:rFonts w:ascii="Times New Roman" w:hAnsi="Times New Roman"/>
          <w:color w:val="000000"/>
          <w:sz w:val="20"/>
        </w:rPr>
        <w:t xml:space="preserve"> </w:t>
      </w:r>
    </w:p>
    <w:p>
      <w:pPr>
        <w:pStyle w:val="TextBody"/>
        <w:bidi w:val="0"/>
        <w:jc w:val="center"/>
        <w:rPr>
          <w:rFonts w:ascii="Times New Roman" w:hAnsi="Times New Roman"/>
          <w:b/>
          <w:color w:val="000000"/>
          <w:sz w:val="19"/>
        </w:rPr>
      </w:pPr>
      <w:r>
        <w:rPr>
          <w:rFonts w:ascii="Times New Roman" w:hAnsi="Times New Roman"/>
          <w:b/>
          <w:color w:val="000000"/>
          <w:sz w:val="19"/>
        </w:rPr>
        <w:t>UNAUDITED CONDENSED CONSOLIDATED STATEMENTS OF CHANGES IN STOCKHOLDERS’ EQUITY</w:t>
      </w:r>
    </w:p>
    <w:p>
      <w:pPr>
        <w:pStyle w:val="TextBody"/>
        <w:bidi w:val="0"/>
        <w:spacing w:before="0" w:after="60"/>
        <w:jc w:val="center"/>
        <w:rPr>
          <w:rFonts w:ascii="Times New Roman" w:hAnsi="Times New Roman"/>
          <w:sz w:val="20"/>
        </w:rPr>
      </w:pPr>
      <w:r>
        <w:rPr>
          <w:rFonts w:ascii="Times New Roman" w:hAnsi="Times New Roman"/>
          <w:b/>
          <w:color w:val="000000"/>
          <w:sz w:val="19"/>
        </w:rPr>
        <w:t>(in millions, except number of shares)</w:t>
      </w:r>
      <w:r>
        <w:rPr>
          <w:rFonts w:ascii="Times New Roman" w:hAnsi="Times New Roman"/>
          <w:color w:val="000000"/>
          <w:sz w:val="20"/>
        </w:rPr>
        <w:t xml:space="preserve"> </w:t>
      </w:r>
    </w:p>
    <w:p>
      <w:pPr>
        <w:pStyle w:val="TextBody"/>
        <w:bidi w:val="0"/>
        <w:jc w:val="left"/>
        <w:rPr/>
      </w:pPr>
      <w:r>
        <w:rPr/>
        <w:t> </w:t>
      </w:r>
    </w:p>
    <w:tbl>
      <w:tblPr>
        <w:tblW w:w="15139" w:type="dxa"/>
        <w:jc w:val="left"/>
        <w:tblInd w:w="0" w:type="dxa"/>
        <w:tblLayout w:type="fixed"/>
        <w:tblCellMar>
          <w:top w:w="28" w:type="dxa"/>
          <w:left w:w="28" w:type="dxa"/>
          <w:bottom w:w="28" w:type="dxa"/>
          <w:right w:w="28" w:type="dxa"/>
        </w:tblCellMar>
      </w:tblPr>
      <w:tblGrid>
        <w:gridCol w:w="1186"/>
        <w:gridCol w:w="146"/>
        <w:gridCol w:w="146"/>
        <w:gridCol w:w="1006"/>
        <w:gridCol w:w="166"/>
        <w:gridCol w:w="146"/>
        <w:gridCol w:w="250"/>
        <w:gridCol w:w="501"/>
        <w:gridCol w:w="166"/>
        <w:gridCol w:w="146"/>
        <w:gridCol w:w="146"/>
        <w:gridCol w:w="976"/>
        <w:gridCol w:w="166"/>
        <w:gridCol w:w="146"/>
        <w:gridCol w:w="271"/>
        <w:gridCol w:w="480"/>
        <w:gridCol w:w="146"/>
        <w:gridCol w:w="146"/>
        <w:gridCol w:w="202"/>
        <w:gridCol w:w="729"/>
        <w:gridCol w:w="166"/>
        <w:gridCol w:w="146"/>
        <w:gridCol w:w="264"/>
        <w:gridCol w:w="772"/>
        <w:gridCol w:w="166"/>
        <w:gridCol w:w="146"/>
        <w:gridCol w:w="220"/>
        <w:gridCol w:w="576"/>
        <w:gridCol w:w="146"/>
        <w:gridCol w:w="146"/>
        <w:gridCol w:w="359"/>
        <w:gridCol w:w="887"/>
        <w:gridCol w:w="166"/>
        <w:gridCol w:w="146"/>
        <w:gridCol w:w="146"/>
        <w:gridCol w:w="976"/>
        <w:gridCol w:w="166"/>
        <w:gridCol w:w="146"/>
        <w:gridCol w:w="196"/>
        <w:gridCol w:w="646"/>
        <w:gridCol w:w="166"/>
        <w:gridCol w:w="146"/>
        <w:gridCol w:w="196"/>
        <w:gridCol w:w="57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6" w:type="dxa"/>
            <w:gridSpan w:val="4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 note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receivable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related party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153,655,038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12,799,999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(26,260,252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 note receivable - related party (Note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 related to Merger, net of issuance of common stock as Merger consideration (Note 1)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3,037,959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(26,823,683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Retirement of treasury shares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(40,283,936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(12,799,999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53,083,935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 under share repurchase program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related to exercises of options and vesting of RSUs, net of common stock withheld due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2,449,266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Withholding taxes on net share settlements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118,858,327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(2,808,080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19"/>
        </w:rPr>
      </w:pPr>
      <w:r>
        <w:rPr>
          <w:rFonts w:ascii="Times New Roman" w:hAnsi="Times New Roman"/>
          <w:color w:val="000000"/>
          <w:sz w:val="19"/>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unaudited_consolidated_caseflow"/>
      <w:bookmarkEnd w:id="6"/>
      <w:r>
        <w:rPr>
          <w:rFonts w:ascii="Times New Roman" w:hAnsi="Times New Roman"/>
          <w:b/>
          <w:color w:val="000000"/>
          <w:sz w:val="20"/>
        </w:rPr>
        <w:t>UNAUDITED 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06"/>
        <w:gridCol w:w="146"/>
        <w:gridCol w:w="209"/>
        <w:gridCol w:w="693"/>
        <w:gridCol w:w="177"/>
        <w:gridCol w:w="156"/>
        <w:gridCol w:w="209"/>
        <w:gridCol w:w="693"/>
        <w:gridCol w:w="616"/>
      </w:tblGrid>
      <w:tr>
        <w:trPr/>
        <w:tc>
          <w:tcPr>
            <w:tcW w:w="7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Net income (loss)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(loss) to net cash provided by (used in) operating activities -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 net,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merchant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receivables/payables,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operating activities -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304.7</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operating activities -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303.5</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 expenditures, including capitalized website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investing activities,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investing activities -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investing activities -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issuance of Term Loan B Facility, net of financing costs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341.4</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2026 Senior Notes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payments on Term Loan B Facility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of common stock related to Merger, including transaction costs (Note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of common stock under the share repurchase program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withholding taxes on net share settlements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finance 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financing activities -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financing activities -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1,064.3</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Cash, cash equivalents and restricted cash at end of period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end of period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843.2</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1,155.5</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during the period for 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during the period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flow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related to Merger (Note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operating loss carryforwards retained related to Merger (Note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7" w:name="unaudited_financial_notes"/>
      <w:bookmarkEnd w:id="7"/>
      <w:r>
        <w:rPr>
          <w:rFonts w:ascii="Times New Roman" w:hAnsi="Times New Roman"/>
          <w:b/>
          <w:color w:val="000000"/>
          <w:sz w:val="20"/>
        </w:rPr>
        <w:t>NOTE 1: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refer to Tripadvisor, Inc. and our wholly-owned subsidiaries as “Tripadvisor,” “the Group,” “the Company,” “us,” “we,” and “our” in these notes to the unaudited condensed consolidated financial statements. </w:t>
      </w:r>
    </w:p>
    <w:p>
      <w:pPr>
        <w:pStyle w:val="TextBody"/>
        <w:bidi w:val="0"/>
        <w:spacing w:before="36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Tripadvisor group (the “Group”) is a portfolio of global online platforms purpose-built to connect travelers with experiences, accommodations, restaurants and other relevant travel destination points of interest (“POIs”). Our mission is to be the world's most trusted source for travel and experiences.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offer travelers the ability to search, discover, book, and review experiences, hotels, and restaurants seamlessly through our two-sided marketplaces across three primary consumer-facing brands: Viator, Tripadvisor, and TheFork. Tripadvisor also plays a unique role in broader travel planning and guidance, offering authentic traveler-submitted reviews and content, travel planning tools and related technology to instill confidence for travelers in every part of their travel journey.</w:t>
      </w:r>
    </w:p>
    <w:p>
      <w:pPr>
        <w:pStyle w:val="TextBody"/>
        <w:bidi w:val="0"/>
        <w:spacing w:before="240" w:after="283"/>
        <w:jc w:val="left"/>
        <w:rPr>
          <w:rFonts w:ascii="Times New Roman" w:hAnsi="Times New Roman"/>
          <w:sz w:val="20"/>
        </w:rPr>
      </w:pPr>
      <w:r>
        <w:rPr>
          <w:rFonts w:ascii="Times New Roman" w:hAnsi="Times New Roman"/>
          <w:color w:val="000000"/>
          <w:sz w:val="20"/>
        </w:rPr>
        <w:t>The Company's strategy is focused on growing and scaling its Experiences marketplace, which we believe represents an attractive long-term value creation opportunity, while optimizing our legacy offerings within the Hotels and Other segment for profitability. As part of its Experiences strategy, on June 14, 2026, the Company entered into a put option agreement for the sale of TheFork. As a result, TheFork business has been reclassified as a discontinued operation and is no longer a reportable segment within continuing operations. Refer to the section below titled “</w:t>
      </w:r>
      <w:r>
        <w:rPr>
          <w:rFonts w:ascii="Times New Roman" w:hAnsi="Times New Roman"/>
          <w:i/>
          <w:color w:val="000000"/>
          <w:sz w:val="20"/>
        </w:rPr>
        <w:t>Pending Sale of TheFork</w:t>
      </w:r>
      <w:r>
        <w:rPr>
          <w:rFonts w:ascii="Times New Roman" w:hAnsi="Times New Roman"/>
          <w:color w:val="000000"/>
          <w:sz w:val="20"/>
        </w:rPr>
        <w:t>” for further discussion.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Experiences segment includes Viator, a pure-play, experiences online travel agency (“OTA”), offering a two-sided global marketplace for tours, activities, and attractions; it also includes Tripadvisor’s points-of-sale for experiences. Viator's global online marketplace focus is merchandising bookable experiences to travelers that typically have relatively higher purchase intent either pre-destination or in-destination. Tripadvisor is an online global travel guidance platform that also merchandises experiences to its audience, which more commonly serves travelers in the discovery and planning phases. Both brands leverage Viator’s centralized supply platform that supports operator onboarding, operator inventory management, bookings, payments, fraud prevention, and customer support. In addition to its owned and operated platforms (Viator and Tripadvisor), the Company also syndicates its experiences supply to other third-party endemic and non-endemic demand partners. The Hotels and Other segment primarily consists of the Tripadvisor hotel and restaurant guidance platform, which includes hotel metasearch, and related advertising offerings primarily for hotels and restaurants. TheFork operates as a leading online restaurant reservation and dining management platform, enabling diners to discover and book reservations in more than 50,000 restaurants across 11 European countries as of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except for certain transactions as pertaining to the classification of TheFork as a discontinued operation, discussed below.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except as pertaining to the classification of TheFork as a discontinued operation, discussed below. There was no impact to total assets, total liabilities, total net income (loss) or total equity for the periods presented.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year ended December 31, 2025, which was previously filed with the SEC (the “2025 Annual Report”). The unaudited condensed consolidated balance sheet as of December 31, 2025 included herein was derived from the audited consolidated financial statements as of that date, but does not include all disclosures including notes required by GAAP.</w:t>
      </w:r>
    </w:p>
    <w:p>
      <w:pPr>
        <w:pStyle w:val="TextBody"/>
        <w:bidi w:val="0"/>
        <w:spacing w:before="240" w:after="283"/>
        <w:jc w:val="left"/>
        <w:rPr>
          <w:rFonts w:ascii="Times New Roman" w:hAnsi="Times New Roman"/>
          <w:sz w:val="20"/>
        </w:rPr>
      </w:pPr>
      <w:r>
        <w:rPr>
          <w:rFonts w:ascii="Times New Roman" w:hAnsi="Times New Roman"/>
          <w:b/>
          <w:i/>
          <w:color w:val="000000"/>
          <w:sz w:val="20"/>
        </w:rPr>
        <w:t>Liberty TripAdvisor Holdings, Inc. (</w:t>
      </w:r>
      <w:r>
        <w:rPr>
          <w:rFonts w:ascii="Times New Roman" w:hAnsi="Times New Roman"/>
          <w:color w:val="000000"/>
          <w:sz w:val="20"/>
        </w:rPr>
        <w:t>“</w:t>
      </w:r>
      <w:r>
        <w:rPr>
          <w:rFonts w:ascii="Times New Roman" w:hAnsi="Times New Roman"/>
          <w:b/>
          <w:i/>
          <w:color w:val="000000"/>
          <w:sz w:val="20"/>
        </w:rPr>
        <w:t>LTRIP</w:t>
      </w:r>
      <w:r>
        <w:rPr>
          <w:rFonts w:ascii="Times New Roman" w:hAnsi="Times New Roman"/>
          <w:color w:val="000000"/>
          <w:sz w:val="20"/>
        </w:rPr>
        <w:t>”</w:t>
      </w:r>
      <w:r>
        <w:rPr>
          <w:rFonts w:ascii="Times New Roman" w:hAnsi="Times New Roman"/>
          <w:b/>
          <w:i/>
          <w:color w:val="000000"/>
          <w:sz w:val="20"/>
        </w:rPr>
        <w:t xml:space="preserve">) and Tripadvisor Merger (the </w:t>
      </w:r>
      <w:r>
        <w:rPr>
          <w:rFonts w:ascii="Times New Roman" w:hAnsi="Times New Roman"/>
          <w:color w:val="000000"/>
          <w:sz w:val="20"/>
        </w:rPr>
        <w:t>“</w:t>
      </w:r>
      <w:r>
        <w:rPr>
          <w:rFonts w:ascii="Times New Roman" w:hAnsi="Times New Roman"/>
          <w:b/>
          <w:i/>
          <w:color w:val="000000"/>
          <w:sz w:val="20"/>
        </w:rPr>
        <w:t>Merger</w:t>
      </w:r>
      <w:r>
        <w:rPr>
          <w:rFonts w:ascii="Times New Roman" w:hAnsi="Times New Roman"/>
          <w:color w:val="000000"/>
          <w:sz w:val="20"/>
        </w:rPr>
        <w:t>”</w:t>
      </w:r>
      <w:r>
        <w:rPr>
          <w:rFonts w:ascii="Times New Roman" w:hAnsi="Times New Roman"/>
          <w:b/>
          <w:i/>
          <w:color w:val="000000"/>
          <w:sz w:val="20"/>
        </w:rPr>
        <w:t>) and the Loan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April 29, 2025, the Merger between the Company and LTRIP closed. The Merger was accounted for as a repurchase of the Company’s common stock previously held by LTRIP. The amount allocated to treasury stock totaled $436.5 million, consisting of: (i) aggregate cash paid of $410.7 million (including $19.1 million of direct expenses and fees associated with the repurchase) and common stock consideration paid (3,037,959 validly issued, fully paid and non-assessable shares of the Company's common stock, with a fair value of approximately $38.9 million); partially offset by (ii) $13.1 million in LTRIP net operating loss carryforwards, tax effected, retained by the Company, which was recorded as an asset to deferred income taxes, net on our unaudited condensed consolidated balance sheet during the second quarter of 2025. Prior to the closing of the Merger, on March 20, 2025, the Company provided a loan to LTRIP (the “Loan Agreement”) for $326.7 million to enable LTRIP to repurchase or settle certain of LTRIP’s outstanding debt prior to the close of the Merger, which was recorded to “stockholder note receivable - related party” as a reduction to stockholders’ equity on our unaudited condensed consolidated balance sheet as of March 31, 2025. Upon the closing of the Merger, the loan balance was included in the aggregate transaction price and, therefore, no longer payable to the Company by LTRIP. Refer to “Note 1: </w:t>
      </w:r>
      <w:r>
        <w:rPr>
          <w:rFonts w:ascii="Times New Roman" w:hAnsi="Times New Roman"/>
          <w:i/>
          <w:color w:val="000000"/>
          <w:sz w:val="20"/>
        </w:rPr>
        <w:t>Organization and Business Description</w:t>
      </w:r>
      <w:r>
        <w:rPr>
          <w:rFonts w:ascii="Times New Roman" w:hAnsi="Times New Roman"/>
          <w:color w:val="000000"/>
          <w:sz w:val="20"/>
        </w:rPr>
        <w:t xml:space="preserve">”, in the notes to the consolidated financial statements in Item 8 of our 2025 Annual Report for further discussion of the Merger transaction and “Note 11: </w:t>
      </w:r>
      <w:r>
        <w:rPr>
          <w:rFonts w:ascii="Times New Roman" w:hAnsi="Times New Roman"/>
          <w:i/>
          <w:color w:val="000000"/>
          <w:sz w:val="20"/>
        </w:rPr>
        <w:t>Stockholders' Equity</w:t>
      </w:r>
      <w:r>
        <w:rPr>
          <w:rFonts w:ascii="Times New Roman" w:hAnsi="Times New Roman"/>
          <w:color w:val="000000"/>
          <w:sz w:val="20"/>
        </w:rPr>
        <w:t xml:space="preserve">” below for further information regarding the repurchase and subsequent retirement of the Company's common stock repurchased in this transaction.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Pending Sale of TheFork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14, 2026, the Company, entered into a put option agreement (the “Put Option Agreement”) with American Express Travel Related Services Company, Inc. (“American Express Travel”) to sell TheFork, its online restaurant and management platform in Europe, for $700.0 million in cash, subject to certain adjustments. Pursuant to the Put Option Agreement, American Express Travel provided an irrevocable commitment to acquire TheFork. On August 1, 2026, following the completion of the required consultation process with the relevant French Works Council on July 30, 2026, the Company exercised the put option. On August 2, 2026, the Company entered into an Equity Purchase Agreement with American Express Travel to sell TheFork. The closing of the transaction remains subject to certain customary closing conditions, including regulatory approvals. The sale of TheFork is expected to be completed by the end of 2026.</w:t>
      </w:r>
    </w:p>
    <w:p>
      <w:pPr>
        <w:pStyle w:val="TextBody"/>
        <w:bidi w:val="0"/>
        <w:spacing w:before="240" w:after="283"/>
        <w:jc w:val="left"/>
        <w:rPr>
          <w:rFonts w:ascii="Times New Roman" w:hAnsi="Times New Roman"/>
          <w:sz w:val="20"/>
        </w:rPr>
      </w:pPr>
      <w:r>
        <w:rPr>
          <w:rFonts w:ascii="Times New Roman" w:hAnsi="Times New Roman"/>
          <w:color w:val="000000"/>
          <w:sz w:val="20"/>
        </w:rPr>
        <w:t>Upon execution of the Put Option Agreement, the assets and liabilities of the TheFork business met the accounting requirements to be classified as held for sale. In addition, the accounting requirements for reporting the TheFork business as a discontinued operation were also satisfied as the transaction constitutes a strategic shift that will have a major effect on the Company's operations and financial results. We analyzed the quantitative and qualitative factors relevant to the pending divestiture of TheFork business and determined that those factors for discontinued operations presentation have been met. As such, the financial results of the TheFork business are classified as discontinued operations in the unaudited condensed consolidated financial statements for all periods presented. Unless otherwise noted, all amounts, percentages, and any discussion in this Quarterly Report on Form 10-Q reflect the results from continuing operations, except for the unaudited condensed consolidated statements of comprehensive income and unaudited condensed consolidated statements of stockholders' equity, which are presented on a combined continuing and discontinued operations basis. Refer to Note 3: “</w:t>
      </w:r>
      <w:r>
        <w:rPr>
          <w:rFonts w:ascii="Times New Roman" w:hAnsi="Times New Roman"/>
          <w:i/>
          <w:color w:val="000000"/>
          <w:sz w:val="20"/>
        </w:rPr>
        <w:t>Discontinued Operations</w:t>
      </w:r>
      <w:r>
        <w:rPr>
          <w:rFonts w:ascii="Times New Roman" w:hAnsi="Times New Roman"/>
          <w:color w:val="000000"/>
          <w:sz w:val="20"/>
        </w:rPr>
        <w:t xml:space="preserve">” for further information. Furthermore, upon classification of TheFork business as discontinued operations, the Company determined that TheFork is no longer a reportable segment. The Company will continue to own and operate the TheFork business until the closing of the transaction resulting in the sale of TheFork. The Company's continuing operations now consist of two reportable segments: (1) Experiences, and (2) Hotels and Other. All prior period segment disclosure information has been recast to conform to the current reporting structure. Refer to “Note 13: </w:t>
      </w:r>
      <w:r>
        <w:rPr>
          <w:rFonts w:ascii="Times New Roman" w:hAnsi="Times New Roman"/>
          <w:i/>
          <w:color w:val="000000"/>
          <w:sz w:val="20"/>
        </w:rPr>
        <w:t>Segment Information</w:t>
      </w:r>
      <w:r>
        <w:rPr>
          <w:rFonts w:ascii="Times New Roman" w:hAnsi="Times New Roman"/>
          <w:color w:val="000000"/>
          <w:sz w:val="20"/>
        </w:rPr>
        <w:t xml:space="preserve">” for further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Intercompany transactions related to an existing commercial agreement between the Company and TheFork, expected to continue post-divesture, are presented separately between the Company's continuing and discontinued operations. These transactions were previously eliminated in the Company's unaudited condensed consolidated financial statements. The unaudited condensed consolidated statements of operations for all periods presented have been adjusted to reflect this change. This change had no impact on the Company’s total net income (loss) and did not have a material effect on its unaudited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closing of the transaction, the Company will enter into a Transition Services Agreement (“TSA”) with American Express Travel to provide certain transition services and access to services available through the Company's existing licensing agreements for a defined period in order to facilitate the transition. The services to be provided by the Company under the TSA are considered usual and customary and include finance, information technology, human resources and certain other administrative services.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and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and other countries have seen increased economic uncertainty (including with respect to tariffs, the threat of tariffs and changes in trade policies), market volatility, elevated levels of inflation and fluctuating discretionary spending patterns by consumers, all of which may impact our business. If macroeconomic conditions deteriorate, consumer demand and spending may decline, we may not be able to pass on increased costs to our customers and any inability to navigate the macroeconomic environment could harm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Natural disasters, public health-related events, political instability, geopolitical conflicts, including the evolving events in the Middle East, Iran, and between Ukraine and Russia, acts of terrorism, fluctuations in currency values, and changes in global economic conditions and/or legislation and regulation are examples of other events that could have a negative impact on the travel industry, and as a result,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risks and uncertainties associated with our ability to complete the pending sale of TheFork, including the satisfaction of closing conditions (such as obtaining required regulatory and antitrust clearance); unexpected complexities or costs relating to segregating shared systems and operations; and other potential unforeseen costs or tax consequences related to the divestiture.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2: </w:t>
      </w:r>
      <w:r>
        <w:rPr>
          <w:rFonts w:ascii="Times New Roman" w:hAnsi="Times New Roman"/>
          <w:i/>
          <w:color w:val="000000"/>
          <w:sz w:val="20"/>
        </w:rPr>
        <w:t>Significant Accounting Policies</w:t>
      </w:r>
      <w:r>
        <w:rPr>
          <w:rFonts w:ascii="Times New Roman" w:hAnsi="Times New Roman"/>
          <w:color w:val="000000"/>
          <w:sz w:val="20"/>
        </w:rPr>
        <w:t xml:space="preserve">” under “Certain Risks and Concentrations” in the notes to the consolidated financial statements in Item 8 of our 2025 Annual Report for further discussion of additional risks, such as credit risk and concentration risk with customers. </w:t>
      </w:r>
    </w:p>
    <w:p>
      <w:pPr>
        <w:pStyle w:val="TextBody"/>
        <w:bidi w:val="0"/>
        <w:spacing w:before="360" w:after="283"/>
        <w:jc w:val="both"/>
        <w:rPr>
          <w:rFonts w:ascii="Times New Roman" w:hAnsi="Times New Roman"/>
          <w:sz w:val="20"/>
        </w:rPr>
      </w:pPr>
      <w:r>
        <w:rPr>
          <w:rFonts w:ascii="Times New Roman" w:hAnsi="Times New Roman"/>
          <w:b/>
          <w:color w:val="000000"/>
          <w:sz w:val="20"/>
        </w:rPr>
        <w:t>Accounting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are within accounting for income taxes. Refer to “Note 8: </w:t>
      </w:r>
      <w:r>
        <w:rPr>
          <w:rFonts w:ascii="Times New Roman" w:hAnsi="Times New Roman"/>
          <w:i/>
          <w:color w:val="000000"/>
          <w:sz w:val="20"/>
        </w:rPr>
        <w:t>Income Taxes</w:t>
      </w:r>
      <w:r>
        <w:rPr>
          <w:rFonts w:ascii="Times New Roman" w:hAnsi="Times New Roman"/>
          <w:color w:val="000000"/>
          <w:sz w:val="20"/>
        </w:rPr>
        <w:t>” for information regarding our significant income tax estimates.</w:t>
      </w:r>
    </w:p>
    <w:p>
      <w:pPr>
        <w:pStyle w:val="TextBody"/>
        <w:bidi w:val="0"/>
        <w:spacing w:before="36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 experiences taken, and traveler accommodation stays,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or economic uncertainty, public health-related events, as well as other factors.</w:t>
      </w:r>
    </w:p>
    <w:p>
      <w:pPr>
        <w:pStyle w:val="TextBody"/>
        <w:bidi w:val="0"/>
        <w:spacing w:before="360" w:after="283"/>
        <w:jc w:val="left"/>
        <w:rPr>
          <w:rFonts w:ascii="Times New Roman" w:hAnsi="Times New Roman"/>
          <w:sz w:val="20"/>
        </w:rPr>
      </w:pPr>
      <w:r>
        <w:rPr>
          <w:rFonts w:ascii="Times New Roman" w:hAnsi="Times New Roman"/>
          <w:b/>
          <w:color w:val="000000"/>
          <w:sz w:val="20"/>
        </w:rPr>
        <w:t>NOTE 2: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have been no material changes to our accounting policies since December 31, 2025, as described under “Note 2: </w:t>
      </w:r>
      <w:r>
        <w:rPr>
          <w:rFonts w:ascii="Times New Roman" w:hAnsi="Times New Roman"/>
          <w:i/>
          <w:color w:val="000000"/>
          <w:sz w:val="20"/>
        </w:rPr>
        <w:t>Significant Accounting Policies</w:t>
      </w:r>
      <w:r>
        <w:rPr>
          <w:rFonts w:ascii="Times New Roman" w:hAnsi="Times New Roman"/>
          <w:color w:val="000000"/>
          <w:sz w:val="20"/>
        </w:rPr>
        <w:t>”, in the notes to consolidated financial statements in Item 8 of our 2025 Annual Report.</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Adopted</w:t>
      </w:r>
      <w:r>
        <w:rPr>
          <w:rFonts w:ascii="Times New Roman" w:hAnsi="Times New Roman"/>
          <w:color w:val="000000"/>
          <w:sz w:val="20"/>
        </w:rPr>
        <w:t xml:space="preserve"> </w:t>
      </w:r>
      <w:r>
        <w:rPr>
          <w:rFonts w:ascii="Times New Roman" w:hAnsi="Times New Roman"/>
          <w:b/>
          <w:i/>
          <w:color w:val="000000"/>
          <w:sz w:val="20"/>
        </w:rPr>
        <w:t>Accounting Pronouncement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the Financial Accounting Standards Board (the “FASB”) issued new accounting guidance that clarifies the requirements for determining whether certain settlements of convertible debt instruments should be accounted for as an induced conversion. This guidance is effective for the 2026 annual period, including the interim reporting periods within. We adopted this guidance in the first quarter of 2026 and the adoption did not have a material impact on our unaudited condensed consolidated financial statements or related disclosures.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2025, the FASB issued new accounting guidance that provides a practical expedient permitting an entity to assume that conditions at the balance sheet date remain unchanged over the life of the asset when estimating expected credit losses for current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accounts receivable and current contract assets accounted for under ASC 606, </w:t>
      </w:r>
      <w:r>
        <w:rPr>
          <w:rFonts w:ascii="Times New Roman" w:hAnsi="Times New Roman"/>
          <w:i/>
          <w:color w:val="000000"/>
          <w:sz w:val="20"/>
        </w:rPr>
        <w:t>Revenue from Contracts with Customers</w:t>
      </w:r>
      <w:r>
        <w:rPr>
          <w:rFonts w:ascii="Times New Roman" w:hAnsi="Times New Roman"/>
          <w:color w:val="000000"/>
          <w:sz w:val="20"/>
        </w:rPr>
        <w:t>. This guidance is effective for the 2026 annual period, including the interim reporting periods within. We adopted this guidance in the first quarter of 2026 prospectively and the adoption did not have a material impact on our unaudited condensed consolidated financial statements or related disclosures.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New Accounting Pronouncements Not Yet Adopted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new accounting guidance expanding disclosure requirements related to certain income statement expenses. The guidance requires tabular footnote disclosure of certain operating expenses disaggregated into categories, such as employee compensation, depreciation, and intangible asset amortization, included within each interim and annual income statement's expense caption, as applicable. This guidance is effective for fiscal years beginning after December 15, 2026, and interim periods within fiscal years beginning after December 15, 2027, with early adoption permitted, and may be applied either prospectively or retrospectively.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the FASB issued new accounting guidance that modernizes the recognition and disclosure framework for internal-use software costs, removing the previous “development stage” model and introducing a more judgment-based approach. This guidance is effective for fiscal years beginning after December 15, 2027, and interim periods within those annual reporting periods, with early adoption permitted.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FASB issued new accounting guidance, which clarifies the guidance in ASC 270, </w:t>
      </w:r>
      <w:r>
        <w:rPr>
          <w:rFonts w:ascii="Times New Roman" w:hAnsi="Times New Roman"/>
          <w:i/>
          <w:color w:val="000000"/>
          <w:sz w:val="20"/>
        </w:rPr>
        <w:t>Interim Reporting</w:t>
      </w:r>
      <w:r>
        <w:rPr>
          <w:rFonts w:ascii="Times New Roman" w:hAnsi="Times New Roman"/>
          <w:color w:val="000000"/>
          <w:sz w:val="20"/>
        </w:rPr>
        <w:t>, to improve the consistency of interim financial reporting. The guidance provides a comprehensive list of required interim disclosures and introduces a disclosure principle requiring entities to disclose events since the end of the last annual reporting period that have a material impact on the entity. This guidance is effective for fiscal years beginning after December 15, 2027, including interim periods within those fiscal years, with early adoption permitted.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currently considering the timing of adoption and are in the process of evaluating the impact of adopting these newly issued accounting rules on the Company's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DISCONTINUED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operating results of the discontinued operations only reflect revenues and expenses that are directly attributable to TheFork business that are no longer included in continuing operations. Certain shared costs, primarily personnel costs, previously allocated to the TheFork reportable segment, do not qualify for discontinued operations accounting classification and are reported within continuing operations for all periods presented (or “stranded costs”). These costs are included in general and administrative expenses on our unaudited condensed consolidated statements of operations, and are $1.0 million and $2.2 million for the three and six months ended June 30, 2026, respectively, and $1.0 million and $1.8 million for the three and six months ended June 30, 2025, respectively.</w:t>
        <w:b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table below details the major classes of line items constituting net income from discontinued operations, net of income taxes in the unaudited 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94"/>
        <w:gridCol w:w="146"/>
        <w:gridCol w:w="211"/>
        <w:gridCol w:w="466"/>
        <w:gridCol w:w="166"/>
        <w:gridCol w:w="146"/>
        <w:gridCol w:w="211"/>
        <w:gridCol w:w="466"/>
        <w:gridCol w:w="166"/>
        <w:gridCol w:w="146"/>
        <w:gridCol w:w="211"/>
        <w:gridCol w:w="571"/>
        <w:gridCol w:w="166"/>
        <w:gridCol w:w="146"/>
        <w:gridCol w:w="211"/>
        <w:gridCol w:w="571"/>
        <w:gridCol w:w="411"/>
      </w:tblGrid>
      <w:tr>
        <w:trPr/>
        <w:tc>
          <w:tcPr>
            <w:tcW w:w="5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5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 (exclusive of depreciation and amortization as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(including stock-based compensation of $2.3, $2.9, $4.6 and $5.6,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related reorganization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16"/>
        </w:rPr>
        <w:t>Beginning in June 2026, the Company ceased recognition of depreciation and amortization of TheFork's long-lived assets upon determination it met held for sale criteria under GAAP.</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table below details the major classes of TheFork assets and liabilities held for sale, which are summarized separately in the 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7487"/>
        <w:gridCol w:w="146"/>
        <w:gridCol w:w="207"/>
        <w:gridCol w:w="541"/>
        <w:gridCol w:w="146"/>
        <w:gridCol w:w="146"/>
        <w:gridCol w:w="314"/>
        <w:gridCol w:w="823"/>
        <w:gridCol w:w="395"/>
      </w:tblGrid>
      <w:tr>
        <w:trPr/>
        <w:tc>
          <w:tcPr>
            <w:tcW w:w="7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Accounts receivable, net of allowance for expected credit losses of $15.2</w:t>
            </w:r>
            <w:r>
              <w:rPr>
                <w:rFonts w:ascii="Times New Roman" w:hAnsi="Times New Roman"/>
                <w:color w:val="000000"/>
                <w:sz w:val="20"/>
              </w:rPr>
              <w:t> </w:t>
            </w:r>
            <w:r>
              <w:rPr>
                <w:rFonts w:ascii="Times New Roman" w:hAnsi="Times New Roman"/>
                <w:color w:val="000000"/>
                <w:sz w:val="18"/>
              </w:rPr>
              <w:t>and $12.0,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current assets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Property and equipment, net of accumulated depreciation of $89.1 and $82.5, respectively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Operating lease right-of-use assets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Intangible assets, net of accumulated amortization of $77.9</w:t>
            </w:r>
            <w:r>
              <w:rPr>
                <w:rFonts w:ascii="Times New Roman" w:hAnsi="Times New Roman"/>
                <w:color w:val="000000"/>
                <w:sz w:val="20"/>
              </w:rPr>
              <w:t> </w:t>
            </w:r>
            <w:r>
              <w:rPr>
                <w:rFonts w:ascii="Times New Roman" w:hAnsi="Times New Roman"/>
                <w:color w:val="000000"/>
                <w:sz w:val="18"/>
              </w:rPr>
              <w:t>and $80.0,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Other long-term assets, net of allowance for expected credit losses of $10.0 and $10.0, respectively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noncurrent assets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191.8</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TOTAL ASSETS HELD FOR SALE FROM DISCONTINUED OPERATIONS </w:t>
            </w:r>
            <w:r>
              <w:rPr>
                <w:rFonts w:ascii="Times New Roman" w:hAnsi="Times New Roman"/>
                <w:b/>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288.9</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current liabilities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noncurrent liabilities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TOTAL LIABILITIES HELD FOR SALE FROM DISCONTINUED OPERATIONS </w:t>
            </w:r>
            <w:r>
              <w:rPr>
                <w:rFonts w:ascii="Times New Roman" w:hAnsi="Times New Roman"/>
                <w:b/>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20" w:after="283"/>
        <w:jc w:val="both"/>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16"/>
        </w:rPr>
        <w:t>The assets and liabilities held for sale from discontinued operations are classified as current on the June 30, 2026 unaudited condensed consolidated balance sheet because the transaction is expected to close within one year of the balance sheet date. As of December 31, 2025, held for sale classification for TheFork did not exist,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both"/>
        <w:rPr>
          <w:rFonts w:ascii="Times New Roman" w:hAnsi="Times New Roman"/>
          <w:sz w:val="20"/>
        </w:rPr>
      </w:pPr>
      <w:r>
        <w:rPr>
          <w:rFonts w:ascii="Times New Roman" w:hAnsi="Times New Roman"/>
          <w:color w:val="000000"/>
          <w:sz w:val="16"/>
        </w:rPr>
        <w:t>therefore its assets and liabilities retain original current and noncurrent classification. In addition, as of June 30, 2026, an accumulated other comprehensive loss of $19.0</w:t>
      </w:r>
      <w:r>
        <w:rPr>
          <w:rFonts w:ascii="Times New Roman" w:hAnsi="Times New Roman"/>
          <w:color w:val="000000"/>
          <w:sz w:val="20"/>
        </w:rPr>
        <w:t xml:space="preserve"> </w:t>
      </w:r>
      <w:r>
        <w:rPr>
          <w:rFonts w:ascii="Times New Roman" w:hAnsi="Times New Roman"/>
          <w:color w:val="000000"/>
          <w:sz w:val="16"/>
        </w:rPr>
        <w:t>million was excluded from the table above which will be netted from the gain on the sale of TheFork upon the closing of the transaction.</w:t>
      </w:r>
      <w:r>
        <w:rPr>
          <w:rFonts w:ascii="Times New Roman" w:hAnsi="Times New Roman"/>
          <w:color w:val="000000"/>
          <w:sz w:val="20"/>
        </w:rPr>
        <w:t xml:space="preserve"> </w:t>
      </w:r>
    </w:p>
    <w:p>
      <w:pPr>
        <w:pStyle w:val="TextBody"/>
        <w:bidi w:val="0"/>
        <w:jc w:val="both"/>
        <w:rPr>
          <w:rFonts w:ascii="Times New Roman" w:hAnsi="Times New Roman"/>
          <w:color w:val="000000"/>
          <w:sz w:val="16"/>
        </w:rPr>
      </w:pPr>
      <w:r>
        <w:rPr>
          <w:rFonts w:ascii="Times New Roman" w:hAnsi="Times New Roman"/>
          <w:color w:val="000000"/>
          <w:sz w:val="16"/>
        </w:rPr>
        <w:t>(2) Beginning in June 2026, the Company ceased recognition of depreciation and amortization of TheFork's long-lived assets upon determination it met held for sale criteria under GAAP.</w:t>
      </w:r>
    </w:p>
    <w:p>
      <w:pPr>
        <w:pStyle w:val="TextBody"/>
        <w:bidi w:val="0"/>
        <w:jc w:val="both"/>
        <w:rPr>
          <w:rFonts w:ascii="Times New Roman" w:hAnsi="Times New Roman"/>
          <w:sz w:val="20"/>
        </w:rPr>
      </w:pPr>
      <w:r>
        <w:rPr>
          <w:rFonts w:ascii="Times New Roman" w:hAnsi="Times New Roman"/>
          <w:color w:val="000000"/>
          <w:sz w:val="16"/>
        </w:rPr>
        <w:t>(3)</w:t>
      </w:r>
      <w:r>
        <w:rPr>
          <w:rFonts w:ascii="Times New Roman" w:hAnsi="Times New Roman"/>
          <w:color w:val="000000"/>
          <w:sz w:val="20"/>
        </w:rPr>
        <w:t xml:space="preserve"> </w:t>
      </w:r>
      <w:r>
        <w:rPr>
          <w:rFonts w:ascii="Times New Roman" w:hAnsi="Times New Roman"/>
          <w:color w:val="000000"/>
          <w:sz w:val="16"/>
        </w:rPr>
        <w:t>TheFork holds collateralized notes ("Notes Receivable") issued by a privately held company with a total principal amount of $20.0</w:t>
      </w:r>
      <w:r>
        <w:rPr>
          <w:rFonts w:ascii="Times New Roman" w:hAnsi="Times New Roman"/>
          <w:color w:val="000000"/>
          <w:sz w:val="20"/>
        </w:rPr>
        <w:t xml:space="preserve"> </w:t>
      </w:r>
      <w:r>
        <w:rPr>
          <w:rFonts w:ascii="Times New Roman" w:hAnsi="Times New Roman"/>
          <w:color w:val="000000"/>
          <w:sz w:val="16"/>
        </w:rPr>
        <w:t>million, classified as held-to-maturity, as TheFork has concluded it has the positive intent and ability to hold the notes until maturity, with 50% due June 2028 and the remaining 50% due June 2030, or the date on which there is a change in control, whichever is earlier. As of both June 30, 2026 and December 31, 2025, the carrying value of the Notes Receivable was $9.2</w:t>
      </w:r>
      <w:r>
        <w:rPr>
          <w:rFonts w:ascii="Times New Roman" w:hAnsi="Times New Roman"/>
          <w:color w:val="000000"/>
          <w:sz w:val="20"/>
        </w:rPr>
        <w:t xml:space="preserve"> </w:t>
      </w:r>
      <w:r>
        <w:rPr>
          <w:rFonts w:ascii="Times New Roman" w:hAnsi="Times New Roman"/>
          <w:color w:val="000000"/>
          <w:sz w:val="16"/>
        </w:rPr>
        <w:t>million, net of accumulated allowance for credit losses.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significant cash flow items from discontinued operations included within the unaudited condensed consolidated statements of cash flows:</w:t>
      </w:r>
    </w:p>
    <w:tbl>
      <w:tblPr>
        <w:tblW w:w="7294" w:type="dxa"/>
        <w:jc w:val="left"/>
        <w:tblInd w:w="0" w:type="dxa"/>
        <w:tblLayout w:type="fixed"/>
        <w:tblCellMar>
          <w:top w:w="28" w:type="dxa"/>
          <w:left w:w="28" w:type="dxa"/>
          <w:bottom w:w="28" w:type="dxa"/>
          <w:right w:w="28" w:type="dxa"/>
        </w:tblCellMar>
      </w:tblPr>
      <w:tblGrid>
        <w:gridCol w:w="5416"/>
        <w:gridCol w:w="146"/>
        <w:gridCol w:w="211"/>
        <w:gridCol w:w="466"/>
        <w:gridCol w:w="146"/>
        <w:gridCol w:w="146"/>
        <w:gridCol w:w="211"/>
        <w:gridCol w:w="361"/>
        <w:gridCol w:w="19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 including capitalized website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4: 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have been no material changes to our principal revenue streams, revenue recognition policies, performance obligations, description of and timing of services, or customer payment terms since December 31, 2025, as described under “Note 2: </w:t>
      </w:r>
      <w:r>
        <w:rPr>
          <w:rFonts w:ascii="Times New Roman" w:hAnsi="Times New Roman"/>
          <w:i/>
          <w:color w:val="000000"/>
          <w:sz w:val="20"/>
        </w:rPr>
        <w:t>Significant Accounting Policies</w:t>
      </w:r>
      <w:r>
        <w:rPr>
          <w:rFonts w:ascii="Times New Roman" w:hAnsi="Times New Roman"/>
          <w:color w:val="000000"/>
          <w:sz w:val="20"/>
        </w:rPr>
        <w:t xml:space="preserve">” in the notes to consolidated financial statements in Item 8 of our 2025 Annual Report. There was no significant revenue recognized in the three and six months ended June 30, 2026 and 2025, related to performance obligations satisfied in prior periods. We have applied a practical expedient and do not disclose the 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 </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We disaggregate revenue from contracts with customers into major products/revenue sources. We have determined that disaggregating revenue into these categories achieves the disclosure objective under GAAP, which is to depict how the nature, amount, timing, and uncertainty of revenue and cash flows are affected by economic factors. As noted in “Note 1: </w:t>
      </w:r>
      <w:r>
        <w:rPr>
          <w:rFonts w:ascii="Times New Roman" w:hAnsi="Times New Roman"/>
          <w:i/>
          <w:color w:val="000000"/>
          <w:sz w:val="20"/>
        </w:rPr>
        <w:t>Basis of Presentation</w:t>
      </w:r>
      <w:r>
        <w:rPr>
          <w:rFonts w:ascii="Times New Roman" w:hAnsi="Times New Roman"/>
          <w:color w:val="000000"/>
          <w:sz w:val="20"/>
        </w:rPr>
        <w:t>”, under the section titled “</w:t>
      </w:r>
      <w:r>
        <w:rPr>
          <w:rFonts w:ascii="Times New Roman" w:hAnsi="Times New Roman"/>
          <w:i/>
          <w:color w:val="000000"/>
          <w:sz w:val="20"/>
        </w:rPr>
        <w:t>Pending Sale of TheFork</w:t>
      </w:r>
      <w:r>
        <w:rPr>
          <w:rFonts w:ascii="Times New Roman" w:hAnsi="Times New Roman"/>
          <w:color w:val="000000"/>
          <w:sz w:val="20"/>
        </w:rPr>
        <w:t xml:space="preserve">”, and “Note 13: </w:t>
      </w:r>
      <w:r>
        <w:rPr>
          <w:rFonts w:ascii="Times New Roman" w:hAnsi="Times New Roman"/>
          <w:i/>
          <w:color w:val="000000"/>
          <w:sz w:val="20"/>
        </w:rPr>
        <w:t>Segment Information</w:t>
      </w:r>
      <w:r>
        <w:rPr>
          <w:rFonts w:ascii="Times New Roman" w:hAnsi="Times New Roman"/>
          <w:color w:val="000000"/>
          <w:sz w:val="20"/>
        </w:rPr>
        <w:t xml:space="preserve">”, our business consists of two reportable segments – (1) Experiences and (2) Hotels and Other. A reconciliation of disaggregated revenue to segment revenue is included below: </w:t>
      </w:r>
    </w:p>
    <w:tbl>
      <w:tblPr>
        <w:tblW w:w="7992" w:type="dxa"/>
        <w:jc w:val="left"/>
        <w:tblInd w:w="0" w:type="dxa"/>
        <w:tblLayout w:type="fixed"/>
        <w:tblCellMar>
          <w:top w:w="28" w:type="dxa"/>
          <w:left w:w="28" w:type="dxa"/>
          <w:bottom w:w="28" w:type="dxa"/>
          <w:right w:w="28" w:type="dxa"/>
        </w:tblCellMar>
      </w:tblPr>
      <w:tblGrid>
        <w:gridCol w:w="3121"/>
        <w:gridCol w:w="146"/>
        <w:gridCol w:w="252"/>
        <w:gridCol w:w="683"/>
        <w:gridCol w:w="174"/>
        <w:gridCol w:w="174"/>
        <w:gridCol w:w="252"/>
        <w:gridCol w:w="683"/>
        <w:gridCol w:w="146"/>
        <w:gridCol w:w="146"/>
        <w:gridCol w:w="230"/>
        <w:gridCol w:w="623"/>
        <w:gridCol w:w="159"/>
        <w:gridCol w:w="159"/>
        <w:gridCol w:w="230"/>
        <w:gridCol w:w="623"/>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Major products/revenue sources </w:t>
            </w:r>
            <w:r>
              <w:rPr>
                <w:rFonts w:ascii="Times New Roman" w:hAnsi="Times New Roman"/>
                <w:b/>
                <w:color w:val="000000"/>
                <w:sz w:val="13"/>
              </w:rPr>
              <w:t>(1)</w:t>
            </w: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3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Hotels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Hotels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Media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Hotels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767.7</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Our revenue is recognized primarily at a point in time for both reportable segments.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liabilities generally include payments received in advance of performance under the contract and are realized as revenue as the performance obligation to the customer is satisfied, which we present as deferred revenue on our consolidated balance sheet, including amounts that are refundable. As of January 1, 2026, we had $53.3 million recorded as deferred revenue on our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unaudited condensed consolidated balance sheet, of which $9.3 million and $42.5 million was recognized as revenue during the three and six months ended June 30, 2026, respectively. During the three and six months ended June 30, 2026, refunds due to cancellations by travelers were $1.0 million and $4.6 million, respectively. As of January 1, 2025, we had $46.8 million recorded as deferred revenue on our unaudited condensed consolidated balance sheet, of which $8.4 million and $37.0 million was recognized as revenue during the three and six months ended June 30, 2025, respectively. During the three months ended June 30, 2025, refunds due to cancellations by travelers was not material, while this amount was $3.2 million during the six months ended June 30, 2025. The difference between the opening and closing balances of our deferred revenue primarily results from the timing differences between when we receive customer payments and the time in which we satisfy our performance obligations.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FINANCIAL INSTRUMENTS AND 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assets and liabilities required to be reported at fair value, GAAP provides a hierarchy that prioritizes inputs to valuation techniques used to measure fair value into three broad levels: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1—Valuations are based on quoted market prices for identical assets and liabilities in active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3—Valuations are based on unobservable inputs reflecting our own assumptions, consistent with reasonably available assumptions made by other market participants. These valuations require significant judgment.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and Marketable Securities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June 30, 2026 and December 31, 2025, we had $843.2 million and $978.0 million of cash and cash equivalents, respectively, which consisted of available on demand bank deposits and time deposits, as well as money market funds, with maturities of three months or less at the date of purchase, in each case, with major global financial institutions. We had no outstanding investments classified as either short-term or long-term marketable securities as of June 30, 2026 or December 31, 2025, and there were no purchases or sales of any marketable securities during and for the three and six months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our cash and cash equivalents that are measured at fair value on a recurring basis and are categorized using the fair value hierarchy, as well as their classification on our unaudited condensed consolidated balance sheets as of June 30, 2026 and December 31, 2025:</w:t>
      </w:r>
    </w:p>
    <w:tbl>
      <w:tblPr>
        <w:tblW w:w="10205" w:type="dxa"/>
        <w:jc w:val="left"/>
        <w:tblInd w:w="0" w:type="dxa"/>
        <w:tblLayout w:type="fixed"/>
        <w:tblCellMar>
          <w:top w:w="28" w:type="dxa"/>
          <w:left w:w="28" w:type="dxa"/>
          <w:bottom w:w="28" w:type="dxa"/>
          <w:right w:w="28" w:type="dxa"/>
        </w:tblCellMar>
      </w:tblPr>
      <w:tblGrid>
        <w:gridCol w:w="1425"/>
        <w:gridCol w:w="146"/>
        <w:gridCol w:w="267"/>
        <w:gridCol w:w="723"/>
        <w:gridCol w:w="146"/>
        <w:gridCol w:w="146"/>
        <w:gridCol w:w="241"/>
        <w:gridCol w:w="654"/>
        <w:gridCol w:w="146"/>
        <w:gridCol w:w="146"/>
        <w:gridCol w:w="351"/>
        <w:gridCol w:w="952"/>
        <w:gridCol w:w="146"/>
        <w:gridCol w:w="146"/>
        <w:gridCol w:w="267"/>
        <w:gridCol w:w="723"/>
        <w:gridCol w:w="146"/>
        <w:gridCol w:w="146"/>
        <w:gridCol w:w="241"/>
        <w:gridCol w:w="654"/>
        <w:gridCol w:w="146"/>
        <w:gridCol w:w="146"/>
        <w:gridCol w:w="351"/>
        <w:gridCol w:w="952"/>
        <w:gridCol w:w="798"/>
      </w:tblGrid>
      <w:tr>
        <w:trPr/>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We did not have any unrealized gains and losses related to our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pStyle w:val="TextBody"/>
        <w:bidi w:val="0"/>
        <w:spacing w:before="360" w:after="283"/>
        <w:jc w:val="left"/>
        <w:rPr>
          <w:rFonts w:ascii="Times New Roman" w:hAnsi="Times New Roman"/>
          <w:sz w:val="20"/>
        </w:rPr>
      </w:pPr>
      <w:r>
        <w:rPr>
          <w:rFonts w:ascii="Times New Roman" w:hAnsi="Times New Roman"/>
          <w:b/>
          <w:i/>
          <w:color w:val="000000"/>
          <w:sz w:val="20"/>
        </w:rPr>
        <w:t>Other Financial Assets and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financial instruments not measured at fair value on a recurring basis, including accounts payable, accrued expenses and other current liabilities, and deferred merchant payables, were carried at cost on our unaudited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condensed consolidated balance sheets, which approximates their fair values because of the short-term nature of these items. Accounts receivable, including contract assets as described below, as well as certain other financial assets, are measured at amortized cost and are carried at cost less an allowance for expected credit losses on our unaudited condensed consolidated balance sheets to present the net amount expected to be collected.</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information about the opening and closing balances of accounts receivable, including contract assets, net of allowance for expected credit losses, from contracts with customers as of the dates presented:</w:t>
      </w:r>
    </w:p>
    <w:tbl>
      <w:tblPr>
        <w:tblW w:w="5025" w:type="dxa"/>
        <w:jc w:val="left"/>
        <w:tblInd w:w="0" w:type="dxa"/>
        <w:tblLayout w:type="fixed"/>
        <w:tblCellMar>
          <w:top w:w="28" w:type="dxa"/>
          <w:left w:w="28" w:type="dxa"/>
          <w:bottom w:w="28" w:type="dxa"/>
          <w:right w:w="28" w:type="dxa"/>
        </w:tblCellMar>
      </w:tblPr>
      <w:tblGrid>
        <w:gridCol w:w="1771"/>
        <w:gridCol w:w="146"/>
        <w:gridCol w:w="303"/>
        <w:gridCol w:w="822"/>
        <w:gridCol w:w="146"/>
        <w:gridCol w:w="146"/>
        <w:gridCol w:w="403"/>
        <w:gridCol w:w="1097"/>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during the periods ended June 30, 2026 and December 31, 2025 related to business combinations, impairments, cumulative catch-ups or other material adjustments.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Fair Value of Debt</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following table shows the aggregate principal and fair value amount of the 2026 Senior Notes and Term Loan B Facility as of the dates presented, classified as short-term and long-term debt on our unaudited condensed consolidated balance sheets and are considered Level 2 fair value measurements. Refer to “Note 7: </w:t>
      </w:r>
      <w:r>
        <w:rPr>
          <w:rFonts w:ascii="Times New Roman" w:hAnsi="Times New Roman"/>
          <w:i/>
          <w:color w:val="000000"/>
          <w:sz w:val="20"/>
        </w:rPr>
        <w:t>Debt</w:t>
      </w:r>
      <w:r>
        <w:rPr>
          <w:rFonts w:ascii="Times New Roman" w:hAnsi="Times New Roman"/>
          <w:color w:val="000000"/>
          <w:sz w:val="20"/>
        </w:rPr>
        <w:t>” for additional information.</w:t>
      </w:r>
    </w:p>
    <w:tbl>
      <w:tblPr>
        <w:tblW w:w="10205" w:type="dxa"/>
        <w:jc w:val="left"/>
        <w:tblInd w:w="0" w:type="dxa"/>
        <w:tblLayout w:type="fixed"/>
        <w:tblCellMar>
          <w:top w:w="28" w:type="dxa"/>
          <w:left w:w="28" w:type="dxa"/>
          <w:bottom w:w="28" w:type="dxa"/>
          <w:right w:w="28" w:type="dxa"/>
        </w:tblCellMar>
      </w:tblPr>
      <w:tblGrid>
        <w:gridCol w:w="799"/>
        <w:gridCol w:w="146"/>
        <w:gridCol w:w="211"/>
        <w:gridCol w:w="571"/>
        <w:gridCol w:w="146"/>
        <w:gridCol w:w="146"/>
        <w:gridCol w:w="318"/>
        <w:gridCol w:w="796"/>
        <w:gridCol w:w="166"/>
        <w:gridCol w:w="146"/>
        <w:gridCol w:w="216"/>
        <w:gridCol w:w="585"/>
        <w:gridCol w:w="146"/>
        <w:gridCol w:w="146"/>
        <w:gridCol w:w="214"/>
        <w:gridCol w:w="579"/>
        <w:gridCol w:w="146"/>
        <w:gridCol w:w="146"/>
        <w:gridCol w:w="211"/>
        <w:gridCol w:w="571"/>
        <w:gridCol w:w="146"/>
        <w:gridCol w:w="146"/>
        <w:gridCol w:w="318"/>
        <w:gridCol w:w="796"/>
        <w:gridCol w:w="166"/>
        <w:gridCol w:w="146"/>
        <w:gridCol w:w="216"/>
        <w:gridCol w:w="585"/>
        <w:gridCol w:w="146"/>
        <w:gridCol w:w="146"/>
        <w:gridCol w:w="214"/>
        <w:gridCol w:w="579"/>
        <w:gridCol w:w="196"/>
      </w:tblGrid>
      <w:tr>
        <w:trPr/>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4"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B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sans-serif" w:hAnsi="sans-serif"/>
          <w:sz w:val="22"/>
        </w:rPr>
      </w:pPr>
      <w:r>
        <w:rPr>
          <w:rFonts w:ascii="Times New Roman" w:hAnsi="Times New Roman"/>
          <w:color w:val="000000"/>
          <w:sz w:val="16"/>
        </w:rPr>
        <w:t>We estimate the fair value of the 2026 Senior Notes and Term Loan B Facility based on recently reported market transactions and/or prices for identical or similar financial instruments obtained from a third-party pricing source.</w:t>
      </w:r>
      <w:r>
        <w:rPr>
          <w:rFonts w:ascii="sans-serif" w:hAnsi="sans-serif"/>
          <w:color w:val="000000"/>
          <w:sz w:val="22"/>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have any assets or liabilities measured at fair value on a recurring basis using Level 3 unobservable inputs as of June 30, 2026 and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Assets Measured at Fair Value on a Non-recurring Basis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Non-Marketable Investments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Equity Securities Accounted for under the Equity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$25.2 million and $25.9 million as of June 30, 2026 and December 31, 2025, respectively, and is included in non-marketable investments on our unaudited condensed consolidated balance sheets. During both the three and six months ended June 30, 2026, as well as the three and six months ended June 30, 2025, our share of the investee’s net loss in other income (expenses), net within the unaudited condensed consolidated statements of operations was not material.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the three and six months ended June 30, 2026 and 2025, we did not record any impairment loss on this equity investment.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maintains various commercial agreements with Chelsea Investment Holding Company PTE Ltd. and/or its subsidiaries. Transactions under these agreements are considered related party transactions, and were not material during the three and six months ended June 30,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predominately on Level 3 inputs. </w:t>
      </w:r>
    </w:p>
    <w:p>
      <w:pPr>
        <w:pStyle w:val="TextBody"/>
        <w:bidi w:val="0"/>
        <w:spacing w:before="360" w:after="283"/>
        <w:jc w:val="left"/>
        <w:rPr>
          <w:rFonts w:ascii="Times New Roman" w:hAnsi="Times New Roman"/>
          <w:sz w:val="20"/>
        </w:rPr>
      </w:pPr>
      <w:r>
        <w:rPr>
          <w:rFonts w:ascii="Times New Roman" w:hAnsi="Times New Roman"/>
          <w:b/>
          <w:color w:val="000000"/>
          <w:sz w:val="20"/>
        </w:rPr>
        <w:t>NOTE 6: ACCRUED EXPENSES AND OTHER CURRENT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as of the dates presented: </w:t>
      </w:r>
    </w:p>
    <w:p>
      <w:pPr>
        <w:pStyle w:val="TextBody"/>
        <w:bidi w:val="0"/>
        <w:jc w:val="left"/>
        <w:rPr/>
      </w:pPr>
      <w:r>
        <w:rPr/>
        <w:t> </w:t>
      </w:r>
    </w:p>
    <w:tbl>
      <w:tblPr>
        <w:tblW w:w="8360" w:type="dxa"/>
        <w:jc w:val="left"/>
        <w:tblInd w:w="0" w:type="dxa"/>
        <w:tblLayout w:type="fixed"/>
        <w:tblCellMar>
          <w:top w:w="28" w:type="dxa"/>
          <w:left w:w="28" w:type="dxa"/>
          <w:bottom w:w="28" w:type="dxa"/>
          <w:right w:w="28" w:type="dxa"/>
        </w:tblCellMar>
      </w:tblPr>
      <w:tblGrid>
        <w:gridCol w:w="4906"/>
        <w:gridCol w:w="146"/>
        <w:gridCol w:w="303"/>
        <w:gridCol w:w="822"/>
        <w:gridCol w:w="146"/>
        <w:gridCol w:w="146"/>
        <w:gridCol w:w="403"/>
        <w:gridCol w:w="1097"/>
        <w:gridCol w:w="39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salary, bonus, and other employee-related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marketing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 -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Non-income taxes payable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tax credit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Restructuring and other related reorganization costs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sz w:val="20"/>
        </w:rPr>
      </w:pPr>
      <w:r>
        <w:rPr>
          <w:rFonts w:ascii="Times New Roman" w:hAnsi="Times New Roman"/>
          <w:color w:val="000000"/>
          <w:sz w:val="16"/>
        </w:rPr>
        <w:t>Amounts are primarily related to digital service taxes.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During the year ended December 31, 2025, </w:t>
      </w:r>
      <w:r>
        <w:rPr>
          <w:rFonts w:ascii="Times New Roman" w:hAnsi="Times New Roman"/>
          <w:color w:val="222222"/>
          <w:sz w:val="16"/>
        </w:rPr>
        <w:t>pursuant to provisions allowable under the Inflation Reduction Act,</w:t>
      </w:r>
      <w:r>
        <w:rPr>
          <w:rFonts w:ascii="Times New Roman" w:hAnsi="Times New Roman"/>
          <w:color w:val="000000"/>
          <w:sz w:val="20"/>
        </w:rPr>
        <w:t xml:space="preserve"> </w:t>
      </w:r>
      <w:r>
        <w:rPr>
          <w:rFonts w:ascii="Times New Roman" w:hAnsi="Times New Roman"/>
          <w:color w:val="000000"/>
          <w:sz w:val="16"/>
        </w:rPr>
        <w:t>the Company purchased alternative energy federal tax credits from an unrelated third party, which were paid during the first quarter of 2026.</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sz w:val="20"/>
        </w:rPr>
      </w:pPr>
      <w:r>
        <w:rPr>
          <w:rFonts w:ascii="Times New Roman" w:hAnsi="Times New Roman"/>
          <w:color w:val="000000"/>
          <w:sz w:val="16"/>
        </w:rPr>
        <w:t>During the fourth quarter of 2025, the Company approved and subsequently initiated a series of cost savings actions following a decision to realign its operating model across its Experiences and Hotels and Other segments to support the Company’s positioning as an experiences-led and AI-enabled company. As a result of these actions taken, the Company incurred pre-tax restructuring and other related reorganization costs of $6.9</w:t>
      </w:r>
      <w:r>
        <w:rPr>
          <w:rFonts w:ascii="Times New Roman" w:hAnsi="Times New Roman"/>
          <w:color w:val="000000"/>
          <w:sz w:val="20"/>
        </w:rPr>
        <w:t xml:space="preserve"> </w:t>
      </w:r>
      <w:r>
        <w:rPr>
          <w:rFonts w:ascii="Times New Roman" w:hAnsi="Times New Roman"/>
          <w:color w:val="000000"/>
          <w:sz w:val="16"/>
        </w:rPr>
        <w:t>million during the six months ended June 30, 2026, which consisted of employee severance and related benefits, primarily in our Hotels and Other segment. We expect the majority of unpaid costs as of June 30, 2026 to be disbursed during the second half of 2026.</w:t>
      </w:r>
    </w:p>
    <w:p>
      <w:pPr>
        <w:pStyle w:val="TextBody"/>
        <w:bidi w:val="0"/>
        <w:jc w:val="left"/>
        <w:rPr>
          <w:rFonts w:ascii="Times New Roman" w:hAnsi="Times New Roman"/>
          <w:color w:val="000000"/>
          <w:sz w:val="16"/>
        </w:rPr>
      </w:pPr>
      <w:r>
        <w:rPr>
          <w:rFonts w:ascii="Times New Roman" w:hAnsi="Times New Roman"/>
          <w:color w:val="000000"/>
          <w:sz w:val="16"/>
        </w:rPr>
        <w:t>The following table summarizes our restructuring and other related reorganization costs for the six months ended June 30, 2026:</w:t>
      </w:r>
    </w:p>
    <w:p>
      <w:pPr>
        <w:pStyle w:val="TextBody"/>
        <w:bidi w:val="0"/>
        <w:jc w:val="left"/>
        <w:rPr/>
      </w:pPr>
      <w:r>
        <w:rPr/>
        <w:t> </w:t>
      </w:r>
    </w:p>
    <w:tbl>
      <w:tblPr>
        <w:tblW w:w="5143" w:type="dxa"/>
        <w:jc w:val="left"/>
        <w:tblInd w:w="0" w:type="dxa"/>
        <w:tblLayout w:type="fixed"/>
        <w:tblCellMar>
          <w:top w:w="28" w:type="dxa"/>
          <w:left w:w="28" w:type="dxa"/>
          <w:bottom w:w="28" w:type="dxa"/>
          <w:right w:w="28" w:type="dxa"/>
        </w:tblCellMar>
      </w:tblPr>
      <w:tblGrid>
        <w:gridCol w:w="3541"/>
        <w:gridCol w:w="146"/>
        <w:gridCol w:w="355"/>
        <w:gridCol w:w="890"/>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liability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liability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7: DEBT</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outstanding debt consisted of the following as of the dates presented:</w:t>
      </w:r>
    </w:p>
    <w:tbl>
      <w:tblPr>
        <w:tblW w:w="7870" w:type="dxa"/>
        <w:jc w:val="left"/>
        <w:tblInd w:w="0" w:type="dxa"/>
        <w:tblLayout w:type="fixed"/>
        <w:tblCellMar>
          <w:top w:w="28" w:type="dxa"/>
          <w:left w:w="28" w:type="dxa"/>
          <w:bottom w:w="28" w:type="dxa"/>
          <w:right w:w="28" w:type="dxa"/>
        </w:tblCellMar>
      </w:tblPr>
      <w:tblGrid>
        <w:gridCol w:w="4121"/>
        <w:gridCol w:w="146"/>
        <w:gridCol w:w="344"/>
        <w:gridCol w:w="931"/>
        <w:gridCol w:w="166"/>
        <w:gridCol w:w="146"/>
        <w:gridCol w:w="465"/>
        <w:gridCol w:w="1260"/>
        <w:gridCol w:w="29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 B Facility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0.25% Convertible 2026 Senior Notes due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 B Facility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Amended Credit Agreement and Credit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party to the Amended Credit Agreement with a group of lenders which, among other things, provides for a $500.0 million secured revolving credit facility (the “Credit Facility”). The Credit Facility has a maturity date of June 29, 2028. As of June 30, 2026 and December 31, 2025, we had no outstanding borrowings from the Credit Facility and $3.6 million of issued undrawn standby letters of credit. For the three and six months ended June 30, 2026 and 2025, total interest expense and commitment fees on our Credit Facility were not material.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Term Loan B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8, 2024, under the Amended Credit Agreement, the Company issued a $500.0 million Term Loan B Facility maturing July 8, 2031, with an interest rate based on secured overnight financing rate (“SOFR”) plus 2.75%. On March 20, 2025, under the Amended Credit Agreement, the Company increased its existing Term Loan B Facility in the amount of $350.0 million, also maturing July 8, 2031, with an interest rate based on SOFR plus 2.75% (the “Tack-On Incremental Term Loan B Facility”). The Tack-On Incremental Term Loan B Facility was offered at 98.56% of par. The proceeds from the Tack-On Incremental Term Loan B Facility was used to repay the Company's 2026 Senior Notes. We refer to the original Term Loan B Facility, combined with the Tack-On Incremental Term Loan B Facility, as the “Term Loan B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interest rate on the Term Loan B Facility was 6.39% and, for the three and six months ended June 30, 2026 the weighted-average interest rate on the Term Loan B Facility was 6.40% and 6.42%, respectively. As of June 30, 2025, the interest rate on the Term Loan B Facility was 7.08% and, for the three and six months ended June 30, 2025 the weighted-average interest rate on the Term Loan B Facility was 7.05% and 7.06%, respectively. Principal payments of $4.3 million were made during both the six months ended June 30, 2026 and 2025. As of June 30, 2026 and December 31, 2025, unpaid interest on the Term Loan B Facility was not material. During the three and six months ended June 30, 2026, we recorded $13.5 million and $27.1 million of interest expense, respectively, while during the three and six months ended June 30, 2025, we recorded $15.1 million and $24.7 million of interest expense, respectively, on our unaudited condensed consolidated statements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2026 Senior Notes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On April 1, 2026, upon maturity, the Company repaid the $345.0 million aggregate principal amount of the 2026 Senior Notes, including accrued interest of $0.4 million, funded by cash on hand. As a result of this transaction, the Company has no further obligations under the indenture governing the 2026 Senior Notes, and the related security interest and liens have been released. </w:t>
      </w:r>
    </w:p>
    <w:p>
      <w:pPr>
        <w:pStyle w:val="TextBody"/>
        <w:bidi w:val="0"/>
        <w:jc w:val="left"/>
        <w:rPr>
          <w:rFonts w:ascii="Times New Roman" w:hAnsi="Times New Roman"/>
          <w:sz w:val="20"/>
        </w:rPr>
      </w:pPr>
      <w:r>
        <w:rPr>
          <w:rFonts w:ascii="Times New Roman" w:hAnsi="Times New Roman"/>
          <w:color w:val="000000"/>
          <w:sz w:val="20"/>
        </w:rPr>
        <w:t>During the three and six months ended June 30, 2025, our effective interest rate, including debt issuance costs, was 0.32%, respectively, and total interest expense incurred from the 2026 Senior Notes was not material in any period</w:t>
      </w:r>
      <w:r>
        <w:rPr>
          <w:rFonts w:ascii="Times New Roman" w:hAnsi="Times New Roman"/>
          <w:color w:val="212529"/>
          <w:sz w:val="20"/>
        </w:rPr>
        <w:t xml:space="preserve">. </w:t>
      </w:r>
      <w:r>
        <w:rPr>
          <w:rFonts w:ascii="Times New Roman" w:hAnsi="Times New Roman"/>
          <w:color w:val="000000"/>
          <w:sz w:val="20"/>
        </w:rPr>
        <w:t>As of December 31, 2025, unpaid interest on the 2026 Senior Notes was also not material.</w:t>
      </w:r>
    </w:p>
    <w:p>
      <w:pPr>
        <w:pStyle w:val="TextBody"/>
        <w:bidi w:val="0"/>
        <w:spacing w:before="180" w:after="283"/>
        <w:jc w:val="both"/>
        <w:rPr>
          <w:rFonts w:ascii="Times New Roman" w:hAnsi="Times New Roman"/>
          <w:b/>
          <w:i/>
          <w:color w:val="2C2C2C"/>
          <w:sz w:val="20"/>
        </w:rPr>
      </w:pPr>
      <w:r>
        <w:rPr>
          <w:rFonts w:ascii="Times New Roman" w:hAnsi="Times New Roman"/>
          <w:b/>
          <w:i/>
          <w:color w:val="2C2C2C"/>
          <w:sz w:val="20"/>
        </w:rPr>
        <w:t>Capped Call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issuance of the 2026 Senior Notes, the Company entered into privately negotiated capped call transactions (the “Capped Calls”) with certain of the initial purchasers of the 2026 Senior Notes and/or their respective affiliates and/or other financial institutions at a cost of $34.7 million.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connection with the maturity and repayment of the 2026 Senior Notes on April 1, 2026, as discussed above, the Capped Calls expired unexercised. </w:t>
      </w:r>
    </w:p>
    <w:p>
      <w:pPr>
        <w:pStyle w:val="TextBody"/>
        <w:bidi w:val="0"/>
        <w:jc w:val="left"/>
        <w:rPr>
          <w:rFonts w:ascii="Times New Roman" w:hAnsi="Times New Roman"/>
          <w:sz w:val="20"/>
        </w:rPr>
      </w:pPr>
      <w:r>
        <w:rPr>
          <w:rFonts w:ascii="Times New Roman" w:hAnsi="Times New Roman"/>
          <w:color w:val="000000"/>
          <w:sz w:val="20"/>
        </w:rPr>
        <w:t xml:space="preserve">Refer to “Note 8: </w:t>
      </w:r>
      <w:r>
        <w:rPr>
          <w:rFonts w:ascii="Times New Roman" w:hAnsi="Times New Roman"/>
          <w:i/>
          <w:color w:val="000000"/>
          <w:sz w:val="20"/>
        </w:rPr>
        <w:t>Debt</w:t>
      </w:r>
      <w:r>
        <w:rPr>
          <w:rFonts w:ascii="Times New Roman" w:hAnsi="Times New Roman"/>
          <w:color w:val="000000"/>
          <w:sz w:val="20"/>
        </w:rPr>
        <w:t>” in the notes to the audited consolidated financial statements in Item 8 of our 2025 Annual Report, for additional information pertaining to redemption, conversion, repurchase features and other information regarding the Amended Credit Agreement, the Credit Facility, the Term Loan B Facility, 2026 Senior Notes and Capped Calls.</w:t>
      </w:r>
    </w:p>
    <w:p>
      <w:pPr>
        <w:pStyle w:val="TextBody"/>
        <w:bidi w:val="0"/>
        <w:spacing w:before="360" w:after="283"/>
        <w:jc w:val="left"/>
        <w:rPr>
          <w:rFonts w:ascii="Times New Roman" w:hAnsi="Times New Roman"/>
          <w:sz w:val="20"/>
        </w:rPr>
      </w:pPr>
      <w:r>
        <w:rPr>
          <w:rFonts w:ascii="Times New Roman" w:hAnsi="Times New Roman"/>
          <w:b/>
          <w:color w:val="000000"/>
          <w:sz w:val="20"/>
        </w:rPr>
        <w:t>NOTE 8: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interim period is considered an integral part of the annual period; accordingly, we measure our income tax expense from continuing operations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income tax provision from continuing operations was $5.3 million and $6.5 million for the three and six months ended June 30, 2026, respectively, and our income tax provision from continuing operations was $8.4 million and $0.6 million for the three and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six months ended June 30, 2025, respectively. The change in our income tax provision from continuing operations during the three months ended June 30, 2026, when compared to the same period in 2025, was primarily due to the decrease in pretax income. The change in our income tax provision during the six months ended June 30, 2026, when compared to the same period in 2025, was primarily due to a discrete tax benefit recorded during the first quarter of 2025 to release income tax reserves as a result of the U.S. federal statute of limitation of assessment expiring on tax years 2014, 2015, and 2016.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effective tax rate for the three and six months ended June 30, 2026 differs from the U.S. federal statutory rate of 21.0%, primarily due to the benefit of foreign-derived deduction eligible income and the tax effects of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accounting policy is to recognize accrued interest and penalties related to unrecognized tax benefits and income tax liabilities as part of our income tax expense. As of June 30, 2026, we had an accrued interest liability of $25.9 million, which was included in unrecognized tax benefits in other long-term liabilities on our unaudited condensed consolidated balance sheet, and no penalties were accrued.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currently under examination by the Internal Revenue Service (“IRS”) for the 2018 tax year and have various ongoing audits for foreign and state income tax returns. These examinations may lead to proposed or ordinary course adjustments to our taxes. We are no longer subject to tax examinations by tax authorities for years prior to 2018. As of June 30, 2026, no material assessments have resulted, except as noted below regarding our 2012 through 2016 HM Revenue &amp; Customs (“HMRC”) audit.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2021, we received from HMRC an issue closure notice relating to adjustments for 2012 through 2016 tax years. These proposed adjustments are related to deductions for intercompany financing and would result in an increase to income tax expense in an estimated range of $20.0 million to $30.0 million, which is inclusive of transition tax benefits and exclusive of interest expense, at the close of the audit if HMRC prevails. We disagree with the proposed adjustments, and we intend to defend our position through applicable administrative and, if necessary, judicial remedies. We are also currently subject to audit by HMRC in tax years 2017 through 2023. If HMRC were to seek adjustments of a similar nature through a closure notice for transactions in these years, we could be subject to significant additional tax liabilities. Our policy is to review and update tax reserves as facts and circumstances change. </w:t>
      </w:r>
    </w:p>
    <w:p>
      <w:pPr>
        <w:pStyle w:val="TextBody"/>
        <w:bidi w:val="0"/>
        <w:spacing w:before="360" w:after="283"/>
        <w:jc w:val="left"/>
        <w:rPr>
          <w:rFonts w:ascii="Times New Roman" w:hAnsi="Times New Roman"/>
          <w:sz w:val="20"/>
        </w:rPr>
      </w:pPr>
      <w:r>
        <w:rPr>
          <w:rFonts w:ascii="Times New Roman" w:hAnsi="Times New Roman"/>
          <w:b/>
          <w:color w:val="000000"/>
          <w:sz w:val="20"/>
        </w:rPr>
        <w:t>NOTE 9: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June 30, 2026, there have been no material changes to our commitments and contingencies since December 31, 2025, except as discussed below. Refer to “Note 13: </w:t>
      </w:r>
      <w:r>
        <w:rPr>
          <w:rFonts w:ascii="Times New Roman" w:hAnsi="Times New Roman"/>
          <w:i/>
          <w:color w:val="000000"/>
          <w:sz w:val="20"/>
        </w:rPr>
        <w:t>Commitments and Contingencies</w:t>
      </w:r>
      <w:r>
        <w:rPr>
          <w:rFonts w:ascii="Times New Roman" w:hAnsi="Times New Roman"/>
          <w:color w:val="000000"/>
          <w:sz w:val="20"/>
        </w:rPr>
        <w:t xml:space="preserve">,” in the notes to our consolidated financial statements in Item 8 of our 2025 Annual Report.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noted in “Note 1: </w:t>
      </w:r>
      <w:r>
        <w:rPr>
          <w:rFonts w:ascii="Times New Roman" w:hAnsi="Times New Roman"/>
          <w:i/>
          <w:color w:val="000000"/>
          <w:sz w:val="20"/>
        </w:rPr>
        <w:t>Basis of Presentation</w:t>
      </w:r>
      <w:r>
        <w:rPr>
          <w:rFonts w:ascii="Times New Roman" w:hAnsi="Times New Roman"/>
          <w:color w:val="000000"/>
          <w:sz w:val="20"/>
        </w:rPr>
        <w:t>”, under the section titled “</w:t>
      </w:r>
      <w:r>
        <w:rPr>
          <w:rFonts w:ascii="Times New Roman" w:hAnsi="Times New Roman"/>
          <w:i/>
          <w:color w:val="000000"/>
          <w:sz w:val="20"/>
        </w:rPr>
        <w:t>Pending Sale of TheFork</w:t>
      </w:r>
      <w:r>
        <w:rPr>
          <w:rFonts w:ascii="Times New Roman" w:hAnsi="Times New Roman"/>
          <w:color w:val="000000"/>
          <w:sz w:val="20"/>
        </w:rPr>
        <w:t xml:space="preserve">”, on June 14, 2026, the Company, entered into a put option agreement with American Express Travel to sell TheFork, for $700.0 million in cash, subject to certain adjustments. Following the completion of the required consultation process with the French Works Council on July 30, 2026, the Company exercised the put option and, on August 2, 2026, entered into a definitive Equity Purchase Agreement with American Express Travel to sell TheFork. The sale of TheFork is currently expected to be completed by the end of 2026. Refer to “Note 1: </w:t>
      </w:r>
      <w:r>
        <w:rPr>
          <w:rFonts w:ascii="Times New Roman" w:hAnsi="Times New Roman"/>
          <w:i/>
          <w:color w:val="000000"/>
          <w:sz w:val="20"/>
        </w:rPr>
        <w:t>Basis of Presentation</w:t>
      </w:r>
      <w:r>
        <w:rPr>
          <w:rFonts w:ascii="Times New Roman" w:hAnsi="Times New Roman"/>
          <w:color w:val="000000"/>
          <w:sz w:val="20"/>
        </w:rPr>
        <w:t>”, under the section titled “</w:t>
      </w:r>
      <w:r>
        <w:rPr>
          <w:rFonts w:ascii="Times New Roman" w:hAnsi="Times New Roman"/>
          <w:i/>
          <w:color w:val="000000"/>
          <w:sz w:val="20"/>
        </w:rPr>
        <w:t>Pending Sale of TheFork</w:t>
      </w:r>
      <w:r>
        <w:rPr>
          <w:rFonts w:ascii="Times New Roman" w:hAnsi="Times New Roman"/>
          <w:color w:val="000000"/>
          <w:sz w:val="20"/>
        </w:rPr>
        <w:t>”, for further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tax matters (including value-added, excise, digital services, sales and use, transient occupancy and accommodation taxes), regulatory compliance (including competition, consumer protection matters, data privacy and cybersecurity matters), contractual claims (including related to our material agreements or other contracts),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in “Note 8: </w:t>
      </w:r>
      <w:r>
        <w:rPr>
          <w:rFonts w:ascii="Times New Roman" w:hAnsi="Times New Roman"/>
          <w:i/>
          <w:color w:val="000000"/>
          <w:sz w:val="20"/>
        </w:rPr>
        <w:t>Income Taxes</w:t>
      </w:r>
      <w:r>
        <w:rPr>
          <w:rFonts w:ascii="Times New Roman" w:hAnsi="Times New Roman"/>
          <w:color w:val="000000"/>
          <w:sz w:val="20"/>
        </w:rPr>
        <w:t>.”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under audit by the IRS and various other domestic and foreign tax authorities with regards to income tax matters. We have reserved for potential losses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8: </w:t>
      </w:r>
      <w:r>
        <w:rPr>
          <w:rFonts w:ascii="Times New Roman" w:hAnsi="Times New Roman"/>
          <w:i/>
          <w:color w:val="000000"/>
          <w:sz w:val="20"/>
        </w:rPr>
        <w:t>Income Taxes</w:t>
      </w:r>
      <w:r>
        <w:rPr>
          <w:rFonts w:ascii="Times New Roman" w:hAnsi="Times New Roman"/>
          <w:color w:val="000000"/>
          <w:sz w:val="20"/>
        </w:rPr>
        <w:t>” for further information on potential contingencies pertaining to ongoing income tax audits.</w:t>
      </w:r>
    </w:p>
    <w:p>
      <w:pPr>
        <w:pStyle w:val="TextBody"/>
        <w:bidi w:val="0"/>
        <w:spacing w:before="360" w:after="283"/>
        <w:jc w:val="left"/>
        <w:rPr>
          <w:rFonts w:ascii="Times New Roman" w:hAnsi="Times New Roman"/>
          <w:sz w:val="20"/>
        </w:rPr>
      </w:pPr>
      <w:r>
        <w:rPr>
          <w:rFonts w:ascii="Times New Roman" w:hAnsi="Times New Roman"/>
          <w:b/>
          <w:color w:val="000000"/>
          <w:sz w:val="20"/>
        </w:rPr>
        <w:t>NOTE 10: STOCK-BASED AWARDS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2026 Stock Option Activity</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 summary of stock option activity, consisting of service-based non-qualified stock options, is presented below: </w:t>
      </w:r>
    </w:p>
    <w:tbl>
      <w:tblPr>
        <w:tblW w:w="9081" w:type="dxa"/>
        <w:jc w:val="left"/>
        <w:tblInd w:w="0" w:type="dxa"/>
        <w:tblLayout w:type="fixed"/>
        <w:tblCellMar>
          <w:top w:w="28" w:type="dxa"/>
          <w:left w:w="28" w:type="dxa"/>
          <w:bottom w:w="28" w:type="dxa"/>
          <w:right w:w="28" w:type="dxa"/>
        </w:tblCellMar>
      </w:tblPr>
      <w:tblGrid>
        <w:gridCol w:w="3976"/>
        <w:gridCol w:w="146"/>
        <w:gridCol w:w="228"/>
        <w:gridCol w:w="897"/>
        <w:gridCol w:w="166"/>
        <w:gridCol w:w="146"/>
        <w:gridCol w:w="214"/>
        <w:gridCol w:w="582"/>
        <w:gridCol w:w="146"/>
        <w:gridCol w:w="146"/>
        <w:gridCol w:w="284"/>
        <w:gridCol w:w="707"/>
        <w:gridCol w:w="146"/>
        <w:gridCol w:w="146"/>
        <w:gridCol w:w="362"/>
        <w:gridCol w:w="598"/>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after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2026 Restricted Stock Units (“RSUs”) Activity</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 summary of RSUs activity (including deferred stock units (“DSUs”) and restricted stock awards (“RSAs”)), consisting of service-based vesting terms, is presented below:</w:t>
      </w:r>
    </w:p>
    <w:tbl>
      <w:tblPr>
        <w:tblW w:w="8757" w:type="dxa"/>
        <w:jc w:val="left"/>
        <w:tblInd w:w="0" w:type="dxa"/>
        <w:tblLayout w:type="fixed"/>
        <w:tblCellMar>
          <w:top w:w="28" w:type="dxa"/>
          <w:left w:w="28" w:type="dxa"/>
          <w:bottom w:w="28" w:type="dxa"/>
          <w:right w:w="28" w:type="dxa"/>
        </w:tblCellMar>
      </w:tblPr>
      <w:tblGrid>
        <w:gridCol w:w="4441"/>
        <w:gridCol w:w="146"/>
        <w:gridCol w:w="199"/>
        <w:gridCol w:w="926"/>
        <w:gridCol w:w="166"/>
        <w:gridCol w:w="146"/>
        <w:gridCol w:w="347"/>
        <w:gridCol w:w="943"/>
        <w:gridCol w:w="146"/>
        <w:gridCol w:w="146"/>
        <w:gridCol w:w="259"/>
        <w:gridCol w:w="701"/>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Granted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Vested and released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Inclusive of approximately 89,000</w:t>
      </w:r>
      <w:r>
        <w:rPr>
          <w:rFonts w:ascii="Times New Roman" w:hAnsi="Times New Roman"/>
          <w:color w:val="000000"/>
          <w:sz w:val="20"/>
        </w:rPr>
        <w:t xml:space="preserve"> </w:t>
      </w:r>
      <w:r>
        <w:rPr>
          <w:rFonts w:ascii="Times New Roman" w:hAnsi="Times New Roman"/>
          <w:color w:val="000000"/>
          <w:sz w:val="16"/>
        </w:rPr>
        <w:t>DSUs and 36,000</w:t>
      </w:r>
      <w:r>
        <w:rPr>
          <w:rFonts w:ascii="Times New Roman" w:hAnsi="Times New Roman"/>
          <w:color w:val="000000"/>
          <w:sz w:val="20"/>
        </w:rPr>
        <w:t xml:space="preserve"> </w:t>
      </w:r>
      <w:r>
        <w:rPr>
          <w:rFonts w:ascii="Times New Roman" w:hAnsi="Times New Roman"/>
          <w:color w:val="000000"/>
          <w:sz w:val="16"/>
        </w:rPr>
        <w:t xml:space="preserve">RSAs granted to certain non-employee directors during the second quarter of 2026. Each DSU represents the right to receive one share of the Company’s common stock upon vesting. The DSUs shall vest one year after the grant date. However, settlement of the shares represented by DSUs that vest will occur on January 15th of the calendar year immediately following the year in which the director experiences a "separation of service" as defined in Section 409A of the Internal Revenue Code of 1986. Each RSA represents an award of one share of the Company’s common stock subject to a one-year service-based vesting condition. Prior to vesting, the director is entitled to receive dividends, which are accrued, but forfeitable, and paid only upon vesting of the underlying award.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sz w:val="20"/>
        </w:rPr>
      </w:pPr>
      <w:r>
        <w:rPr>
          <w:rFonts w:ascii="Times New Roman" w:hAnsi="Times New Roman"/>
          <w:color w:val="000000"/>
          <w:sz w:val="16"/>
        </w:rPr>
        <w:t>Inclusive of approximately 670,000</w:t>
      </w:r>
      <w:r>
        <w:rPr>
          <w:rFonts w:ascii="Times New Roman" w:hAnsi="Times New Roman"/>
          <w:color w:val="000000"/>
          <w:sz w:val="20"/>
        </w:rPr>
        <w:t xml:space="preserve"> </w:t>
      </w:r>
      <w:r>
        <w:rPr>
          <w:rFonts w:ascii="Times New Roman" w:hAnsi="Times New Roman"/>
          <w:color w:val="000000"/>
          <w:sz w:val="16"/>
        </w:rPr>
        <w:t>shares of common stock withheld in connection with RSUs vesting to satisfy required employee tax withholding requirements. Shares which could have been issued in connection with the vesting of RSUs but were instead withheld under net share settlement remain in the authorized but unissued pool under the Tripadvisor, Inc. 2023 Stock and Annual Incentive Plan (the “2023 Plan”) and can be reissued by the Company. Total payments for the employees’ tax obligations to the taxing authorities due to net share settlements are reflected as a financing activity within the consolidated statement of cash flows.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 summary of performance-based RSUs (“PSUs”) and market-based RSUs (“MSUs”) activity is presented below:</w:t>
      </w:r>
    </w:p>
    <w:tbl>
      <w:tblPr>
        <w:tblW w:w="10205" w:type="dxa"/>
        <w:jc w:val="left"/>
        <w:tblInd w:w="0" w:type="dxa"/>
        <w:tblLayout w:type="fixed"/>
        <w:tblCellMar>
          <w:top w:w="28" w:type="dxa"/>
          <w:left w:w="28" w:type="dxa"/>
          <w:bottom w:w="28" w:type="dxa"/>
          <w:right w:w="28" w:type="dxa"/>
        </w:tblCellMar>
      </w:tblPr>
      <w:tblGrid>
        <w:gridCol w:w="3067"/>
        <w:gridCol w:w="146"/>
        <w:gridCol w:w="1080"/>
        <w:gridCol w:w="146"/>
        <w:gridCol w:w="1101"/>
        <w:gridCol w:w="146"/>
        <w:gridCol w:w="926"/>
        <w:gridCol w:w="146"/>
        <w:gridCol w:w="1080"/>
        <w:gridCol w:w="146"/>
        <w:gridCol w:w="1101"/>
        <w:gridCol w:w="146"/>
        <w:gridCol w:w="974"/>
      </w:tblGrid>
      <w:tr>
        <w:trPr/>
        <w:tc>
          <w:tcPr>
            <w:tcW w:w="3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PSUs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MSUs</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r>
      <w:tr>
        <w:trPr/>
        <w:tc>
          <w:tcPr>
            <w:tcW w:w="30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Vested and released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Canceled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PSUs generally vest in two equal annual installments on December 31 in the first and second years following the grant date, based on the extent to which the Company achieves certain financial metrics relative to targets established by the Company’s Compensation and Section 16 Committees of its Board of Directors (jointly, the “Compensation Committee”). The estimated grant-date fair value of PSUs is measured based on the quoted price of our common stock at the date of grant, calculated upon the establishment of performance targets, and amortized over the requisite service period. Based upon actual attainment relative to the target financial metrics, employees have the ability to receive up to 200% of the target number originally granted, or to be issued none at all. Probable outcome for performance-based awards is updated based upon changes in actual and forecasted operating results or expected achievement of performance goals, as applicable, and the impact of modifications, if any.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sz w:val="20"/>
        </w:rPr>
      </w:pPr>
      <w:r>
        <w:rPr>
          <w:rFonts w:ascii="Times New Roman" w:hAnsi="Times New Roman"/>
          <w:color w:val="000000"/>
          <w:sz w:val="16"/>
        </w:rPr>
        <w:t>Inclusive of approximately 37,000</w:t>
      </w:r>
      <w:r>
        <w:rPr>
          <w:rFonts w:ascii="Times New Roman" w:hAnsi="Times New Roman"/>
          <w:color w:val="000000"/>
          <w:sz w:val="20"/>
        </w:rPr>
        <w:t xml:space="preserve"> </w:t>
      </w:r>
      <w:r>
        <w:rPr>
          <w:rFonts w:ascii="Times New Roman" w:hAnsi="Times New Roman"/>
          <w:color w:val="000000"/>
          <w:sz w:val="16"/>
        </w:rPr>
        <w:t>shares of common stock withheld in connection with PSUs vesting to satisfy required employee tax withholding requirements. Shares which could have been issued in connection with the vesting of PSUs but were instead withheld under net share settlement remain in the authorized but unissued pool under the 2023 Plan and can be reissued by the Company under the 2023 Plan. Total payments for the employees’ tax obligations to the taxing authorities due to net share settlements are reflected as a financing activity within the consolidated statement of cash flows.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MSUs cancellations reflect market-based performance targets not being attained by the end of the performance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aggregate fair value of RSUs and PSUs which vested during the six months ended June 30, 2026 was $57.4 million. As of June 30, 2026, total unrecognized compensation cost related to stock-based awards, substantially RSUs (including PSUs), was $155.8 million, comprised of $135.5 million from continuing operations, which the Company expects to recognize over a weighted-average period of 2.4 years, and $20.3 million from discontinued operations.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STOCKHOLDERS’ EQUITY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Repurchases of Treasury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7, 2023, our Board of Directors authorized the repurchase of $250.0 million in shares of our common stock under a share repurchase program. During the three and six months ended June 30, 2026, the Company did not repurchase any shares of outstanding common stock under the share repurchase program. As of June 30, 2026, the Company had $110.0 million remaining available to repurchase shares of its common stock under this share repurchase program. During the three and six months ended June 30, 2025, approximately 2.8 million shares of the Company's outstanding common stock were repurchased under the share repurchase program at an average price of $14.22 per share, exclusive of fees and commissions, or $40 million in the aggregate. For the three and six months ended June 30, 2025, any excise tax incurred for repurchases made under the share repurchase program was not material.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and in a separate transaction, as noted in “Note 1: </w:t>
      </w:r>
      <w:r>
        <w:rPr>
          <w:rFonts w:ascii="Times New Roman" w:hAnsi="Times New Roman"/>
          <w:i/>
          <w:color w:val="000000"/>
          <w:sz w:val="20"/>
        </w:rPr>
        <w:t>Basis of Presentation</w:t>
      </w:r>
      <w:r>
        <w:rPr>
          <w:rFonts w:ascii="Times New Roman" w:hAnsi="Times New Roman"/>
          <w:color w:val="000000"/>
          <w:sz w:val="20"/>
        </w:rPr>
        <w:t>”, under the section titled “</w:t>
      </w:r>
      <w:r>
        <w:rPr>
          <w:rFonts w:ascii="Times New Roman" w:hAnsi="Times New Roman"/>
          <w:i/>
          <w:color w:val="000000"/>
          <w:sz w:val="20"/>
        </w:rPr>
        <w:t>LTRIP and Tripadvisor Merger Agreement and Loan Agreement</w:t>
      </w:r>
      <w:r>
        <w:rPr>
          <w:rFonts w:ascii="Times New Roman" w:hAnsi="Times New Roman"/>
          <w:color w:val="000000"/>
          <w:sz w:val="20"/>
        </w:rPr>
        <w:t xml:space="preserve">”, on April 29, 2025, the Company repurchased approximately 26.8 million shares of Tripadvisor common stock and Class B common stock previously held by LTRIP in the Merger at an average price of approximately $16.27 per share, or $436.5 million in the aggregate, inclusive of transaction costs related to the repurchase of these shares. Refer to “Note 1: </w:t>
      </w:r>
      <w:r>
        <w:rPr>
          <w:rFonts w:ascii="Times New Roman" w:hAnsi="Times New Roman"/>
          <w:i/>
          <w:color w:val="000000"/>
          <w:sz w:val="20"/>
        </w:rPr>
        <w:t>Organization and Business Description</w:t>
      </w:r>
      <w:r>
        <w:rPr>
          <w:rFonts w:ascii="Times New Roman" w:hAnsi="Times New Roman"/>
          <w:color w:val="000000"/>
          <w:sz w:val="20"/>
        </w:rPr>
        <w:t xml:space="preserve">”, in the notes to the consolidated financial statements in Item 8 of our 2025 Annual Report for further discussion of the Merger transaction.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Retirement of Treasury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29, 2025, the Company’s Board of Directors approved the retirement of all common stock and Class B common stock held as treasury stock by the Company, thereby canceling approximately 53.1 million shares of the Company's common stock, with a carrying value of approximately $1.3 billion. The retirement of these shares resulted in a reduction in both the carrying value of treasury stock and additional paid-in capital of approximately $1.3 billion on our unaudited condensed consolidated balance sheet. There was no net effect to the Company’s total stockholders’ equity balance on its unaudited condensed consolidated balance sheet due to the retirement of these shares.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EARNINGS PER SHARE (EPS)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Below is a reconciliation of the weighted average number of shares of common stock outstanding used in calculating Basic and Diluted EPS for the periods presented: </w:t>
      </w:r>
    </w:p>
    <w:tbl>
      <w:tblPr>
        <w:tblW w:w="10205" w:type="dxa"/>
        <w:jc w:val="left"/>
        <w:tblInd w:w="0" w:type="dxa"/>
        <w:tblLayout w:type="fixed"/>
        <w:tblCellMar>
          <w:top w:w="28" w:type="dxa"/>
          <w:left w:w="28" w:type="dxa"/>
          <w:bottom w:w="28" w:type="dxa"/>
          <w:right w:w="28" w:type="dxa"/>
        </w:tblCellMar>
      </w:tblPr>
      <w:tblGrid>
        <w:gridCol w:w="4164"/>
        <w:gridCol w:w="546"/>
        <w:gridCol w:w="211"/>
        <w:gridCol w:w="781"/>
        <w:gridCol w:w="166"/>
        <w:gridCol w:w="146"/>
        <w:gridCol w:w="211"/>
        <w:gridCol w:w="781"/>
        <w:gridCol w:w="166"/>
        <w:gridCol w:w="146"/>
        <w:gridCol w:w="211"/>
        <w:gridCol w:w="781"/>
        <w:gridCol w:w="166"/>
        <w:gridCol w:w="146"/>
        <w:gridCol w:w="211"/>
        <w:gridCol w:w="781"/>
        <w:gridCol w:w="591"/>
      </w:tblGrid>
      <w:tr>
        <w:trPr/>
        <w:tc>
          <w:tcPr>
            <w:tcW w:w="416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 thousands and $ in millions, except per share amounts)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Numerator:</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from continuing operations used to compute Basic EPS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from discontinued operations, net of tax, used to compute Basic EPS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used to compute Basic EPS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from continuing operations used to compute Basic EPS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on 2026 Senior Notes, net of tax</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from continued operations used to compute Diluted EPS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from discontinued operations, net of tax, used to compute Diluted EPS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used to compute Diluted EPS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Denominator:</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used to compute Basic EPS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effect of dilutive securities: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awards (Note 10)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2026 Senior Notes (Note 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used to compute Diluted EPS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138,663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EPS from continuing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EPS from discontinued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EPS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 from continuing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 from discontinued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Potential common shares, consisting of outstanding stock options, RSUs (including PSUs, MSUs, DSUs, and RSAs), and those issuable under the 2026 Senior Notes, totaling approximately 8.0 million shares and 15.6 million shares for the three and six months ended June 30, 2026, respectively, and approximately 15.1 million shares and 12.2 million shares for the three and six months ended June 30, 2025, respectively, have been excluded from the Diluted EPS calculation because their effect would have been antidilutive. In addition, potential common shares from certain performance-based awards of approximately 1.7 million shares for both the three and six months ended June 30, 2026, respectively, and approximately 2.0 million shares for both the three and six months ended June 30, 2025, respectively, for which all targets required to trigger vesting had not been achieved, were also excluded from the calculation of weighted average shares used to compute Diluted EPS. </w:t>
      </w:r>
    </w:p>
    <w:p>
      <w:pPr>
        <w:pStyle w:val="TextBody"/>
        <w:bidi w:val="0"/>
        <w:spacing w:before="240" w:after="283"/>
        <w:jc w:val="left"/>
        <w:rPr>
          <w:rFonts w:ascii="Times New Roman" w:hAnsi="Times New Roman"/>
          <w:sz w:val="20"/>
        </w:rPr>
      </w:pPr>
      <w:r>
        <w:rPr>
          <w:rFonts w:ascii="Times New Roman" w:hAnsi="Times New Roman"/>
          <w:b/>
          <w:color w:val="000000"/>
          <w:sz w:val="20"/>
        </w:rPr>
        <w:t>NOTE 13: SEGMENT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TheFork was designated a discontinued operation during the second quarter of 2026, as discussed in “Note 3: </w:t>
      </w:r>
      <w:r>
        <w:rPr>
          <w:rFonts w:ascii="Times New Roman" w:hAnsi="Times New Roman"/>
          <w:i/>
          <w:color w:val="000000"/>
          <w:sz w:val="20"/>
        </w:rPr>
        <w:t>Discontinued Operations</w:t>
      </w:r>
      <w:r>
        <w:rPr>
          <w:rFonts w:ascii="Times New Roman" w:hAnsi="Times New Roman"/>
          <w:color w:val="000000"/>
          <w:sz w:val="20"/>
        </w:rPr>
        <w:t xml:space="preserve">”, and as a result, the Company determined that TheFork is no longer a reportable segment. The Company's continuing operations now consists of two reportable segments: (1) Experiences and (2) Hotels and Other. All prior period segment disclosure information has been recast to conform to the current reporting structure. The nature of the services provided and revenue sources by product, are summarized by reportable segment in “Note 4: </w:t>
      </w:r>
      <w:r>
        <w:rPr>
          <w:rFonts w:ascii="Times New Roman" w:hAnsi="Times New Roman"/>
          <w:i/>
          <w:color w:val="000000"/>
          <w:sz w:val="20"/>
        </w:rPr>
        <w:t>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operating segments are determined based on how our chief executive officer, who also serves as our chief operating decision maker (“CODM”) manages our business, regularly accesses information, and evaluates performance for operating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decision-making purposes, including allocation of operating and capital resources. Adjusted EBITDA is our reported measure of segment profit and a key measure used by our CODM and Board of Directors to understand and evaluate the operating performance of our business as a whole and for our individual operating segments, and on which internal budgets and forecasts are based and approved. We define adjusted EBITDA as net income (loss) from continuing operations plus: (1) (provision) benefit for income taxes; (2) other income (expense), net; (3) depreciation and amortization; (4) stock-based compensation; (5) goodwill, long-lived asset, and intangible assets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(including non-operational costs related to significant shareholder activism, which includes third-party advisory, legal, and other professional fees); and (9) non-recurring expenses and income unusual in nature or infrequently occurring.</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Stranded costs, which consist of certain shared personnel and insurance costs, previously allocated to the TheFork reportable segment that do not qualify for discontinued operations accounting classification, are reported within continuing operations for all periods presented. As a result, effective the second quarter of 2026, we changed our corporate overhead allocation methodology to re-allocate these stranded costs among the remaining operating segments included within continuing operations. Our segment presentation for the three and six months ended June 30, 2025 has been restated to reflect the re-allocation of these costs. Stranded costs of $1.0 million and $2.2 million for the three and six months ended June 30, 2026, respectively, and $1.0 million and $1.8 million for the three and six months ended June 30, 2025, respectively, have been included within segment profits for continuing operations and re-allocated among Experiences and Hotels and Other.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present our reportable segment information for the three and six months ended June 30, 2026 and 2025 and include a reconciliation of Adjusted EBITDA to Net income (loss) from continuing operations. In addition, we do not report total assets, capital expenditures and related depreciation expense by segment as our CODM does not use this information to evaluate operating segment performance. Accordingly, we do not regularly provide such information by segment to our CODM. Intersegment revenue and expenses are not material for all periods presented. </w:t>
      </w:r>
    </w:p>
    <w:tbl>
      <w:tblPr>
        <w:tblW w:w="10205" w:type="dxa"/>
        <w:jc w:val="left"/>
        <w:tblInd w:w="0" w:type="dxa"/>
        <w:tblLayout w:type="fixed"/>
        <w:tblCellMar>
          <w:top w:w="28" w:type="dxa"/>
          <w:left w:w="28" w:type="dxa"/>
          <w:bottom w:w="28" w:type="dxa"/>
          <w:right w:w="28" w:type="dxa"/>
        </w:tblCellMar>
      </w:tblPr>
      <w:tblGrid>
        <w:gridCol w:w="4513"/>
        <w:gridCol w:w="146"/>
        <w:gridCol w:w="301"/>
        <w:gridCol w:w="817"/>
        <w:gridCol w:w="166"/>
        <w:gridCol w:w="146"/>
        <w:gridCol w:w="394"/>
        <w:gridCol w:w="1068"/>
        <w:gridCol w:w="166"/>
        <w:gridCol w:w="146"/>
        <w:gridCol w:w="295"/>
        <w:gridCol w:w="737"/>
        <w:gridCol w:w="166"/>
        <w:gridCol w:w="146"/>
        <w:gridCol w:w="211"/>
        <w:gridCol w:w="571"/>
        <w:gridCol w:w="216"/>
      </w:tblGrid>
      <w:tr>
        <w:trPr/>
        <w:tc>
          <w:tcPr>
            <w:tcW w:w="4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Experiences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Hotels and Other (1)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(exclusive of stock-based compensation as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Restructuring and other related reorganization costs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reserves, settlements and other </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44"/>
        <w:gridCol w:w="146"/>
        <w:gridCol w:w="301"/>
        <w:gridCol w:w="819"/>
        <w:gridCol w:w="146"/>
        <w:gridCol w:w="146"/>
        <w:gridCol w:w="396"/>
        <w:gridCol w:w="1074"/>
        <w:gridCol w:w="146"/>
        <w:gridCol w:w="146"/>
        <w:gridCol w:w="295"/>
        <w:gridCol w:w="738"/>
        <w:gridCol w:w="166"/>
        <w:gridCol w:w="146"/>
        <w:gridCol w:w="211"/>
        <w:gridCol w:w="571"/>
        <w:gridCol w:w="214"/>
      </w:tblGrid>
      <w:tr>
        <w:trPr/>
        <w:tc>
          <w:tcPr>
            <w:tcW w:w="4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Experiences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Hotels and Other (1)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(exclusive of stock-based compensation as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reserves, settlements and other </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13"/>
        <w:gridCol w:w="146"/>
        <w:gridCol w:w="301"/>
        <w:gridCol w:w="817"/>
        <w:gridCol w:w="166"/>
        <w:gridCol w:w="146"/>
        <w:gridCol w:w="394"/>
        <w:gridCol w:w="1068"/>
        <w:gridCol w:w="166"/>
        <w:gridCol w:w="146"/>
        <w:gridCol w:w="295"/>
        <w:gridCol w:w="737"/>
        <w:gridCol w:w="166"/>
        <w:gridCol w:w="146"/>
        <w:gridCol w:w="211"/>
        <w:gridCol w:w="571"/>
        <w:gridCol w:w="216"/>
      </w:tblGrid>
      <w:tr>
        <w:trPr/>
        <w:tc>
          <w:tcPr>
            <w:tcW w:w="4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Experiences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Hotels and Other (1)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(exclusive of stock-based compensation as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Restructuring and other related reorganization costs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reserves, settlements and other </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Transaction related expenses </w:t>
            </w: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Non-recurring (expenses) income </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13"/>
        <w:gridCol w:w="146"/>
        <w:gridCol w:w="301"/>
        <w:gridCol w:w="817"/>
        <w:gridCol w:w="166"/>
        <w:gridCol w:w="146"/>
        <w:gridCol w:w="394"/>
        <w:gridCol w:w="1068"/>
        <w:gridCol w:w="166"/>
        <w:gridCol w:w="146"/>
        <w:gridCol w:w="295"/>
        <w:gridCol w:w="737"/>
        <w:gridCol w:w="166"/>
        <w:gridCol w:w="146"/>
        <w:gridCol w:w="211"/>
        <w:gridCol w:w="571"/>
        <w:gridCol w:w="216"/>
      </w:tblGrid>
      <w:tr>
        <w:trPr/>
        <w:tc>
          <w:tcPr>
            <w:tcW w:w="4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Experiences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Hotels and Other (1)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(exclusive of stock-based compensation as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reserves, settlements and other </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reorganization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sz w:val="20"/>
        </w:rPr>
      </w:pPr>
      <w:r>
        <w:rPr>
          <w:rFonts w:ascii="Times New Roman" w:hAnsi="Times New Roman"/>
          <w:color w:val="000000"/>
          <w:sz w:val="16"/>
        </w:rPr>
        <w:t>Includes certain shared costs, primarily personnel costs, allocated from the Hotels and Other segment of $4.3</w:t>
      </w:r>
      <w:r>
        <w:rPr>
          <w:rFonts w:ascii="Times New Roman" w:hAnsi="Times New Roman"/>
          <w:color w:val="000000"/>
          <w:sz w:val="20"/>
        </w:rPr>
        <w:t xml:space="preserve"> </w:t>
      </w:r>
      <w:r>
        <w:rPr>
          <w:rFonts w:ascii="Times New Roman" w:hAnsi="Times New Roman"/>
          <w:color w:val="000000"/>
          <w:sz w:val="16"/>
        </w:rPr>
        <w:t>million and $9.2</w:t>
      </w:r>
      <w:r>
        <w:rPr>
          <w:rFonts w:ascii="Times New Roman" w:hAnsi="Times New Roman"/>
          <w:color w:val="000000"/>
          <w:sz w:val="20"/>
        </w:rPr>
        <w:t xml:space="preserve"> </w:t>
      </w:r>
      <w:r>
        <w:rPr>
          <w:rFonts w:ascii="Times New Roman" w:hAnsi="Times New Roman"/>
          <w:color w:val="000000"/>
          <w:sz w:val="16"/>
        </w:rPr>
        <w:t>million for the three and six months ended June 30, 2026, respectively, and $3.3</w:t>
      </w:r>
      <w:r>
        <w:rPr>
          <w:rFonts w:ascii="Times New Roman" w:hAnsi="Times New Roman"/>
          <w:color w:val="000000"/>
          <w:sz w:val="20"/>
        </w:rPr>
        <w:t xml:space="preserve"> </w:t>
      </w:r>
      <w:r>
        <w:rPr>
          <w:rFonts w:ascii="Times New Roman" w:hAnsi="Times New Roman"/>
          <w:color w:val="000000"/>
          <w:sz w:val="16"/>
        </w:rPr>
        <w:t>million and $6.5</w:t>
      </w:r>
      <w:r>
        <w:rPr>
          <w:rFonts w:ascii="Times New Roman" w:hAnsi="Times New Roman"/>
          <w:color w:val="000000"/>
          <w:sz w:val="20"/>
        </w:rPr>
        <w:t xml:space="preserve"> </w:t>
      </w:r>
      <w:r>
        <w:rPr>
          <w:rFonts w:ascii="Times New Roman" w:hAnsi="Times New Roman"/>
          <w:color w:val="000000"/>
          <w:sz w:val="16"/>
        </w:rPr>
        <w:t>million for the three and six months ended June 30, 2025, respectively. These costs include stranded costs of</w:t>
      </w:r>
      <w:r>
        <w:rPr>
          <w:rFonts w:ascii="Times New Roman" w:hAnsi="Times New Roman"/>
          <w:color w:val="000000"/>
          <w:sz w:val="20"/>
        </w:rPr>
        <w:t xml:space="preserve"> </w:t>
      </w:r>
      <w:r>
        <w:rPr>
          <w:rFonts w:ascii="Times New Roman" w:hAnsi="Times New Roman"/>
          <w:color w:val="000000"/>
          <w:sz w:val="16"/>
        </w:rPr>
        <w:t>$0.4</w:t>
      </w:r>
      <w:r>
        <w:rPr>
          <w:rFonts w:ascii="Times New Roman" w:hAnsi="Times New Roman"/>
          <w:color w:val="000000"/>
          <w:sz w:val="20"/>
        </w:rPr>
        <w:t xml:space="preserve"> </w:t>
      </w:r>
      <w:r>
        <w:rPr>
          <w:rFonts w:ascii="Times New Roman" w:hAnsi="Times New Roman"/>
          <w:color w:val="000000"/>
          <w:sz w:val="16"/>
        </w:rPr>
        <w:t>million and $0.9</w:t>
      </w:r>
      <w:r>
        <w:rPr>
          <w:rFonts w:ascii="Times New Roman" w:hAnsi="Times New Roman"/>
          <w:color w:val="000000"/>
          <w:sz w:val="20"/>
        </w:rPr>
        <w:t xml:space="preserve"> </w:t>
      </w:r>
      <w:r>
        <w:rPr>
          <w:rFonts w:ascii="Times New Roman" w:hAnsi="Times New Roman"/>
          <w:color w:val="000000"/>
          <w:sz w:val="16"/>
        </w:rPr>
        <w:t>million for the three and six months ended June 30, 2026, respectively, and $0.3</w:t>
      </w:r>
      <w:r>
        <w:rPr>
          <w:rFonts w:ascii="Times New Roman" w:hAnsi="Times New Roman"/>
          <w:color w:val="000000"/>
          <w:sz w:val="20"/>
        </w:rPr>
        <w:t xml:space="preserve"> </w:t>
      </w:r>
      <w:r>
        <w:rPr>
          <w:rFonts w:ascii="Times New Roman" w:hAnsi="Times New Roman"/>
          <w:color w:val="000000"/>
          <w:sz w:val="16"/>
        </w:rPr>
        <w:t>million and $0.5</w:t>
      </w:r>
      <w:r>
        <w:rPr>
          <w:rFonts w:ascii="Times New Roman" w:hAnsi="Times New Roman"/>
          <w:color w:val="000000"/>
          <w:sz w:val="20"/>
        </w:rPr>
        <w:t xml:space="preserve"> </w:t>
      </w:r>
      <w:r>
        <w:rPr>
          <w:rFonts w:ascii="Times New Roman" w:hAnsi="Times New Roman"/>
          <w:color w:val="000000"/>
          <w:sz w:val="16"/>
        </w:rPr>
        <w:t xml:space="preserve">million for the three and six months ended June 30, 2025, respectively.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sz w:val="20"/>
        </w:rPr>
      </w:pPr>
      <w:r>
        <w:rPr>
          <w:rFonts w:ascii="Times New Roman" w:hAnsi="Times New Roman"/>
          <w:color w:val="000000"/>
          <w:sz w:val="16"/>
        </w:rPr>
        <w:t>The Hotels and Other segment includes stranded costs of $0.6</w:t>
      </w:r>
      <w:r>
        <w:rPr>
          <w:rFonts w:ascii="Times New Roman" w:hAnsi="Times New Roman"/>
          <w:color w:val="000000"/>
          <w:sz w:val="20"/>
        </w:rPr>
        <w:t xml:space="preserve"> </w:t>
      </w:r>
      <w:r>
        <w:rPr>
          <w:rFonts w:ascii="Times New Roman" w:hAnsi="Times New Roman"/>
          <w:color w:val="000000"/>
          <w:sz w:val="16"/>
        </w:rPr>
        <w:t>million and $1.3</w:t>
      </w:r>
      <w:r>
        <w:rPr>
          <w:rFonts w:ascii="Times New Roman" w:hAnsi="Times New Roman"/>
          <w:color w:val="000000"/>
          <w:sz w:val="20"/>
        </w:rPr>
        <w:t xml:space="preserve"> </w:t>
      </w:r>
      <w:r>
        <w:rPr>
          <w:rFonts w:ascii="Times New Roman" w:hAnsi="Times New Roman"/>
          <w:color w:val="000000"/>
          <w:sz w:val="16"/>
        </w:rPr>
        <w:t>million for the three and six months ended June 30, 2026, respectively, and $0.7</w:t>
      </w:r>
      <w:r>
        <w:rPr>
          <w:rFonts w:ascii="Times New Roman" w:hAnsi="Times New Roman"/>
          <w:color w:val="000000"/>
          <w:sz w:val="20"/>
        </w:rPr>
        <w:t xml:space="preserve"> </w:t>
      </w:r>
      <w:r>
        <w:rPr>
          <w:rFonts w:ascii="Times New Roman" w:hAnsi="Times New Roman"/>
          <w:color w:val="000000"/>
          <w:sz w:val="16"/>
        </w:rPr>
        <w:t>million and $1.3</w:t>
      </w:r>
      <w:r>
        <w:rPr>
          <w:rFonts w:ascii="Times New Roman" w:hAnsi="Times New Roman"/>
          <w:color w:val="000000"/>
          <w:sz w:val="20"/>
        </w:rPr>
        <w:t xml:space="preserve"> </w:t>
      </w:r>
      <w:r>
        <w:rPr>
          <w:rFonts w:ascii="Times New Roman" w:hAnsi="Times New Roman"/>
          <w:color w:val="000000"/>
          <w:sz w:val="16"/>
        </w:rPr>
        <w:t>million for the three and six months ended June 30, 2025, respectively.</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significant segment expense categories and amounts align with the segment-level information that is regularly provided to our CODM.</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sz w:val="20"/>
        </w:rPr>
      </w:pPr>
      <w:r>
        <w:rPr>
          <w:rFonts w:ascii="Times New Roman" w:hAnsi="Times New Roman"/>
          <w:color w:val="000000"/>
          <w:sz w:val="16"/>
        </w:rPr>
        <w:t>Exclusive of $1.2</w:t>
      </w:r>
      <w:r>
        <w:rPr>
          <w:rFonts w:ascii="Times New Roman" w:hAnsi="Times New Roman"/>
          <w:color w:val="000000"/>
          <w:sz w:val="20"/>
        </w:rPr>
        <w:t xml:space="preserve"> </w:t>
      </w:r>
      <w:r>
        <w:rPr>
          <w:rFonts w:ascii="Times New Roman" w:hAnsi="Times New Roman"/>
          <w:color w:val="000000"/>
          <w:sz w:val="16"/>
        </w:rPr>
        <w:t>million and $0.8</w:t>
      </w:r>
      <w:r>
        <w:rPr>
          <w:rFonts w:ascii="Times New Roman" w:hAnsi="Times New Roman"/>
          <w:color w:val="000000"/>
          <w:sz w:val="20"/>
        </w:rPr>
        <w:t xml:space="preserve"> </w:t>
      </w:r>
      <w:r>
        <w:rPr>
          <w:rFonts w:ascii="Times New Roman" w:hAnsi="Times New Roman"/>
          <w:color w:val="000000"/>
          <w:sz w:val="16"/>
        </w:rPr>
        <w:t xml:space="preserve">million benefits in the Experiences and Hotels and Other segments, respectively, which are included separately below in legal reserves, settlements and other.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sz w:val="20"/>
        </w:rPr>
      </w:pPr>
      <w:r>
        <w:rPr>
          <w:rFonts w:ascii="Times New Roman" w:hAnsi="Times New Roman"/>
          <w:color w:val="000000"/>
          <w:sz w:val="16"/>
        </w:rPr>
        <w:t>Exclusive of $1.1</w:t>
      </w:r>
      <w:r>
        <w:rPr>
          <w:rFonts w:ascii="Times New Roman" w:hAnsi="Times New Roman"/>
          <w:color w:val="000000"/>
          <w:sz w:val="20"/>
        </w:rPr>
        <w:t xml:space="preserve"> </w:t>
      </w:r>
      <w:r>
        <w:rPr>
          <w:rFonts w:ascii="Times New Roman" w:hAnsi="Times New Roman"/>
          <w:color w:val="000000"/>
          <w:sz w:val="16"/>
        </w:rPr>
        <w:t>million and $0.3</w:t>
      </w:r>
      <w:r>
        <w:rPr>
          <w:rFonts w:ascii="Times New Roman" w:hAnsi="Times New Roman"/>
          <w:color w:val="000000"/>
          <w:sz w:val="20"/>
        </w:rPr>
        <w:t xml:space="preserve"> </w:t>
      </w:r>
      <w:r>
        <w:rPr>
          <w:rFonts w:ascii="Times New Roman" w:hAnsi="Times New Roman"/>
          <w:color w:val="000000"/>
          <w:sz w:val="16"/>
        </w:rPr>
        <w:t xml:space="preserve">million costs in the Experiences and Hotels and Other segment, respectively, which is included separately below in legal reserves, settlements and other and transaction related expenses.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Refer to “Note 6: </w:t>
      </w:r>
      <w:r>
        <w:rPr>
          <w:rFonts w:ascii="Times New Roman" w:hAnsi="Times New Roman"/>
          <w:i/>
          <w:color w:val="000000"/>
          <w:sz w:val="16"/>
        </w:rPr>
        <w:t>Accrued Expenses and Other Current Liabilities</w:t>
      </w:r>
      <w:r>
        <w:rPr>
          <w:rFonts w:ascii="Times New Roman" w:hAnsi="Times New Roman"/>
          <w:color w:val="000000"/>
          <w:sz w:val="20"/>
        </w:rPr>
        <w:t xml:space="preserve">” </w:t>
      </w:r>
      <w:r>
        <w:rPr>
          <w:rFonts w:ascii="Times New Roman" w:hAnsi="Times New Roman"/>
          <w:color w:val="000000"/>
          <w:sz w:val="16"/>
        </w:rPr>
        <w:t>for information regarding restructuring and other related reorganization costs.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(7)</w:t>
      </w:r>
    </w:p>
    <w:p>
      <w:pPr>
        <w:pStyle w:val="TextBody"/>
        <w:bidi w:val="0"/>
        <w:spacing w:before="0" w:after="0"/>
        <w:jc w:val="left"/>
        <w:rPr>
          <w:rFonts w:ascii="Times New Roman" w:hAnsi="Times New Roman"/>
          <w:sz w:val="20"/>
        </w:rPr>
      </w:pPr>
      <w:r>
        <w:rPr>
          <w:rFonts w:ascii="Times New Roman" w:hAnsi="Times New Roman"/>
          <w:color w:val="000000"/>
          <w:sz w:val="16"/>
        </w:rPr>
        <w:t>This amount includes a refund of $2.0</w:t>
      </w:r>
      <w:r>
        <w:rPr>
          <w:rFonts w:ascii="Times New Roman" w:hAnsi="Times New Roman"/>
          <w:color w:val="000000"/>
          <w:sz w:val="20"/>
        </w:rPr>
        <w:t xml:space="preserve"> </w:t>
      </w:r>
      <w:r>
        <w:rPr>
          <w:rFonts w:ascii="Times New Roman" w:hAnsi="Times New Roman"/>
          <w:color w:val="000000"/>
          <w:sz w:val="16"/>
        </w:rPr>
        <w:t>million realized during the second quarter of 2026, resulting from the repeal of enacted tax legislation in Canada during 2026 related to digital service taxes, reflected in cost of sales on our unaudited condensed consolidated statement of operations. In addition, during the second quarter of 2026, the Company recorded a legal contingency accrual of $1.1</w:t>
      </w:r>
      <w:r>
        <w:rPr>
          <w:rFonts w:ascii="Times New Roman" w:hAnsi="Times New Roman"/>
          <w:color w:val="000000"/>
          <w:sz w:val="20"/>
        </w:rPr>
        <w:t xml:space="preserve"> </w:t>
      </w:r>
      <w:r>
        <w:rPr>
          <w:rFonts w:ascii="Times New Roman" w:hAnsi="Times New Roman"/>
          <w:color w:val="000000"/>
          <w:sz w:val="16"/>
        </w:rPr>
        <w:t xml:space="preserve">million, reflected in general and administrative expenses on our unaudited condensed consolidated statement of operations.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(8)</w:t>
      </w:r>
    </w:p>
    <w:p>
      <w:pPr>
        <w:pStyle w:val="TextBody"/>
        <w:bidi w:val="0"/>
        <w:spacing w:before="0" w:after="0"/>
        <w:jc w:val="left"/>
        <w:rPr>
          <w:rFonts w:ascii="Times New Roman" w:hAnsi="Times New Roman"/>
          <w:sz w:val="20"/>
        </w:rPr>
      </w:pPr>
      <w:r>
        <w:rPr>
          <w:rFonts w:ascii="Times New Roman" w:hAnsi="Times New Roman"/>
          <w:color w:val="000000"/>
          <w:sz w:val="16"/>
        </w:rPr>
        <w:t>Exclusive of $4.6</w:t>
      </w:r>
      <w:r>
        <w:rPr>
          <w:rFonts w:ascii="Times New Roman" w:hAnsi="Times New Roman"/>
          <w:color w:val="000000"/>
          <w:sz w:val="20"/>
        </w:rPr>
        <w:t xml:space="preserve"> </w:t>
      </w:r>
      <w:r>
        <w:rPr>
          <w:rFonts w:ascii="Times New Roman" w:hAnsi="Times New Roman"/>
          <w:color w:val="000000"/>
          <w:sz w:val="16"/>
        </w:rPr>
        <w:t>million in the Hotels and Other segment which is included separately below in legal reserves, settlements and other.</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(9)</w:t>
      </w:r>
    </w:p>
    <w:p>
      <w:pPr>
        <w:pStyle w:val="TextBody"/>
        <w:bidi w:val="0"/>
        <w:spacing w:before="0" w:after="0"/>
        <w:jc w:val="left"/>
        <w:rPr>
          <w:rFonts w:ascii="Times New Roman" w:hAnsi="Times New Roman"/>
          <w:sz w:val="20"/>
        </w:rPr>
      </w:pPr>
      <w:r>
        <w:rPr>
          <w:rFonts w:ascii="Times New Roman" w:hAnsi="Times New Roman"/>
          <w:color w:val="000000"/>
          <w:sz w:val="16"/>
        </w:rPr>
        <w:t>Represents a decrease of $4.6</w:t>
      </w:r>
      <w:r>
        <w:rPr>
          <w:rFonts w:ascii="Times New Roman" w:hAnsi="Times New Roman"/>
          <w:color w:val="000000"/>
          <w:sz w:val="20"/>
        </w:rPr>
        <w:t xml:space="preserve"> </w:t>
      </w:r>
      <w:r>
        <w:rPr>
          <w:rFonts w:ascii="Times New Roman" w:hAnsi="Times New Roman"/>
          <w:color w:val="000000"/>
          <w:sz w:val="16"/>
        </w:rPr>
        <w:t xml:space="preserve">million to a previously estimated accrual for the settlement of a regulatory related matter during the second quarter of 2025, reflected in general and administrative expenses on our unaudited condensed consolidated statement of operations.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(10)</w:t>
      </w:r>
    </w:p>
    <w:p>
      <w:pPr>
        <w:pStyle w:val="TextBody"/>
        <w:bidi w:val="0"/>
        <w:spacing w:before="0" w:after="0"/>
        <w:jc w:val="left"/>
        <w:rPr>
          <w:rFonts w:ascii="Times New Roman" w:hAnsi="Times New Roman"/>
          <w:sz w:val="20"/>
        </w:rPr>
      </w:pPr>
      <w:r>
        <w:rPr>
          <w:rFonts w:ascii="Times New Roman" w:hAnsi="Times New Roman"/>
          <w:color w:val="000000"/>
          <w:sz w:val="16"/>
        </w:rPr>
        <w:t>The Company expensed certain costs related to shareholder activism of $3.3</w:t>
      </w:r>
      <w:r>
        <w:rPr>
          <w:rFonts w:ascii="Times New Roman" w:hAnsi="Times New Roman"/>
          <w:color w:val="000000"/>
          <w:sz w:val="20"/>
        </w:rPr>
        <w:t xml:space="preserve"> </w:t>
      </w:r>
      <w:r>
        <w:rPr>
          <w:rFonts w:ascii="Times New Roman" w:hAnsi="Times New Roman"/>
          <w:color w:val="000000"/>
          <w:sz w:val="16"/>
        </w:rPr>
        <w:t>million, and other transaction related costs of $0.2</w:t>
      </w:r>
      <w:r>
        <w:rPr>
          <w:rFonts w:ascii="Times New Roman" w:hAnsi="Times New Roman"/>
          <w:color w:val="000000"/>
          <w:sz w:val="20"/>
        </w:rPr>
        <w:t xml:space="preserve"> </w:t>
      </w:r>
      <w:r>
        <w:rPr>
          <w:rFonts w:ascii="Times New Roman" w:hAnsi="Times New Roman"/>
          <w:color w:val="000000"/>
          <w:sz w:val="16"/>
        </w:rPr>
        <w:t xml:space="preserve">million, to general and administrative expenses on our unaudited condensed consolidated statements of operations.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(11)</w:t>
      </w:r>
    </w:p>
    <w:p>
      <w:pPr>
        <w:pStyle w:val="TextBody"/>
        <w:bidi w:val="0"/>
        <w:jc w:val="left"/>
        <w:rPr>
          <w:rFonts w:ascii="Times New Roman" w:hAnsi="Times New Roman"/>
          <w:sz w:val="20"/>
        </w:rPr>
      </w:pPr>
      <w:r>
        <w:rPr>
          <w:rFonts w:ascii="Times New Roman" w:hAnsi="Times New Roman"/>
          <w:color w:val="000000"/>
          <w:sz w:val="16"/>
        </w:rPr>
        <w:t>Represents a recovery of $4.8</w:t>
      </w:r>
      <w:r>
        <w:rPr>
          <w:rFonts w:ascii="Times New Roman" w:hAnsi="Times New Roman"/>
          <w:color w:val="000000"/>
          <w:sz w:val="20"/>
        </w:rPr>
        <w:t xml:space="preserve"> </w:t>
      </w:r>
      <w:r>
        <w:rPr>
          <w:rFonts w:ascii="Times New Roman" w:hAnsi="Times New Roman"/>
          <w:color w:val="000000"/>
          <w:sz w:val="16"/>
        </w:rPr>
        <w:t>million related to an external fraud incident, which occurred during the fourth quarter of 2022. The Company reduced Adjusted EBITDA by this recovery amount during the first quarter of 2026, which was recorded to general and administrative expenses on the unaudited condensed consolidated statement of operations. The Company considers such recovery to be non-recurring in nature.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Product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Revenue sources within our Experiences segment and Hotels and Other segment, consisting of Hotels revenue, Media and advertising revenue, and Other revenue, comprise our products. Refer to “Note 4: </w:t>
      </w:r>
      <w:r>
        <w:rPr>
          <w:rFonts w:ascii="Times New Roman" w:hAnsi="Times New Roman"/>
          <w:i/>
          <w:color w:val="000000"/>
          <w:sz w:val="20"/>
        </w:rPr>
        <w:t>Revenue Recognition</w:t>
      </w:r>
      <w:r>
        <w:rPr>
          <w:rFonts w:ascii="Times New Roman" w:hAnsi="Times New Roman"/>
          <w:color w:val="000000"/>
          <w:sz w:val="20"/>
        </w:rPr>
        <w:t xml:space="preserve">” for our revenue by product.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00"/>
        <w:jc w:val="left"/>
        <w:rPr>
          <w:rFonts w:ascii="Times New Roman" w:hAnsi="Times New Roman"/>
          <w:sz w:val="20"/>
        </w:rPr>
      </w:pPr>
      <w:bookmarkStart w:id="8" w:name="item2_management_discussion_and_anal"/>
      <w:bookmarkEnd w:id="8"/>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information included in this Management’s Discussion and Analysis of Financial Condition and Results of Operations should be read in conjunction with our unaudited condensed consolidated financial statements and the accompanying notes included in this Quarterly Report, and the consolidated financial statements and accompanying notes, as well as Management’s Discussion and Analysis of Financial Condition and Results of Operations contained in our 2025 Annual Report. </w:t>
      </w:r>
    </w:p>
    <w:p>
      <w:pPr>
        <w:pStyle w:val="TextBody"/>
        <w:bidi w:val="0"/>
        <w:spacing w:before="240" w:after="283"/>
        <w:jc w:val="left"/>
        <w:rPr>
          <w:rFonts w:ascii="Times New Roman" w:hAnsi="Times New Roman"/>
          <w:sz w:val="20"/>
        </w:rPr>
      </w:pPr>
      <w:r>
        <w:rPr>
          <w:rFonts w:ascii="Times New Roman" w:hAnsi="Times New Roman"/>
          <w:color w:val="000000"/>
          <w:sz w:val="20"/>
        </w:rPr>
        <w:t>This Quarterly Report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Forward-looking statements include, but are not limited to, statements regarding the pending sale of our TheFork business to American Express, including expected timing, net proceeds, potential uses of proceeds, and anticipated transaction benefits Actual results could differ materially from those contained in these forward-looking statements for a variety of reasons, including, but not limited to, those discussed in our 2025 Annual Report, Part I, Item 1A, “</w:t>
      </w:r>
      <w:r>
        <w:rPr>
          <w:rFonts w:ascii="Times New Roman" w:hAnsi="Times New Roman"/>
          <w:i/>
          <w:color w:val="000000"/>
          <w:sz w:val="20"/>
        </w:rPr>
        <w:t>Risk Factors,</w:t>
      </w:r>
      <w:r>
        <w:rPr>
          <w:rFonts w:ascii="Times New Roman" w:hAnsi="Times New Roman"/>
          <w:color w:val="000000"/>
          <w:sz w:val="20"/>
        </w:rPr>
        <w:t xml:space="preserve">” as well as those discussed elsewhere in this Quarterly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“projects,” “will,” “would,” “could,”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Tripadvisor group (the “Group”) is a portfolio of global online platforms purpose-built to connect travelers with experiences, accommodations, restaurants and other relevant travel destination points of interest (“POIs”). Our mission is to be the world's most trusted source for travel and experiences.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offer travelers the ability to search, discover, book, and review experiences, hotels, and restaurants seamlessly through our two-sided marketplaces across three primary consumer-facing brands: Viator, Tripadvisor, and TheFork. Tripadvisor also plays a unique role in broader travel planning and guidance, offering authentic traveler-submitted reviews and content, travel planning tools and related technology to instill confidence for travelers in every part of their travel journey.</w:t>
      </w:r>
    </w:p>
    <w:p>
      <w:pPr>
        <w:pStyle w:val="TextBody"/>
        <w:bidi w:val="0"/>
        <w:spacing w:before="240" w:after="283"/>
        <w:jc w:val="left"/>
        <w:rPr>
          <w:rFonts w:ascii="Times New Roman" w:hAnsi="Times New Roman"/>
          <w:sz w:val="20"/>
        </w:rPr>
      </w:pPr>
      <w:r>
        <w:rPr>
          <w:rFonts w:ascii="Times New Roman" w:hAnsi="Times New Roman"/>
          <w:color w:val="000000"/>
          <w:sz w:val="20"/>
        </w:rPr>
        <w:t>The Company's strategy is focused on growing and scaling its Experiences marketplace, which we believe represents an attractive long-term value creation opportunity, while optimizing its legacy offerings within the Hotels and Other segment for profitability. As part of its Experiences focused strategy, on June 14, 2026, the Company entered into a put option agreement for the sale of TheFork, as further discussed in the section below titled “</w:t>
      </w:r>
      <w:r>
        <w:rPr>
          <w:rFonts w:ascii="Times New Roman" w:hAnsi="Times New Roman"/>
          <w:i/>
          <w:color w:val="000000"/>
          <w:sz w:val="20"/>
        </w:rPr>
        <w:t>Pending Sale of TheFork.</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Experiences segment includes both Viator and Tripadvisor points-of-sale. Viator is a pure-play experiences online travel agency (“OTA”), offering an online global marketplace focused on merchandising bookable experiences to travelers that typically have relatively higher purchase intent either pre-destination or in-destination. Tripadvisor is an online global travel guidance platform that also merchandises experiences to its audience, which more commonly serves travelers in the discovery and planning phases. The Hotels and Other segment primarily consists of the Tripadvisor hotel and restaurant guidance platform, which includes hotel metasearch, and related advertising offerings primarily for hotels and restaurants.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globally recognized brands and extensive user-generated content (“UGC”) support traveler search, discovery, and planning, which in-turn generates high-intent demand for its experiences and dining marketplace offerings as well as for commercial partners in the hotels category and advertising opportunities for endemic and non-endemic advertisers. In turn, clickstream and behavioral data reflecting traveler intent, transactional data from its experiences and dining marketplaces, UGC, and structured and unstructured data related to millions of POIs attractions, and destinations enhance the customer experience through product enhancements and personalization, reinforcing the discovery and engagement loop over time. In addition, the breadth, depth, and scale of first party data is uniquely valuable in the Company’s pursuit to innovate in the application of artificial intelligence (“AI”) for travel and experiences discovery, planning, and booking.</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online travel industry in which we operate is large, highly dynamic and competitive. Below, we describe current trends affecting our overall business and segments, including opportunities, but also uncertainties that may impact our ability to execute on our objectives and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Experiences business is a two-sided online marketplace, which has exhibited consistent revenue growth and improving profitability, prior to the macro-environment headwinds during the first half of 2026, as discussed below. The Company’s total revenue and adjusted EBITDA continue to shift more towards Experiences, as shown in our segment financial information. As of the year ended December 31, 2025, the Experiences segment represented approximately 55% of the Company’s total revenue from continuing operations and 30% of our adjusted EBITDA from continuing operations. As the Company continues to execute on its growth strategies and invest in Experiences, we expect to see our media-based and click-based advertising offerings become a smaller share of our overall revenue and profit mix.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highest strategic priority is to extend our position as a leader in the experiences category. The global experiences market is large, growing, highly fragmented, and under penetrated, with the vast majority of bookings still occurring through traditional offline sources. We expect to benefit from ongoing market tailwinds as consumers increasingly book experiences online and consumer behavior continues to allocate more discretionary spending to travel and experiences and away from physical goods. These trends present attractive growth opportunities for our business, as well as to many competitors. Given the competitive positioning of our businesses relative to the attractive growth prospects in the experiences category, we expect to continue to invest in this category across Tripadvisor Group to continue growing revenue, operating scale, and market share for the long-term.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Hotels and Other segment, we generate a significant amount of direct traffic from search engines, including Google, through search engine optimization (“SEO”) performance. We believe our SEO traffic acquisition performance has been negatively impacted by search engines changing their search result placement and underlying algorithms to increase the prominence of their own products in search results across our business. We believe that our Hotels and Other segment will continue to be impacted by these challenges and others, including AI overviews displacing top ranked links, reduced click-through rates and a shift towards platform based non-traditional search.</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Pending Sale of TheFork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14, 2026, the Company entered into a put option agreement (the “Put Option Agreement”) with American Express Travel Related Services Company, Inc. (“American Express Travel”) to sell TheFork, its online restaurant reservation and management platform in Europe, for $700.0 million in cash, subject to certain adjustments. On August 1, 2026, following the completion of the required consultation process with the relevant French Works Council on July 30, 2026, the Company exercised the put option. On August 2, 2026, the Company entered into an Equity Purchase Agreement with American Express Travel to sell TheFork. The sale of TheFork is currently expected to be completed by the end of 2026, subject to customary closing conditions, including required regulatory approvals. </w:t>
      </w:r>
    </w:p>
    <w:p>
      <w:pPr>
        <w:pStyle w:val="TextBody"/>
        <w:bidi w:val="0"/>
        <w:spacing w:before="240" w:after="283"/>
        <w:jc w:val="left"/>
        <w:rPr>
          <w:rFonts w:ascii="Times New Roman" w:hAnsi="Times New Roman"/>
          <w:sz w:val="20"/>
        </w:rPr>
      </w:pPr>
      <w:r>
        <w:rPr>
          <w:rFonts w:ascii="Times New Roman" w:hAnsi="Times New Roman"/>
          <w:color w:val="000000"/>
          <w:sz w:val="20"/>
        </w:rPr>
        <w:t>Upon execution of the Put Option Agreement, the assets and liabilities of the TheFork business met the accounting requirements to be classified as held for sale. In addition, the accounting requirements for reporting the TheFork business as a discontinued operation were also satisfied as the transaction constitutes a strategic shift that will have a major effect on the Company's operations and financial results. Unless otherwise noted, all amounts, percentages, and any discussions below reflect only the results of operations and financial condition of our continuing operations. Furthermore, upon designation of TheFork business as a discontinued operation, the Company determined that TheFork is no longer a reportable segment. The Company will continue to own and operate the TheFork business until the closing of the transaction resulting in the sale of TheFork. The Company's continuing operations now consist of two reportable segments: (1) Experiences, and (2) Hotels and Other. All prior period segment disclosure information has been recast to conform to the current reporting structure. Refer to Note 3: “</w:t>
      </w:r>
      <w:r>
        <w:rPr>
          <w:rFonts w:ascii="Times New Roman" w:hAnsi="Times New Roman"/>
          <w:i/>
          <w:color w:val="000000"/>
          <w:sz w:val="20"/>
        </w:rPr>
        <w:t>Discontinued Operations</w:t>
      </w:r>
      <w:r>
        <w:rPr>
          <w:rFonts w:ascii="Times New Roman" w:hAnsi="Times New Roman"/>
          <w:color w:val="000000"/>
          <w:sz w:val="20"/>
        </w:rPr>
        <w:t xml:space="preserve">” and “Note 13: </w:t>
      </w:r>
      <w:r>
        <w:rPr>
          <w:rFonts w:ascii="Times New Roman" w:hAnsi="Times New Roman"/>
          <w:i/>
          <w:color w:val="000000"/>
          <w:sz w:val="20"/>
        </w:rPr>
        <w:t>Segment Information</w:t>
      </w:r>
      <w:r>
        <w:rPr>
          <w:rFonts w:ascii="Times New Roman" w:hAnsi="Times New Roman"/>
          <w:color w:val="000000"/>
          <w:sz w:val="20"/>
        </w:rPr>
        <w:t xml:space="preserve">” in the notes to our unaudited condensed consolidated financial statements in Item 1 in this Quarterly Report for further information.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Macro-Environment Headwinds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first half of 2026, specifically beginning in late February and throughout March, the conflict in the Middle East, severe flooding in Hawaii and civil unrest in Mexico, two key destination markets, as well as weather-related events and travel conditions throughout May and June within Europe and the U.S., had an adverse impact on our Experiences business. Although Experiences showed growth across all reported measures through February, as a result of these macro-events, during the first half of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2026, we did observe a negative impact on booking volumes, gross booking value, and revenue, as well as an increase in cancellation rates across all points of sale in our Experiences segment. This negatively impacted our overall growth rates across our reported measures during the first half of 2026 in the Experiences segment. We also expect that heightened geopolitical tensions and conflicts, including evolving events in the Middle East, may continue to have an impact on the travel industry and, as a result, continue to impact our financial results in the second half of the year.</w:t>
      </w:r>
    </w:p>
    <w:p>
      <w:pPr>
        <w:pStyle w:val="TextBody"/>
        <w:bidi w:val="0"/>
        <w:spacing w:before="240" w:after="283"/>
        <w:jc w:val="left"/>
        <w:rPr>
          <w:rFonts w:ascii="Times New Roman" w:hAnsi="Times New Roman"/>
          <w:sz w:val="20"/>
        </w:rPr>
      </w:pPr>
      <w:r>
        <w:rPr>
          <w:rFonts w:ascii="Times New Roman" w:hAnsi="Times New Roman"/>
          <w:i/>
          <w:color w:val="000000"/>
          <w:sz w:val="20"/>
        </w:rPr>
        <w:t>Restructuring and Related Reorganization Actions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fourth quarter of 2025, the Company approved and subsequently initiated a series of cost savings actions following a decision to realign its operating model across its Experiences and Hotels and Other segments to support the Company’s positioning as an experiences-led and AI-enabled company. As a result of these actions taken, the Company incurred pre-tax restructuring and other related reorganization costs of $3.9 million and $6.9 million during the three and six months ending June 30, 2026, which consisted of employee severance and related benefits, primarily in our Hotels and Other segment.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These actions are expected to be substantially completed by the fourth quarter of 2026 and represent transformational initiatives of the Company's operating structure, which are not reflective of the Company's normal and recurring business operations. The multi-period nature of these actions generally reflects the operational challenges of executing a global workforce reduction across multiple jurisdictions, including compliance with local statutory requirements in certain international locations, and the timing of employee notifications and departures. Refer to “Note 6: </w:t>
      </w:r>
      <w:r>
        <w:rPr>
          <w:rFonts w:ascii="Times New Roman" w:hAnsi="Times New Roman"/>
          <w:i/>
          <w:color w:val="000000"/>
          <w:sz w:val="20"/>
        </w:rPr>
        <w:t>Accrued Expenses and Other Current Liabilities</w:t>
      </w:r>
      <w:r>
        <w:rPr>
          <w:rFonts w:ascii="Times New Roman" w:hAnsi="Times New Roman"/>
          <w:color w:val="000000"/>
          <w:sz w:val="20"/>
        </w:rPr>
        <w:t xml:space="preserve">” and “Note 13: </w:t>
      </w:r>
      <w:r>
        <w:rPr>
          <w:rFonts w:ascii="Times New Roman" w:hAnsi="Times New Roman"/>
          <w:i/>
          <w:color w:val="000000"/>
          <w:sz w:val="20"/>
        </w:rPr>
        <w:t>Segment Information</w:t>
      </w:r>
      <w:r>
        <w:rPr>
          <w:rFonts w:ascii="Times New Roman" w:hAnsi="Times New Roman"/>
          <w:color w:val="000000"/>
          <w:sz w:val="20"/>
        </w:rPr>
        <w:t>” in the notes to our unaudited condensed consolidated financial statements in Item 1 in this Quarterly Report for further information related to these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fourth quarter of 2024, the Company approved and subsequently initiated a set of actions across its businesses in order to reduce its cost structure, improve operational efficiencies, and realign its workforce with its strategic initiatives. As a result of actions taken under this initiative, during first half of 2025, the Company incurred pre-tax restructuring and other related reorganization costs of $9.3 million, which consisted of employee severance and related benefits, primarily in our Hotel and Other segment.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Repayment of 2026 Senior Notes and Expiration of Capped Calls</w:t>
      </w:r>
    </w:p>
    <w:p>
      <w:pPr>
        <w:pStyle w:val="TextBody"/>
        <w:bidi w:val="0"/>
        <w:spacing w:before="240" w:after="240"/>
        <w:jc w:val="left"/>
        <w:rPr>
          <w:rFonts w:ascii="Times New Roman" w:hAnsi="Times New Roman"/>
          <w:sz w:val="20"/>
        </w:rPr>
      </w:pPr>
      <w:r>
        <w:rPr>
          <w:rFonts w:ascii="Times New Roman" w:hAnsi="Times New Roman"/>
          <w:color w:val="000000"/>
          <w:sz w:val="20"/>
        </w:rPr>
        <w:t xml:space="preserve">On April 1, 2026, the Company repaid its 0.25% Convertible 2026 Senior Notes due 2026 (“2026 Senior Notes”), at maturity, for $345.4 million, consisting of the full outstanding principal and accrued interest, funded by cash on hand. In connection with the maturity and repayment of the 2026 Senior Notes on April 1, 2026, the Capped Calls also expired unexercised. Refer to “Note 7: </w:t>
      </w:r>
      <w:r>
        <w:rPr>
          <w:rFonts w:ascii="Times New Roman" w:hAnsi="Times New Roman"/>
          <w:i/>
          <w:color w:val="000000"/>
          <w:sz w:val="20"/>
        </w:rPr>
        <w:t>Debt</w:t>
      </w:r>
      <w:r>
        <w:rPr>
          <w:rFonts w:ascii="Times New Roman" w:hAnsi="Times New Roman"/>
          <w:color w:val="000000"/>
          <w:sz w:val="20"/>
        </w:rPr>
        <w:t>” in the notes to our unaudited condensed consolidated financial statements in Item 1 in this Quarterly Report for further information.</w:t>
      </w:r>
    </w:p>
    <w:p>
      <w:pPr>
        <w:pStyle w:val="TextBody"/>
        <w:bidi w:val="0"/>
        <w:spacing w:before="120" w:after="283"/>
        <w:jc w:val="left"/>
        <w:rPr>
          <w:rFonts w:ascii="Times New Roman" w:hAnsi="Times New Roman"/>
          <w:sz w:val="20"/>
        </w:rPr>
      </w:pPr>
      <w:r>
        <w:rPr>
          <w:rFonts w:ascii="Times New Roman" w:hAnsi="Times New Roman"/>
          <w:b/>
          <w:color w:val="000000"/>
          <w:sz w:val="20"/>
        </w:rPr>
        <w:t>Employees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approximately 2,465 employees, of which approximately 860 are employees of TheFork. Approximately 70%, 26%, and 4% of the Company’s current employees are based in Europe, the U.S., and the rest of world,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pStyle w:val="TextBody"/>
        <w:bidi w:val="0"/>
        <w:spacing w:before="36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 experiences taken, and traveler accommodation stays,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or economic uncertainty, public health-related events, as well as other factors.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sz w:val="20"/>
        </w:rPr>
      </w:pPr>
      <w:r>
        <w:rPr>
          <w:rFonts w:ascii="Times New Roman" w:hAnsi="Times New Roman"/>
          <w:color w:val="000000"/>
          <w:sz w:val="20"/>
        </w:rPr>
        <w:t>There have been no material changes to our critical accounting policies and estimates as compared to the critical accounting policies and estimates described in our “</w:t>
      </w:r>
      <w:r>
        <w:rPr>
          <w:rFonts w:ascii="Times New Roman" w:hAnsi="Times New Roman"/>
          <w:i/>
          <w:color w:val="000000"/>
          <w:sz w:val="20"/>
        </w:rPr>
        <w:t>Critical Accounting Policies and Estimates</w:t>
      </w:r>
      <w:r>
        <w:rPr>
          <w:rFonts w:ascii="Times New Roman" w:hAnsi="Times New Roman"/>
          <w:color w:val="000000"/>
          <w:sz w:val="20"/>
        </w:rPr>
        <w:t>” in Part II, Item 7. — Management’s Discussion and Analysis of Financial Condition and Results of Operations of our 2025 Annual Report.</w:t>
      </w:r>
    </w:p>
    <w:p>
      <w:pPr>
        <w:pStyle w:val="TextBody"/>
        <w:bidi w:val="0"/>
        <w:spacing w:before="360" w:after="240"/>
        <w:jc w:val="left"/>
        <w:rPr>
          <w:rFonts w:ascii="Times New Roman" w:hAnsi="Times New Roman"/>
          <w:sz w:val="20"/>
        </w:rPr>
      </w:pPr>
      <w:r>
        <w:rPr>
          <w:rFonts w:ascii="Times New Roman" w:hAnsi="Times New Roman"/>
          <w:b/>
          <w:color w:val="000000"/>
          <w:sz w:val="20"/>
        </w:rPr>
        <w:t>Significant Accounting Policies and New Accounting Pronouncements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There have been no material changes to our significant accounting policies or new accounting pronouncements which required adoption had a significant impact on our unaudited condensed consolidated financial statements since December 31, 2025, as compared to those described under “Note 2: </w:t>
      </w:r>
      <w:r>
        <w:rPr>
          <w:rFonts w:ascii="Times New Roman" w:hAnsi="Times New Roman"/>
          <w:i/>
          <w:color w:val="000000"/>
          <w:sz w:val="20"/>
        </w:rPr>
        <w:t>Significant Accounting Policies,</w:t>
      </w:r>
      <w:r>
        <w:rPr>
          <w:rFonts w:ascii="Times New Roman" w:hAnsi="Times New Roman"/>
          <w:color w:val="000000"/>
          <w:sz w:val="20"/>
        </w:rPr>
        <w:t>” in the notes to the audited consolidated financial statements in Item 8 of our 2025 Annual Report. During the second quarter of 2026, we reclassified the results of TheFork segment as discontinued operations in our unaudited condensed consolidated statements of operations for all periods presented, as discussed above.</w:t>
      </w:r>
    </w:p>
    <w:p>
      <w:pPr>
        <w:pStyle w:val="TextBody"/>
        <w:bidi w:val="0"/>
        <w:spacing w:before="360" w:after="283"/>
        <w:jc w:val="center"/>
        <w:rPr>
          <w:rFonts w:ascii="Times New Roman" w:hAnsi="Times New Roman"/>
          <w:sz w:val="20"/>
        </w:rPr>
      </w:pPr>
      <w:r>
        <w:rPr>
          <w:rFonts w:ascii="Times New Roman" w:hAnsi="Times New Roman"/>
          <w:b/>
          <w:color w:val="000000"/>
          <w:sz w:val="20"/>
        </w:rPr>
        <w:t>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Selected Financial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 except percentages)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22"/>
        <w:gridCol w:w="346"/>
        <w:gridCol w:w="217"/>
        <w:gridCol w:w="588"/>
        <w:gridCol w:w="171"/>
        <w:gridCol w:w="150"/>
        <w:gridCol w:w="217"/>
        <w:gridCol w:w="588"/>
        <w:gridCol w:w="166"/>
        <w:gridCol w:w="146"/>
        <w:gridCol w:w="254"/>
        <w:gridCol w:w="657"/>
        <w:gridCol w:w="281"/>
        <w:gridCol w:w="146"/>
        <w:gridCol w:w="213"/>
        <w:gridCol w:w="578"/>
        <w:gridCol w:w="168"/>
        <w:gridCol w:w="147"/>
        <w:gridCol w:w="213"/>
        <w:gridCol w:w="578"/>
        <w:gridCol w:w="166"/>
        <w:gridCol w:w="146"/>
        <w:gridCol w:w="234"/>
        <w:gridCol w:w="677"/>
        <w:gridCol w:w="536"/>
      </w:tblGrid>
      <w:tr>
        <w:trPr/>
        <w:tc>
          <w:tcPr>
            <w:tcW w:w="26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(including stock-based compensation of $16.8, $26.2, $35.3 and $51.5, respectively)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related reorganization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from continuing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from discontinued operations, net of tax</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Data: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from continuing operations </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n.m. = </w:t>
      </w:r>
      <w:r>
        <w:rPr>
          <w:rFonts w:ascii="Times New Roman" w:hAnsi="Times New Roman"/>
          <w:i/>
          <w:color w:val="000000"/>
          <w:sz w:val="16"/>
        </w:rPr>
        <w:t>not meaningful</w:t>
      </w:r>
    </w:p>
    <w:p>
      <w:pPr>
        <w:pStyle w:val="TextBody"/>
        <w:bidi w:val="0"/>
        <w:spacing w:before="2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240" w:after="283"/>
        <w:jc w:val="left"/>
        <w:rPr>
          <w:rFonts w:ascii="Times New Roman" w:hAnsi="Times New Roman"/>
          <w:color w:val="000000"/>
          <w:sz w:val="16"/>
        </w:rPr>
      </w:pPr>
      <w:r>
        <w:rPr>
          <w:rFonts w:ascii="Times New Roman" w:hAnsi="Times New Roman"/>
          <w:color w:val="000000"/>
          <w:sz w:val="16"/>
        </w:rPr>
        <w:t xml:space="preserve">Adjusted EBITDA from continuing operations is considered a non-GAAP measure as defined by the SEC. Please refer to the “Adjusted EBITDA” discussion below for more information, including tabular reconciliations to the most directly comparable GAAP financial measure.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Revenue and Segment Information</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Experiences Segment</w:t>
      </w:r>
    </w:p>
    <w:tbl>
      <w:tblPr>
        <w:tblW w:w="10205" w:type="dxa"/>
        <w:jc w:val="left"/>
        <w:tblInd w:w="0" w:type="dxa"/>
        <w:tblLayout w:type="fixed"/>
        <w:tblCellMar>
          <w:top w:w="28" w:type="dxa"/>
          <w:left w:w="28" w:type="dxa"/>
          <w:bottom w:w="28" w:type="dxa"/>
          <w:right w:w="28" w:type="dxa"/>
        </w:tblCellMar>
      </w:tblPr>
      <w:tblGrid>
        <w:gridCol w:w="2462"/>
        <w:gridCol w:w="146"/>
        <w:gridCol w:w="220"/>
        <w:gridCol w:w="596"/>
        <w:gridCol w:w="282"/>
        <w:gridCol w:w="152"/>
        <w:gridCol w:w="220"/>
        <w:gridCol w:w="596"/>
        <w:gridCol w:w="271"/>
        <w:gridCol w:w="146"/>
        <w:gridCol w:w="267"/>
        <w:gridCol w:w="692"/>
        <w:gridCol w:w="293"/>
        <w:gridCol w:w="146"/>
        <w:gridCol w:w="212"/>
        <w:gridCol w:w="575"/>
        <w:gridCol w:w="273"/>
        <w:gridCol w:w="147"/>
        <w:gridCol w:w="212"/>
        <w:gridCol w:w="575"/>
        <w:gridCol w:w="271"/>
        <w:gridCol w:w="146"/>
        <w:gridCol w:w="267"/>
        <w:gridCol w:w="692"/>
        <w:gridCol w:w="346"/>
      </w:tblGrid>
      <w:tr>
        <w:trPr/>
        <w:tc>
          <w:tcPr>
            <w:tcW w:w="2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(exclusive of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Margin by Segment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240" w:after="283"/>
        <w:jc w:val="left"/>
        <w:rPr/>
      </w:pPr>
      <w:r>
        <w:rPr>
          <w:rFonts w:ascii="Times New Roman" w:hAnsi="Times New Roman"/>
          <w:color w:val="000000"/>
          <w:sz w:val="16"/>
        </w:rPr>
        <w:t xml:space="preserve">Refer to “Note 13: </w:t>
      </w:r>
      <w:r>
        <w:rPr>
          <w:rFonts w:ascii="Times New Roman" w:hAnsi="Times New Roman"/>
          <w:i/>
          <w:color w:val="000000"/>
          <w:sz w:val="16"/>
        </w:rPr>
        <w:t>Segment Information</w:t>
      </w:r>
      <w:r>
        <w:rPr>
          <w:color w:val="000000"/>
        </w:rPr>
        <w:t xml:space="preserve">” </w:t>
      </w:r>
      <w:r>
        <w:rPr>
          <w:rFonts w:ascii="Times New Roman" w:hAnsi="Times New Roman"/>
          <w:color w:val="000000"/>
          <w:sz w:val="16"/>
        </w:rPr>
        <w:t>in the notes to our unaudited condensed consolidated financial statements in Item 1 in this Quarterly Report for expense information needed in order to reconcile to the total operating expense captions on the unaudited condensed consolidated statements of operations.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color w:val="000000"/>
        </w:rPr>
      </w:pPr>
      <w:r>
        <w:rPr>
          <w:color w:val="000000"/>
        </w:rPr>
        <w:t>“</w:t>
      </w:r>
      <w:r>
        <w:rPr>
          <w:rFonts w:ascii="Times New Roman" w:hAnsi="Times New Roman"/>
          <w:color w:val="000000"/>
          <w:sz w:val="16"/>
        </w:rPr>
        <w:t>Adjusted EBITDA Margin by Segment” is defined as Adjusted EBITDA by segment divided by revenue by segment.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Key Operating Metrics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the operating metrics described below to assist us in measuring our operations performance, identifying trends, formulating projections and making strategic decisions for the Experiences segment. We are not aware of any uniform standards for calculating these metrics, which may hinder comparability with other companies that may calculate similarly titled metrics in a different way. Management believes it is useful to monitor these metrics together and not individually as it does not make business decisions based upon any single metric. We regularly review our processes and may adjust how we calculate these metrics to improve their accuracy. We make these key metrics available to investors because we believe they are useful to investors both because they allow for greater transparency with respect to key metrics used by management in its financial and operational decision-making, and because they may be used by investors to help analyze the health of our business. None of these metrics should be considered as an alternative to any measure of financial performance calculated in accordance with GAAP.</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Number of Experience Bookings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We define an experience booking as a single tour, activity, or attraction that can be purchased through Viator's platform for one or several travelers, prior to adjustments such as date changes, refunds, or cancellations. This metric is reported at the time the booking is made. As an example, a single experience booked in January for three travelers would be reported as one experience booking in the first quarter. We believe that the number of experience bookings, an operational measure, is a useful indicator of the scale of our marketplace. The number of experiences booked were approximately 6.5 million and 12.1 million during the three and six months ended June 30, 2026, respectively, an increase of approximately 5% and 7%, respectively, when compared to the same periods in 2025, primarily driven through growth on Viator and third-party points of sale, partially offset by SEO-related headwinds in the Tripadvisor point of sale.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Gross Booking Value (“GBV”)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GBV represents the total dollar value of experience bookings in a given period prior to any adjustments such as date changes, refunds or cancellations. GBV is an operational measure that provides an indication of total engagement and economic activity driven by our platform in a given period by all marketplace constituents (travelers, experiences operators, and partners). Management uses GBV for operational decision-making purposes to monitor the growth, scale, and reach of its online marketplace as well as assess the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health of its global ecosystem. Accordingly, management does not consider GBV to be an indicator of revenue or any other financial statement measure.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GBV reached $1.4 billion and $2.6 billion during the three and six months ended June 30, 2026, respectively, an increase of approximately 3% and 7%, respectively, when compared to the same periods in 2025, primarily due to growth in the number of experience bookings as discussed above. These were partially offset by SEO -headwinds and the macro-related factors noted above, which negatively impacted bookings growth, and lower average bookings values across Viator and Tripadvisor points of sale when compared to the same periods in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and Adjusted EBITDA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Experiences segment revenue increased by $8.1 million and $20.2 million during the three and six months ended June 30, 2026, respectively, when compared to the same periods in 2025, primarily driven by GBV growth, as discussed above. These increases were partially offset by the macro-related factors noted above, that negatively impacted bookings growth and increased cancellation rates during the first half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EBITDA in our Experiences segment decreased by $7.0 million and $12.2 million during the three and six months ended June 30, 2026, respectively, when compared to the same periods in 2025, and adjusted EBITDA margin decreased by 2.9 percentage points and 3.0 percentage points during three and six months ended June 30, 2026, respectively, when compared to the same periods in 2025. The decrease in adjusted EBITDA was primarily due to an increase in paid marketing costs, partially offset by an increase in revenue growth, as discussed above. The decline in adjusted EBITDA margin during the three and six months ended June 30, 2026 when compared to the same periods in 2025 was primarily due to an increase in marketing costs, partially offset by lower personnel costs as a percentage of revenue.</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Hotels and Other Segment</w:t>
      </w:r>
    </w:p>
    <w:tbl>
      <w:tblPr>
        <w:tblW w:w="10205" w:type="dxa"/>
        <w:jc w:val="left"/>
        <w:tblInd w:w="0" w:type="dxa"/>
        <w:tblLayout w:type="fixed"/>
        <w:tblCellMar>
          <w:top w:w="28" w:type="dxa"/>
          <w:left w:w="28" w:type="dxa"/>
          <w:bottom w:w="28" w:type="dxa"/>
          <w:right w:w="28" w:type="dxa"/>
        </w:tblCellMar>
      </w:tblPr>
      <w:tblGrid>
        <w:gridCol w:w="2462"/>
        <w:gridCol w:w="146"/>
        <w:gridCol w:w="220"/>
        <w:gridCol w:w="596"/>
        <w:gridCol w:w="282"/>
        <w:gridCol w:w="152"/>
        <w:gridCol w:w="220"/>
        <w:gridCol w:w="596"/>
        <w:gridCol w:w="271"/>
        <w:gridCol w:w="146"/>
        <w:gridCol w:w="267"/>
        <w:gridCol w:w="692"/>
        <w:gridCol w:w="293"/>
        <w:gridCol w:w="146"/>
        <w:gridCol w:w="212"/>
        <w:gridCol w:w="575"/>
        <w:gridCol w:w="273"/>
        <w:gridCol w:w="147"/>
        <w:gridCol w:w="212"/>
        <w:gridCol w:w="575"/>
        <w:gridCol w:w="271"/>
        <w:gridCol w:w="146"/>
        <w:gridCol w:w="267"/>
        <w:gridCol w:w="692"/>
        <w:gridCol w:w="346"/>
      </w:tblGrid>
      <w:tr>
        <w:trPr/>
        <w:tc>
          <w:tcPr>
            <w:tcW w:w="2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(exclusive of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Margin by Segment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pPr>
      <w:r>
        <w:rPr>
          <w:rFonts w:ascii="Times New Roman" w:hAnsi="Times New Roman"/>
          <w:color w:val="000000"/>
          <w:sz w:val="16"/>
        </w:rPr>
        <w:t xml:space="preserve">Refer to “Note 13: </w:t>
      </w:r>
      <w:r>
        <w:rPr>
          <w:rFonts w:ascii="Times New Roman" w:hAnsi="Times New Roman"/>
          <w:i/>
          <w:color w:val="000000"/>
          <w:sz w:val="16"/>
        </w:rPr>
        <w:t>Segment Information</w:t>
      </w:r>
      <w:r>
        <w:rPr>
          <w:color w:val="000000"/>
        </w:rPr>
        <w:t xml:space="preserve">” </w:t>
      </w:r>
      <w:r>
        <w:rPr>
          <w:rFonts w:ascii="Times New Roman" w:hAnsi="Times New Roman"/>
          <w:color w:val="000000"/>
          <w:sz w:val="16"/>
        </w:rPr>
        <w:t>in the notes to our unaudited condensed consolidated financial statements in Item 1 in this Quarterly Report for expense information needed in order to reconcile to the total operating expense captions on the unaudited condensed consolidated statements of operations.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color w:val="000000"/>
        </w:rPr>
      </w:pPr>
      <w:r>
        <w:rPr>
          <w:color w:val="000000"/>
        </w:rPr>
        <w:t>“</w:t>
      </w:r>
      <w:r>
        <w:rPr>
          <w:rFonts w:ascii="Times New Roman" w:hAnsi="Times New Roman"/>
          <w:color w:val="000000"/>
          <w:sz w:val="16"/>
        </w:rPr>
        <w:t>Adjusted EBITDA Margin by Segment” is defined as Adjusted EBITDA by segment divided by revenue by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Hotels and Other segment revenue decreased by $42.2 million and $81.0 million during the three and six months ended June 30, 2026, respectively, when compared to the same periods in 2025, driven by declines across all revenue streams primarily from free marketing channels, particularly SEO, as discussed further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in our Hotels and Other segment decreased by $13.8 million and $38.5 million during the three and six months ended June 30, 2026, respectively, when compared to the same periods in 2025, while adjusted EBITDA margin decreased 1.0 percentage point and 4.5 percentage points during the three and six months ended June 30, 2026, respectively, when compared to the same periods in 2025. The decrease in adjusted EBITDA was primarily due to a decrease in revenue, as noted above, partially offset by a decrease in the segment's operating expenses of $28.4 million and $42.5 million during the three and six months ended June 30, 2026, respectively, when compared to the same periods in 2025. This decrease was primarily related to a decrease in personnel costs due to a reduction in headcount related to cost reduction measures taken during the fourth quarter of 2025, and to a lesser extent, a decrease in marketing expenses as we continue to optimize for profitability. The decline in adjusted EBITDA margin during the three and six months ended June 30, 2026 when compared to the same periods in 2025, was primarily due to an increase in marketing costs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percentage of revenue due to declines in free marketing channels, particularly SEO, and the resulting shift from free to paid marketing channels, as well as technology costs as a percent of revenue.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is a detailed discussion of the revenue sources within our Hotels and Other segment:</w:t>
      </w:r>
    </w:p>
    <w:tbl>
      <w:tblPr>
        <w:tblW w:w="10205" w:type="dxa"/>
        <w:jc w:val="left"/>
        <w:tblInd w:w="0" w:type="dxa"/>
        <w:tblLayout w:type="fixed"/>
        <w:tblCellMar>
          <w:top w:w="28" w:type="dxa"/>
          <w:left w:w="28" w:type="dxa"/>
          <w:bottom w:w="28" w:type="dxa"/>
          <w:right w:w="28" w:type="dxa"/>
        </w:tblCellMar>
      </w:tblPr>
      <w:tblGrid>
        <w:gridCol w:w="1911"/>
        <w:gridCol w:w="346"/>
        <w:gridCol w:w="221"/>
        <w:gridCol w:w="600"/>
        <w:gridCol w:w="284"/>
        <w:gridCol w:w="153"/>
        <w:gridCol w:w="221"/>
        <w:gridCol w:w="600"/>
        <w:gridCol w:w="271"/>
        <w:gridCol w:w="146"/>
        <w:gridCol w:w="271"/>
        <w:gridCol w:w="702"/>
        <w:gridCol w:w="296"/>
        <w:gridCol w:w="146"/>
        <w:gridCol w:w="212"/>
        <w:gridCol w:w="576"/>
        <w:gridCol w:w="273"/>
        <w:gridCol w:w="147"/>
        <w:gridCol w:w="212"/>
        <w:gridCol w:w="576"/>
        <w:gridCol w:w="271"/>
        <w:gridCol w:w="146"/>
        <w:gridCol w:w="271"/>
        <w:gridCol w:w="702"/>
        <w:gridCol w:w="651"/>
      </w:tblGrid>
      <w:tr>
        <w:trPr/>
        <w:tc>
          <w:tcPr>
            <w:tcW w:w="19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Hotels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Hotels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9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i/>
                <w:color w:val="000000"/>
                <w:sz w:val="20"/>
              </w:rPr>
            </w:pPr>
            <w:r>
              <w:rPr>
                <w:rFonts w:ascii="Times New Roman" w:hAnsi="Times New Roman"/>
                <w:i/>
                <w:color w:val="000000"/>
                <w:sz w:val="20"/>
              </w:rPr>
              <w:t>% of Hotels and Other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72</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72</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Media and advertising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9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i/>
                <w:color w:val="000000"/>
                <w:sz w:val="20"/>
              </w:rPr>
            </w:pPr>
            <w:r>
              <w:rPr>
                <w:rFonts w:ascii="Times New Roman" w:hAnsi="Times New Roman"/>
                <w:i/>
                <w:color w:val="000000"/>
                <w:sz w:val="20"/>
              </w:rPr>
              <w:t>% of Hotels and Other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19</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18</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9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i/>
                <w:color w:val="000000"/>
                <w:sz w:val="20"/>
              </w:rPr>
            </w:pPr>
            <w:r>
              <w:rPr>
                <w:rFonts w:ascii="Times New Roman" w:hAnsi="Times New Roman"/>
                <w:i/>
                <w:color w:val="000000"/>
                <w:sz w:val="20"/>
              </w:rPr>
              <w:t>% of Hotels and Other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Hotels and Other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16"/>
        </w:rPr>
      </w:pPr>
      <w:r>
        <w:rPr>
          <w:rFonts w:ascii="Times New Roman" w:hAnsi="Times New Roman"/>
          <w:i/>
          <w:color w:val="000000"/>
          <w:sz w:val="16"/>
        </w:rPr>
        <w:t>*Percentages may not total to 100% due to rounding.</w:t>
      </w:r>
    </w:p>
    <w:p>
      <w:pPr>
        <w:pStyle w:val="TextBody"/>
        <w:bidi w:val="0"/>
        <w:spacing w:before="360" w:after="283"/>
        <w:jc w:val="left"/>
        <w:rPr>
          <w:rFonts w:ascii="Times New Roman" w:hAnsi="Times New Roman"/>
          <w:sz w:val="20"/>
        </w:rPr>
      </w:pPr>
      <w:r>
        <w:rPr>
          <w:rFonts w:ascii="Times New Roman" w:hAnsi="Times New Roman"/>
          <w:i/>
          <w:color w:val="000000"/>
          <w:sz w:val="20"/>
        </w:rPr>
        <w:t>Hotels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Hotels revenue decreased by $34.4 million and $68.0 million during the three and six months ended June 30, 2026, respectively, when compared to the same periods in 2025, primarily due to a decrease in hotel metasearch revenue. These decreases were driven primarily by a decline in revenue from free marketing channels, and to a lesser extent, paid marketing channels, resulting in lower click volumes, which more than offset an increase in pricing as measured in cost-per-click rates (“CPCs”) in our hotel metasearch offering. Growth in CPCs was due in part to certain product changes made that improved qualified referrals to our partners and, as a result, increased CPCs, across all geographies.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Media and Advertising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Media and advertising revenue primarily consists of revenue from display-based advertising (or “media advertising”) across our Tripadvisor Group platform and decreased $4.3 million and $7.0 million during the three and six months ended June 30, 2026, respectively, when compared to the same periods in 2025. These decreases were primarily driven by declines in traditional display and programmatic advertising (together sometimes referred to as “on platform” advertising) that correlates closely with overall traffic volume.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revenue includes click-based advertising and display-based advertising revenue from our cruise, as well as, Tripadvisor dining revenue. At the start of 2026, the Company no longer offers travelers access to vacation rentals, flights and rental cars offerings on its platform. Tripadvisor dining revenue includes affiliate marketing commissions earned primarily from restaurant reservation bookings on Tripadvisor-branded websites and mobile apps, fulfilled by TheFork, in addition to revenue earned from Hotels and Other’s own business-to-business (“B2B”) restaurant offerings. Other revenue decreased $3.5 million and $6.0 million during the three and six months ended June 30, 2026, respectively, when compared to the same periods in 2025, primarily due to Tripadvisor dining revenue as we shift our strategic focus and simplify the management of our Hotels and Other segment, and to a lesser extent, the Company no longer offering vacation rentals, flights and rental cars offerings on our platform, as noted above.</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Cost of sales consists of expenses that are directly related or closely correlated to revenue generation, including direct costs, such as credit card and other booking transaction payment fees, media production costs, ad serving fees, and other revenue generating costs. In addition, cost of sales includes operating costs such as bad debt expense and non-income taxes, including sales, use, digital services, and other non-income related taxes.</w:t>
      </w:r>
    </w:p>
    <w:tbl>
      <w:tblPr>
        <w:tblW w:w="10082" w:type="dxa"/>
        <w:jc w:val="left"/>
        <w:tblInd w:w="0" w:type="dxa"/>
        <w:tblLayout w:type="fixed"/>
        <w:tblCellMar>
          <w:top w:w="28" w:type="dxa"/>
          <w:left w:w="28" w:type="dxa"/>
          <w:bottom w:w="28" w:type="dxa"/>
          <w:right w:w="28" w:type="dxa"/>
        </w:tblCellMar>
      </w:tblPr>
      <w:tblGrid>
        <w:gridCol w:w="1386"/>
        <w:gridCol w:w="346"/>
        <w:gridCol w:w="264"/>
        <w:gridCol w:w="584"/>
        <w:gridCol w:w="339"/>
        <w:gridCol w:w="183"/>
        <w:gridCol w:w="264"/>
        <w:gridCol w:w="584"/>
        <w:gridCol w:w="271"/>
        <w:gridCol w:w="146"/>
        <w:gridCol w:w="309"/>
        <w:gridCol w:w="801"/>
        <w:gridCol w:w="331"/>
        <w:gridCol w:w="146"/>
        <w:gridCol w:w="241"/>
        <w:gridCol w:w="533"/>
        <w:gridCol w:w="310"/>
        <w:gridCol w:w="167"/>
        <w:gridCol w:w="241"/>
        <w:gridCol w:w="533"/>
        <w:gridCol w:w="271"/>
        <w:gridCol w:w="146"/>
        <w:gridCol w:w="387"/>
        <w:gridCol w:w="723"/>
        <w:gridCol w:w="576"/>
      </w:tblGrid>
      <w:tr>
        <w:trPr/>
        <w:tc>
          <w:tcPr>
            <w:tcW w:w="13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sales decreased $5.5 million during the three months ended June 30, 2026 when compared to the same period in 2025, primarily due to a decrease in digital services taxes, resulting from the repeal of enacted tax legislation in Canada during 2026 related to digital service taxes, which includes a refund of $2.0 million realized during the second quarter of 2026, as well as, a decrease in bad debt expense, media production costs and other transactional costs related to generating revenue in Hotels and Other. This decrease was partially offset by an increase in credit card payment processing fees as a result of revenue growth in Experiences. Cost of sales decreased $0.6 million during the six months ended June 30, 2026 when compared to the same period in 2025, primarily due a decrease in digital services taxes, as discussed above, partially offset by an increase in credit card payment processing fees as a result of revenue growth in Experiences.</w:t>
      </w:r>
    </w:p>
    <w:p>
      <w:pPr>
        <w:pStyle w:val="TextBody"/>
        <w:bidi w:val="0"/>
        <w:spacing w:before="360" w:after="283"/>
        <w:jc w:val="left"/>
        <w:rPr>
          <w:rFonts w:ascii="Times New Roman" w:hAnsi="Times New Roman"/>
          <w:sz w:val="20"/>
        </w:rPr>
      </w:pPr>
      <w:r>
        <w:rPr>
          <w:rFonts w:ascii="Times New Roman" w:hAnsi="Times New Roman"/>
          <w:b/>
          <w:i/>
          <w:color w:val="000000"/>
          <w:sz w:val="20"/>
        </w:rPr>
        <w:t>Marketing</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Marketing expenses (or advertising costs) consist of direct costs, including traffic generation costs from paid online traffic acquisition costs (including SEM and other online traffic acquisition costs), syndication costs and affiliate marketing commissions, social media costs, brand advertising (including connected television, traditional television and other offline advertising), promotions and public relations.</w:t>
      </w:r>
    </w:p>
    <w:tbl>
      <w:tblPr>
        <w:tblW w:w="10205" w:type="dxa"/>
        <w:jc w:val="left"/>
        <w:tblInd w:w="0" w:type="dxa"/>
        <w:tblLayout w:type="fixed"/>
        <w:tblCellMar>
          <w:top w:w="28" w:type="dxa"/>
          <w:left w:w="28" w:type="dxa"/>
          <w:bottom w:w="28" w:type="dxa"/>
          <w:right w:w="28" w:type="dxa"/>
        </w:tblCellMar>
      </w:tblPr>
      <w:tblGrid>
        <w:gridCol w:w="1910"/>
        <w:gridCol w:w="346"/>
        <w:gridCol w:w="224"/>
        <w:gridCol w:w="608"/>
        <w:gridCol w:w="288"/>
        <w:gridCol w:w="155"/>
        <w:gridCol w:w="224"/>
        <w:gridCol w:w="608"/>
        <w:gridCol w:w="271"/>
        <w:gridCol w:w="146"/>
        <w:gridCol w:w="278"/>
        <w:gridCol w:w="722"/>
        <w:gridCol w:w="303"/>
        <w:gridCol w:w="146"/>
        <w:gridCol w:w="213"/>
        <w:gridCol w:w="577"/>
        <w:gridCol w:w="274"/>
        <w:gridCol w:w="147"/>
        <w:gridCol w:w="213"/>
        <w:gridCol w:w="577"/>
        <w:gridCol w:w="271"/>
        <w:gridCol w:w="146"/>
        <w:gridCol w:w="278"/>
        <w:gridCol w:w="722"/>
        <w:gridCol w:w="558"/>
      </w:tblGrid>
      <w:tr>
        <w:trPr/>
        <w:tc>
          <w:tcPr>
            <w:tcW w:w="19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1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 Experiences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 Hotels and 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Marketing costs increased $8.0 million and $15.8 million during the three and six months ended June 30, 2026 when compared to the same periods in 2025, primarily driven by an increase in marketing costs in Experiences, in order to drive revenue growth and increase market share, partially offset by a decrease in marketing costs in Hotels and Other as we continue to optimize for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Personnel</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Personnel expenses consist primarily of salaries, payroll taxes, bonuses, employee health and other benefits, and stock-based compensation. In addition, personnel expenses include costs associated with contingent staff, bonuses and commissions for sales, sales support, customer support and marketing employees.</w:t>
      </w:r>
    </w:p>
    <w:tbl>
      <w:tblPr>
        <w:tblW w:w="10205" w:type="dxa"/>
        <w:jc w:val="left"/>
        <w:tblInd w:w="0" w:type="dxa"/>
        <w:tblLayout w:type="fixed"/>
        <w:tblCellMar>
          <w:top w:w="28" w:type="dxa"/>
          <w:left w:w="28" w:type="dxa"/>
          <w:bottom w:w="28" w:type="dxa"/>
          <w:right w:w="28" w:type="dxa"/>
        </w:tblCellMar>
      </w:tblPr>
      <w:tblGrid>
        <w:gridCol w:w="2189"/>
        <w:gridCol w:w="346"/>
        <w:gridCol w:w="222"/>
        <w:gridCol w:w="492"/>
        <w:gridCol w:w="286"/>
        <w:gridCol w:w="154"/>
        <w:gridCol w:w="222"/>
        <w:gridCol w:w="603"/>
        <w:gridCol w:w="271"/>
        <w:gridCol w:w="146"/>
        <w:gridCol w:w="263"/>
        <w:gridCol w:w="681"/>
        <w:gridCol w:w="289"/>
        <w:gridCol w:w="146"/>
        <w:gridCol w:w="212"/>
        <w:gridCol w:w="574"/>
        <w:gridCol w:w="272"/>
        <w:gridCol w:w="146"/>
        <w:gridCol w:w="212"/>
        <w:gridCol w:w="574"/>
        <w:gridCol w:w="271"/>
        <w:gridCol w:w="146"/>
        <w:gridCol w:w="263"/>
        <w:gridCol w:w="681"/>
        <w:gridCol w:w="544"/>
      </w:tblGrid>
      <w:tr>
        <w:trPr/>
        <w:tc>
          <w:tcPr>
            <w:tcW w:w="21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(exclusive of 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Personnel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Personnel costs, including stock-based compensation, decreased $26.3 million and $43.3 million during the three and six months ended June 30, 2026 when compared to the same periods in 2025, primarily driven by a reduction in headcount related to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cost-reduction measures initiated in Hotels and Other during 2026 and 2025, and lower annual stock-based grant value awarded to employees during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Technology</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Technology expenses consist primarily of licensing, data center costs including cloud-based solutions, maintenance, computer supplies, telecom, and content translation and localization costs.</w:t>
      </w:r>
    </w:p>
    <w:tbl>
      <w:tblPr>
        <w:tblW w:w="9962" w:type="dxa"/>
        <w:jc w:val="left"/>
        <w:tblInd w:w="0" w:type="dxa"/>
        <w:tblLayout w:type="fixed"/>
        <w:tblCellMar>
          <w:top w:w="28" w:type="dxa"/>
          <w:left w:w="28" w:type="dxa"/>
          <w:bottom w:w="28" w:type="dxa"/>
          <w:right w:w="28" w:type="dxa"/>
        </w:tblCellMar>
      </w:tblPr>
      <w:tblGrid>
        <w:gridCol w:w="1386"/>
        <w:gridCol w:w="346"/>
        <w:gridCol w:w="264"/>
        <w:gridCol w:w="584"/>
        <w:gridCol w:w="339"/>
        <w:gridCol w:w="183"/>
        <w:gridCol w:w="264"/>
        <w:gridCol w:w="584"/>
        <w:gridCol w:w="271"/>
        <w:gridCol w:w="146"/>
        <w:gridCol w:w="454"/>
        <w:gridCol w:w="656"/>
        <w:gridCol w:w="271"/>
        <w:gridCol w:w="146"/>
        <w:gridCol w:w="241"/>
        <w:gridCol w:w="533"/>
        <w:gridCol w:w="310"/>
        <w:gridCol w:w="167"/>
        <w:gridCol w:w="241"/>
        <w:gridCol w:w="533"/>
        <w:gridCol w:w="271"/>
        <w:gridCol w:w="146"/>
        <w:gridCol w:w="454"/>
        <w:gridCol w:w="656"/>
        <w:gridCol w:w="516"/>
      </w:tblGrid>
      <w:tr>
        <w:trPr/>
        <w:tc>
          <w:tcPr>
            <w:tcW w:w="13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Technology and content costs increased $0.1 million and $2.2 million during the three and six months ended June 30, 2026, respectively, when compared to the same periods in 2025. The increase in technology and content costs during the six month months ended June 30, 2026, when compared to the same period in 2025, was primarily due to increased licensing fees and data center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General and administrative expenses consist primarily of professional service fees and other fees including audit, legal, tax and accounting, and other operating costs including real estate and office expenses, and non-compensation related personnel expenses such as travel, relocation, recruiting, and training expenses.</w:t>
      </w:r>
    </w:p>
    <w:tbl>
      <w:tblPr>
        <w:tblW w:w="10205" w:type="dxa"/>
        <w:jc w:val="left"/>
        <w:tblInd w:w="0" w:type="dxa"/>
        <w:tblLayout w:type="fixed"/>
        <w:tblCellMar>
          <w:top w:w="28" w:type="dxa"/>
          <w:left w:w="28" w:type="dxa"/>
          <w:bottom w:w="28" w:type="dxa"/>
          <w:right w:w="28" w:type="dxa"/>
        </w:tblCellMar>
      </w:tblPr>
      <w:tblGrid>
        <w:gridCol w:w="2008"/>
        <w:gridCol w:w="346"/>
        <w:gridCol w:w="260"/>
        <w:gridCol w:w="575"/>
        <w:gridCol w:w="334"/>
        <w:gridCol w:w="179"/>
        <w:gridCol w:w="260"/>
        <w:gridCol w:w="445"/>
        <w:gridCol w:w="271"/>
        <w:gridCol w:w="146"/>
        <w:gridCol w:w="327"/>
        <w:gridCol w:w="711"/>
        <w:gridCol w:w="271"/>
        <w:gridCol w:w="146"/>
        <w:gridCol w:w="232"/>
        <w:gridCol w:w="513"/>
        <w:gridCol w:w="298"/>
        <w:gridCol w:w="160"/>
        <w:gridCol w:w="232"/>
        <w:gridCol w:w="513"/>
        <w:gridCol w:w="271"/>
        <w:gridCol w:w="146"/>
        <w:gridCol w:w="424"/>
        <w:gridCol w:w="614"/>
        <w:gridCol w:w="523"/>
      </w:tblGrid>
      <w:tr>
        <w:trPr/>
        <w:tc>
          <w:tcPr>
            <w:tcW w:w="20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costs increased $5.0 million during the three months ended June 30, 2026 when compared to the same period in 2025, primarily due to a decrease of $4.6 million related to the decrease of a previously estimated accrual regarding a potential settlement of a regulatory related matter during the second quarter of 2025, which did not reoccur during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costs increased $2.2 million during the six months ended June 30, 2026, respectively, when compared to the same period in 2025, primarily due to $3.3 million of shareholder activism costs during the first quarter of 2026, and a decrease of $4.6 million related to the decrease of a previously estimated accrual during the second quarter of 2025, as noted above. These headwinds were partially offset by a recovery of $4.8 million during the first quarter of 2026, related to an external fraud incident which occurred during the fourth quarter of 2022, and to a lesser extent, an increase of sublease income related to office space.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discussed above, the results of TheFork business has been reclassified to discontinued operations for all periods presented. Stranded costs, which are certain shared costs, primarily personnel costs, previously allocated to the TheFork reportable segment that do not qualify for discontinued operations accounting classification and are reported within continuing operations for all periods presented. These costs included in general and administrative expenses totaled $1.0 million and $2.2 million for the three and six months ended June 30, 2026, respectively, and $1.0 million and $1.8 million for the three and six months ended June 30, 2025,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Depreciation expense consists of depreciation on computer equipment, leasehold improvements, furniture, office equipment and other assets, and amortization of capitalized website development costs and right-of-use assets related to our finance lease. Amortization consists of the amortization of definite-lived intangibles purchased in business acquisitions.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63" w:type="dxa"/>
        <w:jc w:val="left"/>
        <w:tblInd w:w="0" w:type="dxa"/>
        <w:tblLayout w:type="fixed"/>
        <w:tblCellMar>
          <w:top w:w="28" w:type="dxa"/>
          <w:left w:w="28" w:type="dxa"/>
          <w:bottom w:w="28" w:type="dxa"/>
          <w:right w:w="28" w:type="dxa"/>
        </w:tblCellMar>
      </w:tblPr>
      <w:tblGrid>
        <w:gridCol w:w="3166"/>
        <w:gridCol w:w="346"/>
        <w:gridCol w:w="264"/>
        <w:gridCol w:w="584"/>
        <w:gridCol w:w="339"/>
        <w:gridCol w:w="183"/>
        <w:gridCol w:w="264"/>
        <w:gridCol w:w="584"/>
        <w:gridCol w:w="271"/>
        <w:gridCol w:w="146"/>
        <w:gridCol w:w="241"/>
        <w:gridCol w:w="533"/>
        <w:gridCol w:w="310"/>
        <w:gridCol w:w="167"/>
        <w:gridCol w:w="241"/>
        <w:gridCol w:w="53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and amortization increased $0.8 million and $2.8 million during both the three and six months ended June 30, 2026, respectively, when compared to the same periods in 2025, primarily due to increased depreciation related to previous capital investments in internal website development, and to a lesser extent, an increase in capital investments primarily in technology and office space across the business, partially offset by the completion of amortization related to intangible assets purchased in business acquisitions from previous years.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and other related reorganization costs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Restructuring and other related reorganization costs consist primarily of employee severance and related benefits and other related reorganization costs. </w:t>
      </w:r>
    </w:p>
    <w:tbl>
      <w:tblPr>
        <w:tblW w:w="9190" w:type="dxa"/>
        <w:jc w:val="left"/>
        <w:tblInd w:w="0" w:type="dxa"/>
        <w:tblLayout w:type="fixed"/>
        <w:tblCellMar>
          <w:top w:w="28" w:type="dxa"/>
          <w:left w:w="28" w:type="dxa"/>
          <w:bottom w:w="28" w:type="dxa"/>
          <w:right w:w="28" w:type="dxa"/>
        </w:tblCellMar>
      </w:tblPr>
      <w:tblGrid>
        <w:gridCol w:w="4321"/>
        <w:gridCol w:w="146"/>
        <w:gridCol w:w="329"/>
        <w:gridCol w:w="564"/>
        <w:gridCol w:w="228"/>
        <w:gridCol w:w="228"/>
        <w:gridCol w:w="329"/>
        <w:gridCol w:w="540"/>
        <w:gridCol w:w="146"/>
        <w:gridCol w:w="146"/>
        <w:gridCol w:w="297"/>
        <w:gridCol w:w="509"/>
        <w:gridCol w:w="205"/>
        <w:gridCol w:w="205"/>
        <w:gridCol w:w="297"/>
        <w:gridCol w:w="509"/>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reorganization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incurred pre-tax restructuring and other related reorganization costs of $3.9 million and $6.9 million during the three and six months ended June 30, 2026, as discussed above. Refer to “Note 6: </w:t>
      </w:r>
      <w:r>
        <w:rPr>
          <w:rFonts w:ascii="Times New Roman" w:hAnsi="Times New Roman"/>
          <w:i/>
          <w:color w:val="000000"/>
          <w:sz w:val="20"/>
        </w:rPr>
        <w:t>Accrued Expenses and Other Current Liabilities</w:t>
      </w:r>
      <w:r>
        <w:rPr>
          <w:rFonts w:ascii="Times New Roman" w:hAnsi="Times New Roman"/>
          <w:color w:val="000000"/>
          <w:sz w:val="20"/>
        </w:rPr>
        <w:t xml:space="preserve">” in the notes to our unaudited condensed consolidated financial statements in Item 1 in this Quarterly Report for more information regarding restructuring and other related reorganization costs.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Interest expense primarily consists of interest incurred, commitment fees, and debt issuance cost amortization related to the Credit Facility, the Term Loan B Facility, the 2026 Senior Notes, as well as imputed interest on finance leases.</w:t>
      </w:r>
    </w:p>
    <w:tbl>
      <w:tblPr>
        <w:tblW w:w="6337" w:type="dxa"/>
        <w:jc w:val="left"/>
        <w:tblInd w:w="0" w:type="dxa"/>
        <w:tblLayout w:type="fixed"/>
        <w:tblCellMar>
          <w:top w:w="28" w:type="dxa"/>
          <w:left w:w="28" w:type="dxa"/>
          <w:bottom w:w="28" w:type="dxa"/>
          <w:right w:w="28" w:type="dxa"/>
        </w:tblCellMar>
      </w:tblPr>
      <w:tblGrid>
        <w:gridCol w:w="1426"/>
        <w:gridCol w:w="146"/>
        <w:gridCol w:w="262"/>
        <w:gridCol w:w="654"/>
        <w:gridCol w:w="206"/>
        <w:gridCol w:w="181"/>
        <w:gridCol w:w="262"/>
        <w:gridCol w:w="654"/>
        <w:gridCol w:w="166"/>
        <w:gridCol w:w="146"/>
        <w:gridCol w:w="239"/>
        <w:gridCol w:w="596"/>
        <w:gridCol w:w="188"/>
        <w:gridCol w:w="165"/>
        <w:gridCol w:w="239"/>
        <w:gridCol w:w="596"/>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expense decreased $2.3 million during the three months ended June 30, 2026 when compared to the same period in 2025, primarily due to a decrease in interest rates. Interest expense increased $1.7 million during the six months ended June 30, 2026 when compared to the same period in 2025, primarily due to the issuance of our Tack-On Incremental Term Loan B Facility in March 2025, which incrementally increased our ongoing financing costs, partially offset by a decrease in interest rates when compared to the same period in 2025. The majority of interest expense reported for all periods presented was related to the Term Loan B Facility. Refer to “Note 7: </w:t>
      </w:r>
      <w:r>
        <w:rPr>
          <w:rFonts w:ascii="Times New Roman" w:hAnsi="Times New Roman"/>
          <w:i/>
          <w:color w:val="000000"/>
          <w:sz w:val="20"/>
        </w:rPr>
        <w:t>Debt</w:t>
      </w:r>
      <w:r>
        <w:rPr>
          <w:rFonts w:ascii="Times New Roman" w:hAnsi="Times New Roman"/>
          <w:color w:val="000000"/>
          <w:sz w:val="20"/>
        </w:rPr>
        <w:t xml:space="preserve">” in the notes to our unaudited condensed consolidated financial statements in Item 1 in this Quarterly Report for further information.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Interest income primarily consists of interest earned from available on demand bank deposits, time deposits, money market funds, and marketable securities, including amortization of discounts and premiums on our marketable securities.</w:t>
      </w:r>
    </w:p>
    <w:tbl>
      <w:tblPr>
        <w:tblW w:w="6236" w:type="dxa"/>
        <w:jc w:val="left"/>
        <w:tblInd w:w="0" w:type="dxa"/>
        <w:tblLayout w:type="fixed"/>
        <w:tblCellMar>
          <w:top w:w="28" w:type="dxa"/>
          <w:left w:w="28" w:type="dxa"/>
          <w:bottom w:w="28" w:type="dxa"/>
          <w:right w:w="28" w:type="dxa"/>
        </w:tblCellMar>
      </w:tblPr>
      <w:tblGrid>
        <w:gridCol w:w="1366"/>
        <w:gridCol w:w="146"/>
        <w:gridCol w:w="304"/>
        <w:gridCol w:w="520"/>
        <w:gridCol w:w="210"/>
        <w:gridCol w:w="210"/>
        <w:gridCol w:w="304"/>
        <w:gridCol w:w="671"/>
        <w:gridCol w:w="146"/>
        <w:gridCol w:w="146"/>
        <w:gridCol w:w="259"/>
        <w:gridCol w:w="573"/>
        <w:gridCol w:w="179"/>
        <w:gridCol w:w="179"/>
        <w:gridCol w:w="259"/>
        <w:gridCol w:w="573"/>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Interest income decreased $4.8 million and $7.0 million during the three and six months ended June 30, 2026, respectively, when compared to the same periods in 2025, primarily due to a decrease in interest rates received on demand bank deposits, time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color w:val="000000"/>
          <w:sz w:val="20"/>
        </w:rPr>
        <w:t xml:space="preserve">deposits, and money market funds, as well as a decrease in cash invested during the second quarter of 2026 as a result of the repayment of the 2026 Senior Notes on April 1, 2026. Refer to “Note 7: </w:t>
      </w:r>
      <w:r>
        <w:rPr>
          <w:rFonts w:ascii="Times New Roman" w:hAnsi="Times New Roman"/>
          <w:i/>
          <w:color w:val="000000"/>
          <w:sz w:val="20"/>
        </w:rPr>
        <w:t>Debt</w:t>
      </w:r>
      <w:r>
        <w:rPr>
          <w:rFonts w:ascii="Times New Roman" w:hAnsi="Times New Roman"/>
          <w:color w:val="000000"/>
          <w:sz w:val="20"/>
        </w:rPr>
        <w:t>” in the notes to our unaudited condensed consolidated financial statements in Item 1 in this Quarterly Report for further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Other income (expense), net generally consists of net foreign exchange gains and losses, forward contract gains and losses, earnings/(losses) from equity method investments, gain/(loss) and impairments on non-marketable investments, gain/(loss) on sale/disposal of businesses, and other assets, gain/(loss) on extinguishments of debt, and other non-operating income (expenses).</w:t>
      </w:r>
    </w:p>
    <w:tbl>
      <w:tblPr>
        <w:tblW w:w="7294" w:type="dxa"/>
        <w:jc w:val="left"/>
        <w:tblInd w:w="0" w:type="dxa"/>
        <w:tblLayout w:type="fixed"/>
        <w:tblCellMar>
          <w:top w:w="28" w:type="dxa"/>
          <w:left w:w="28" w:type="dxa"/>
          <w:bottom w:w="28" w:type="dxa"/>
          <w:right w:w="28" w:type="dxa"/>
        </w:tblCellMar>
      </w:tblPr>
      <w:tblGrid>
        <w:gridCol w:w="2386"/>
        <w:gridCol w:w="146"/>
        <w:gridCol w:w="316"/>
        <w:gridCol w:w="518"/>
        <w:gridCol w:w="218"/>
        <w:gridCol w:w="218"/>
        <w:gridCol w:w="316"/>
        <w:gridCol w:w="631"/>
        <w:gridCol w:w="166"/>
        <w:gridCol w:w="146"/>
        <w:gridCol w:w="285"/>
        <w:gridCol w:w="488"/>
        <w:gridCol w:w="197"/>
        <w:gridCol w:w="197"/>
        <w:gridCol w:w="285"/>
        <w:gridCol w:w="570"/>
        <w:gridCol w:w="21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Other income, net, increased $5.8 million and $10.6 million during the three and six months ended June 30, 2026, respectively, when compared to the same periods in 2025, primarily due to net foreign exchange gains incurred as a result of foreign currency movements during the periods.</w:t>
      </w:r>
    </w:p>
    <w:p>
      <w:pPr>
        <w:pStyle w:val="TextBody"/>
        <w:bidi w:val="0"/>
        <w:spacing w:before="240" w:after="240"/>
        <w:jc w:val="left"/>
        <w:rPr>
          <w:rFonts w:ascii="Times New Roman" w:hAnsi="Times New Roman"/>
          <w:sz w:val="20"/>
        </w:rPr>
      </w:pPr>
      <w:r>
        <w:rPr>
          <w:rFonts w:ascii="Times New Roman" w:hAnsi="Times New Roman"/>
          <w:b/>
          <w:i/>
          <w:color w:val="000000"/>
          <w:sz w:val="20"/>
        </w:rPr>
        <w:t>(Provision) Benefit for Income Taxes</w:t>
      </w:r>
      <w:r>
        <w:rPr>
          <w:rFonts w:ascii="Times New Roman" w:hAnsi="Times New Roman"/>
          <w:color w:val="000000"/>
          <w:sz w:val="20"/>
        </w:rPr>
        <w:t xml:space="preserve"> </w:t>
      </w:r>
    </w:p>
    <w:tbl>
      <w:tblPr>
        <w:tblW w:w="8830" w:type="dxa"/>
        <w:jc w:val="left"/>
        <w:tblInd w:w="0" w:type="dxa"/>
        <w:tblLayout w:type="fixed"/>
        <w:tblCellMar>
          <w:top w:w="28" w:type="dxa"/>
          <w:left w:w="28" w:type="dxa"/>
          <w:bottom w:w="28" w:type="dxa"/>
          <w:right w:w="28" w:type="dxa"/>
        </w:tblCellMar>
      </w:tblPr>
      <w:tblGrid>
        <w:gridCol w:w="3016"/>
        <w:gridCol w:w="346"/>
        <w:gridCol w:w="215"/>
        <w:gridCol w:w="476"/>
        <w:gridCol w:w="481"/>
        <w:gridCol w:w="353"/>
        <w:gridCol w:w="215"/>
        <w:gridCol w:w="476"/>
        <w:gridCol w:w="471"/>
        <w:gridCol w:w="346"/>
        <w:gridCol w:w="219"/>
        <w:gridCol w:w="655"/>
        <w:gridCol w:w="343"/>
        <w:gridCol w:w="151"/>
        <w:gridCol w:w="219"/>
        <w:gridCol w:w="437"/>
        <w:gridCol w:w="411"/>
      </w:tblGrid>
      <w:tr>
        <w:trPr/>
        <w:tc>
          <w:tcPr>
            <w:tcW w:w="3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Effective tax rate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effective tax rate for the three and six months ended June 30, 2026 differs from the U.S. federal statutory rate of 21%, primarily due to the benefit of foreign-derived deduction eligible income and the tax effects of stock-based compensation. Our effective tax rate for the six months ended June 30, 2026 is negative 500%, primarily due to a pretax book loss for continuing operations during the six months ended June 30, 2026, and a provision for income tax that largely includes shortfalls from stock based compensation recognized in full in the quarter the shortfall occurs.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change in our income tax provision during the three months ended June 30, 2026, when compared to the same period in 2025, was primarily due to a decrease in pretax income. The change in our income tax provision during the six months ended June 30, 2026, when compared to the same period in 2025, was primarily due to a discrete tax benefit of $11.4 million recorded during the first quarter of 2025 to release income tax reserves as a result of the U.S. federal statute of limitation of assessment expiring on tax years 2014, 2015, and 2016. Refer to “Note 8: </w:t>
      </w:r>
      <w:r>
        <w:rPr>
          <w:rFonts w:ascii="Times New Roman" w:hAnsi="Times New Roman"/>
          <w:i/>
          <w:color w:val="000000"/>
          <w:sz w:val="20"/>
        </w:rPr>
        <w:t>Income Taxes</w:t>
      </w:r>
      <w:r>
        <w:rPr>
          <w:rFonts w:ascii="Times New Roman" w:hAnsi="Times New Roman"/>
          <w:color w:val="000000"/>
          <w:sz w:val="20"/>
        </w:rPr>
        <w:t>” in the notes to our unaudited condensed consolidated financial statements in Item 1 in this Quarterly Report for further information.</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Net income (loss) from continuing operations</w:t>
      </w:r>
    </w:p>
    <w:tbl>
      <w:tblPr>
        <w:tblW w:w="9806" w:type="dxa"/>
        <w:jc w:val="left"/>
        <w:tblInd w:w="0" w:type="dxa"/>
        <w:tblLayout w:type="fixed"/>
        <w:tblCellMar>
          <w:top w:w="28" w:type="dxa"/>
          <w:left w:w="28" w:type="dxa"/>
          <w:bottom w:w="28" w:type="dxa"/>
          <w:right w:w="28" w:type="dxa"/>
        </w:tblCellMar>
      </w:tblPr>
      <w:tblGrid>
        <w:gridCol w:w="4611"/>
        <w:gridCol w:w="146"/>
        <w:gridCol w:w="264"/>
        <w:gridCol w:w="584"/>
        <w:gridCol w:w="339"/>
        <w:gridCol w:w="183"/>
        <w:gridCol w:w="264"/>
        <w:gridCol w:w="584"/>
        <w:gridCol w:w="271"/>
        <w:gridCol w:w="146"/>
        <w:gridCol w:w="239"/>
        <w:gridCol w:w="477"/>
        <w:gridCol w:w="375"/>
        <w:gridCol w:w="165"/>
        <w:gridCol w:w="239"/>
        <w:gridCol w:w="528"/>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margin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40"/>
        <w:jc w:val="left"/>
        <w:rPr>
          <w:rFonts w:ascii="Times New Roman" w:hAnsi="Times New Roman"/>
          <w:sz w:val="20"/>
        </w:rPr>
      </w:pPr>
      <w:r>
        <w:rPr>
          <w:rFonts w:ascii="Times New Roman" w:hAnsi="Times New Roman"/>
          <w:color w:val="000000"/>
          <w:sz w:val="20"/>
        </w:rPr>
        <w:t>Net income from continuing operations decreased by $13.7 million during the three months ended June 30, 2026 when compared to the same period in 2025, primarily driven by a decrease in revenue, as described in more detail above under “</w:t>
      </w:r>
      <w:r>
        <w:rPr>
          <w:rFonts w:ascii="Times New Roman" w:hAnsi="Times New Roman"/>
          <w:i/>
          <w:color w:val="000000"/>
          <w:sz w:val="20"/>
        </w:rPr>
        <w:t>Revenue and Segment Information</w:t>
      </w:r>
      <w:r>
        <w:rPr>
          <w:rFonts w:ascii="Times New Roman" w:hAnsi="Times New Roman"/>
          <w:color w:val="000000"/>
          <w:sz w:val="20"/>
        </w:rPr>
        <w:t>” and, to a lesser extent, an increase in marketing costs, and pre-tax restructuring and other related reorganization costs of $3.9 million during the second quarter of 2026. These declines were partially offset by a decrease in personnel costs and, to a lesser extent, cost of sales, all of which is described in more detail above under “</w:t>
      </w:r>
      <w:r>
        <w:rPr>
          <w:rFonts w:ascii="Times New Roman" w:hAnsi="Times New Roman"/>
          <w:i/>
          <w:color w:val="000000"/>
          <w:sz w:val="20"/>
        </w:rPr>
        <w:t>Expenses.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Net income decreased by $41.5 million during the six months ended June 30, 2026 when compared to the same period in 2025, primarily driven by a decrease in revenue, as described in more detail above under “</w:t>
      </w:r>
      <w:r>
        <w:rPr>
          <w:rFonts w:ascii="Times New Roman" w:hAnsi="Times New Roman"/>
          <w:i/>
          <w:color w:val="000000"/>
          <w:sz w:val="20"/>
        </w:rPr>
        <w:t>Revenue and Segment Information</w:t>
      </w:r>
      <w:r>
        <w:rPr>
          <w:rFonts w:ascii="Times New Roman" w:hAnsi="Times New Roman"/>
          <w:color w:val="000000"/>
          <w:sz w:val="20"/>
        </w:rPr>
        <w:t xml:space="preserve">”, as well as, an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20"/>
        </w:rPr>
        <w:t>increase in marketing costs. These declines were partially offset by a decrease in personnel costs, as described in more detail above under “</w:t>
      </w:r>
      <w:r>
        <w:rPr>
          <w:rFonts w:ascii="Times New Roman" w:hAnsi="Times New Roman"/>
          <w:i/>
          <w:color w:val="000000"/>
          <w:sz w:val="20"/>
        </w:rPr>
        <w:t>Expenses.</w:t>
      </w:r>
      <w:r>
        <w:rPr>
          <w:rFonts w:ascii="Times New Roman" w:hAnsi="Times New Roman"/>
          <w:color w:val="000000"/>
          <w:sz w:val="20"/>
        </w:rPr>
        <w:t xml:space="preserve">”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Net income (loss) from discontinued operations, net of tax</w:t>
      </w:r>
    </w:p>
    <w:tbl>
      <w:tblPr>
        <w:tblW w:w="10205" w:type="dxa"/>
        <w:jc w:val="left"/>
        <w:tblInd w:w="0" w:type="dxa"/>
        <w:tblLayout w:type="fixed"/>
        <w:tblCellMar>
          <w:top w:w="28" w:type="dxa"/>
          <w:left w:w="28" w:type="dxa"/>
          <w:bottom w:w="28" w:type="dxa"/>
          <w:right w:w="28" w:type="dxa"/>
        </w:tblCellMar>
      </w:tblPr>
      <w:tblGrid>
        <w:gridCol w:w="5056"/>
        <w:gridCol w:w="146"/>
        <w:gridCol w:w="261"/>
        <w:gridCol w:w="521"/>
        <w:gridCol w:w="401"/>
        <w:gridCol w:w="180"/>
        <w:gridCol w:w="261"/>
        <w:gridCol w:w="521"/>
        <w:gridCol w:w="322"/>
        <w:gridCol w:w="146"/>
        <w:gridCol w:w="240"/>
        <w:gridCol w:w="479"/>
        <w:gridCol w:w="369"/>
        <w:gridCol w:w="165"/>
        <w:gridCol w:w="240"/>
        <w:gridCol w:w="479"/>
        <w:gridCol w:w="418"/>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margin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loss from discontinued operations, net of tax improved by $0.1 million and $6.5 million during the three and six months ended June 30, 2026, respectively, when compared to the same periods in 2025. These improvements were primarily driven by an increase in revenue of $7.0 million and $17.9 million during the three and six months ended June 30, 2026 when compared to the same periods in 2025, respectively, due to booking volume growth largely in TheFork's branded channel, in addition to increased adoption of its premium online reservation booking software offering, and third-party partnership revenue. These improvements in revenue were partially offset by an increase in total costs and expenses of $3.8 million, primarily related to an increase in brand marketing costs, and an increase of $7.1 million, primarily due to an increase in personnel costs due to increased headcount to support business growth, during the three and six months ended June 30, 2026, respectively, when compared to the same periods in 2025. In addition, an increase in provision for income taxes of $2.3 million and $3.4 million during the three and six months ended June 30, 2026, respectively, when compared to the same periods in 2025, negatively impacted net income (loss) from discontinued operations, net of tax.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Net income (loss)</w:t>
      </w:r>
    </w:p>
    <w:tbl>
      <w:tblPr>
        <w:tblW w:w="7542" w:type="dxa"/>
        <w:jc w:val="left"/>
        <w:tblInd w:w="0" w:type="dxa"/>
        <w:tblLayout w:type="fixed"/>
        <w:tblCellMar>
          <w:top w:w="28" w:type="dxa"/>
          <w:left w:w="28" w:type="dxa"/>
          <w:bottom w:w="28" w:type="dxa"/>
          <w:right w:w="28" w:type="dxa"/>
        </w:tblCellMar>
      </w:tblPr>
      <w:tblGrid>
        <w:gridCol w:w="2346"/>
        <w:gridCol w:w="146"/>
        <w:gridCol w:w="264"/>
        <w:gridCol w:w="584"/>
        <w:gridCol w:w="339"/>
        <w:gridCol w:w="183"/>
        <w:gridCol w:w="264"/>
        <w:gridCol w:w="584"/>
        <w:gridCol w:w="271"/>
        <w:gridCol w:w="146"/>
        <w:gridCol w:w="226"/>
        <w:gridCol w:w="563"/>
        <w:gridCol w:w="354"/>
        <w:gridCol w:w="156"/>
        <w:gridCol w:w="226"/>
        <w:gridCol w:w="499"/>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40"/>
        <w:jc w:val="left"/>
        <w:rPr>
          <w:rFonts w:ascii="Times New Roman" w:hAnsi="Times New Roman"/>
          <w:sz w:val="20"/>
        </w:rPr>
      </w:pPr>
      <w:r>
        <w:rPr>
          <w:rFonts w:ascii="Times New Roman" w:hAnsi="Times New Roman"/>
          <w:color w:val="000000"/>
          <w:sz w:val="20"/>
        </w:rPr>
        <w:t>Net income decreased by $13.6 million and $35.0 million during the three and six months ended June 30, 2026 when compared to the same periods in 2025. These decreases were driven by the factors discussed above in “</w:t>
      </w:r>
      <w:r>
        <w:rPr>
          <w:rFonts w:ascii="Times New Roman" w:hAnsi="Times New Roman"/>
          <w:i/>
          <w:color w:val="000000"/>
          <w:sz w:val="20"/>
        </w:rPr>
        <w:t>Net income (loss) from continuing operations</w:t>
      </w:r>
      <w:r>
        <w:rPr>
          <w:rFonts w:ascii="Times New Roman" w:hAnsi="Times New Roman"/>
          <w:color w:val="000000"/>
          <w:sz w:val="20"/>
        </w:rPr>
        <w:t>” and “</w:t>
      </w:r>
      <w:r>
        <w:rPr>
          <w:rFonts w:ascii="Times New Roman" w:hAnsi="Times New Roman"/>
          <w:i/>
          <w:color w:val="000000"/>
          <w:sz w:val="20"/>
        </w:rPr>
        <w:t>Net income (loss) from discontinued operations, net of tax</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color w:val="000000"/>
          <w:sz w:val="20"/>
        </w:rPr>
        <w:t>Adjusted EBITDA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is also our reported measure of segment profit and a key measure used by our CODM, management and Board of Directors to understand and evaluate the operating performance of our business as a whole and our individual operating segments,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CODM, management and Board of Directors. We define Adjusted EBITDA as net income (loss) from continuing operations plus: (1) provision (benefit) for income taxes; (2) other expense (income), net; (3) depreciation and amortization; (4) stock-based compensation; (5) goodwill, long-lived asset, and intangible assets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(including non-operational costs related to significant shareholder activism, which includes third-party advisory, legal, and other professional fees); and (9) non-recurring expenses and income unusual in nature or infrequently occurring.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from continuing operations and our other GAAP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these limitations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our cash expenditures or future requirements for capital expenditures or contractual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changes in, or cash requirements for, our working capital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interest expense, or cash requirements necessary to service interest or principal payments on our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consider the potentially dilutive impact of stock-based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certain income and expenses not directly tied to the ongoing core operations of our business, such as legal reserves, settlements and other, restructuring and other related reorganization costs, and transaction related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tax payments that may represent a reduction in cash available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unaudited and does not conform to SEC Regulation S-X, and as a result such information may be presented differently in our future filings with the SEC;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including companies in our own industry, may calculate Adjusted EBITDA differently than we do, limiting its usefulness as a comparative measure.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limitations apply also to Adjusted EBITDA Margin.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a reconciliation of Adjusted EBITDA to Net income (loss) from continuing operations, the most directly comparable financial measure calculated and presented in accordance with GAAP, for the periods presented:</w:t>
      </w:r>
    </w:p>
    <w:tbl>
      <w:tblPr>
        <w:tblW w:w="9683" w:type="dxa"/>
        <w:jc w:val="left"/>
        <w:tblInd w:w="0" w:type="dxa"/>
        <w:tblLayout w:type="fixed"/>
        <w:tblCellMar>
          <w:top w:w="28" w:type="dxa"/>
          <w:left w:w="28" w:type="dxa"/>
          <w:bottom w:w="28" w:type="dxa"/>
          <w:right w:w="28" w:type="dxa"/>
        </w:tblCellMar>
      </w:tblPr>
      <w:tblGrid>
        <w:gridCol w:w="4771"/>
        <w:gridCol w:w="146"/>
        <w:gridCol w:w="281"/>
        <w:gridCol w:w="621"/>
        <w:gridCol w:w="221"/>
        <w:gridCol w:w="194"/>
        <w:gridCol w:w="281"/>
        <w:gridCol w:w="621"/>
        <w:gridCol w:w="166"/>
        <w:gridCol w:w="146"/>
        <w:gridCol w:w="241"/>
        <w:gridCol w:w="533"/>
        <w:gridCol w:w="189"/>
        <w:gridCol w:w="167"/>
        <w:gridCol w:w="241"/>
        <w:gridCol w:w="653"/>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Restructuring and other related reorganization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 Legal reserves, settlements and other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 Transaction related expenses </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 Non-recurring expenses (income)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During the second quarter of 2026, the Company realized a refund of $2.0 million, resulting from the repeal of enacted tax legislation in Canada during 2026 related to digital service taxes, reflected in cost of sales on our unaudited condensed consolidated statement of operations. In addition, during the second quarter of 2026, the Company recorded a legal contingency accrual of $1.1 million, reflected in general and administrative expenses on our unaudited condensed consolidated statement of operations. During the second quarter of 2025, the Company recorded a decrease of $4.6 million to a previously estimated accrual for the settlement of a regulatory related matter, reflected in general and administrative expenses on our unaudited condensed consolidated statement of operations.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Company expensed certain costs related to shareholder activism of $3.3 million, and other transaction related costs of $0.2 million, reflected in general and administrative expenses on our unaudited condensed consolidated statements of operations.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Represents a recovery of $4.8 million related to an external fraud incident, which occurred during the fourth quarter of 2022. The Company reduced Adjusted EBITDA by this recovery amount during the first quarter of 2026, which was recorded to general and administrative expenses on the unaudited condensed consolidated statement of operations. The Company considers such recovery to be non-recurring in nature.</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10: </w:t>
      </w:r>
      <w:r>
        <w:rPr>
          <w:rFonts w:ascii="Times New Roman" w:hAnsi="Times New Roman"/>
          <w:i/>
          <w:color w:val="000000"/>
          <w:sz w:val="20"/>
        </w:rPr>
        <w:t>Stock-Based Awards</w:t>
      </w:r>
      <w:r>
        <w:rPr>
          <w:rFonts w:ascii="Times New Roman" w:hAnsi="Times New Roman"/>
          <w:color w:val="000000"/>
          <w:sz w:val="20"/>
        </w:rPr>
        <w:t xml:space="preserve">” in the notes to our unaudited condensed consolidated financial statements in Item 1 in this Quarterly Report for further information on current year equity award activity, including the issuance of approximately 4.5 million service-based RSUs with a weighted average grant-date fair value of $10.33 and approximately 0.8 million PSUs with a weighted average grant-date fair value of $10.14 during the six months ended June 30, 2026.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principal source of liquidity is cash flow generated from operations and our existing cash and cash equivalents balance. Our liquidity needs can also be met through drawdowns under the Credit Facility. As of June 30, 2026 and December 31, 2025, we had $843.2 million and $978.0 million, respectively, of cash and cash equivalents, and $496.4 million of available borrowing capacity under the Credit Facility. As of June 30, 2026, approximately $221.8 million of our cash and cash equivalents were held by our international subsidiaries outside of the U.S., of which nearly 31% was located in the U.K. As of June 30, 2026, the significant majority of our cash was denominated in U.S. dollars.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June 30, 2026, we are party to a credit agreement (“Amended Credit Agreement”), which, among other things, provides for a $500.0 million revolving credit facility (“Credit Facility”) with a maturity date of June 29, 2028. As of June 30, 2026 and December 31, 2025, we had no outstanding borrowings under the Credit Facility and $3.6 million of issued undrawn standby letters of credit. The Company may borrow from the Credit Facility in U.S. dollars, Euros and Sterling. For information regarding interest rates on potential borrowings under the Credit Facility refer to “Note 7: </w:t>
      </w:r>
      <w:r>
        <w:rPr>
          <w:rFonts w:ascii="Times New Roman" w:hAnsi="Times New Roman"/>
          <w:i/>
          <w:color w:val="000000"/>
          <w:sz w:val="20"/>
        </w:rPr>
        <w:t>Debt</w:t>
      </w:r>
      <w:r>
        <w:rPr>
          <w:rFonts w:ascii="Times New Roman" w:hAnsi="Times New Roman"/>
          <w:color w:val="000000"/>
          <w:sz w:val="20"/>
        </w:rPr>
        <w:t>” in the notes to our unaudited condensed consolidated financial statements in Item 1 in this Quarterly Report. The Credit Facility, among other things, requires us to maintain a maximum total net leverage ratio and contains certain customary affirmative and negative covenants and events of default, including for a change of control. As of June 30, 2026 and December 31, 2025, we were in compliance with our covenant requirements in effect under the Credit Facility. While there can be no assurance that we will be able to meet the total net leverage ratio covenant in the future, based on our current projections, we do not believe there is a material risk that we will not remain in compliance throughout the next twelve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an aggregate outstanding principal amount of $8.5 million and $827.5 million in short-term and long-term debt, respectively, on our unaudited condensed consolidated balance sheet pertaining to the Term Loan B Facility, which is discussed below.</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April 1, 2026, the Company repaid in full the outstanding 2026 Senior Notes, at maturity, for $345.4 million, consisting of principal and accrued interest, funded by cash on hand. Refer to “Note 7: </w:t>
      </w:r>
      <w:r>
        <w:rPr>
          <w:rFonts w:ascii="Times New Roman" w:hAnsi="Times New Roman"/>
          <w:i/>
          <w:color w:val="000000"/>
          <w:sz w:val="20"/>
        </w:rPr>
        <w:t>Debt</w:t>
      </w:r>
      <w:r>
        <w:rPr>
          <w:rFonts w:ascii="Times New Roman" w:hAnsi="Times New Roman"/>
          <w:color w:val="000000"/>
          <w:sz w:val="20"/>
        </w:rPr>
        <w:t>” in the notes to our unaudited condensed consolidated financial statements in Item 1 in this Quarterly Report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maintains the Term Loan B Facility with an aggregate principal amount remaining of $836.0 million, maturing on July 8, 2031, with an interest rate based on secured overnight financing rate (“SOFR”) plus 2.75%, payable monthly. As of June 30, 2026 and 2025, the interest rate on the Term Loan B Facility was 6.39% and 7.08%, respectively. The Term Loan B Facility is required to be paid down at 1.00% of the aggregate principal amount per year, repayable in quarterly installments on the last day of each calendar quarter, equal to 0.25% of the principal amount with the balance due on the maturity date. Principal payments of $4.3 million were made during both the six months ended June 30, 2026 and 2025. The Term Loan B Facility has no financial covenants.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may from time to time repurchase the Term Loan B Facility through tender offers, open market purchases, privately negotiated transactions or otherwise. Such repurchases, if any, will depend on prevailing market conditions, liquidity requirements, contractual restrictions and other factors. For further information on the Amended Credit Agreement, the Credit Facility, the Term Loan B Facility, and 2026 Senior Notes, refer to “Note 7: </w:t>
      </w:r>
      <w:r>
        <w:rPr>
          <w:rFonts w:ascii="Times New Roman" w:hAnsi="Times New Roman"/>
          <w:i/>
          <w:color w:val="000000"/>
          <w:sz w:val="20"/>
        </w:rPr>
        <w:t>Debt</w:t>
      </w:r>
      <w:r>
        <w:rPr>
          <w:rFonts w:ascii="Times New Roman" w:hAnsi="Times New Roman"/>
          <w:color w:val="000000"/>
          <w:sz w:val="20"/>
        </w:rPr>
        <w:t>” in the notes to our unaudited condensed consolidated financial statements in Item 1 in this Quarterly Report.</w:t>
      </w:r>
    </w:p>
    <w:p>
      <w:pPr>
        <w:pStyle w:val="TextBody"/>
        <w:bidi w:val="0"/>
        <w:spacing w:before="360" w:after="283"/>
        <w:jc w:val="left"/>
        <w:rPr>
          <w:rFonts w:ascii="Times New Roman" w:hAnsi="Times New Roman"/>
          <w:sz w:val="20"/>
        </w:rPr>
      </w:pPr>
      <w:r>
        <w:rPr>
          <w:rFonts w:ascii="Times New Roman" w:hAnsi="Times New Roman"/>
          <w:i/>
          <w:color w:val="000000"/>
          <w:sz w:val="20"/>
        </w:rPr>
        <w:t>Significant uses of capital and other liquidity matters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7, 2023, our Board of Directors authorized the repurchase of $250.0 million in shares of our common stock under a share repurchase program. This share repurchase program does not have a fixed expiration date or obligate the Company to acquire any particular number of shares and may be modified, suspended or discontinued at any time. During the three and six months ended June 30, 2026, the Company did not repurchase any shares of outstanding common stock under the share repurchase program. As of June 30, 2026, we had $110.0 million remaining available to repurchase shares of our common stock under this share repurchase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program. During the three and six months ended June 30, 2025, we repurchased approximately 2.8 million shares of our outstanding common stock at an average price of $14.22 per share, exclusive of fees and commissions, or $40.0 million in the aggregate.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typically experiences seasonal fluctuations that affect the timing of our annual cash flows during the year related to working capital. As a result of our experience bookings, we generally receive cash from travelers at the time of booking or prior to the occurrence of an experience, and we record these amounts, net of commissions, on our consolidated balance sheet as deferred merchant payables. We pay the operator, or the supplier, after the travelers’ use. Therefore, we generally receive cash from the traveler prior to paying the operator and this operating cycle represents a source or use of cash to us. During the first half of the year, experience bookings typically exceed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 that could result in future seasonal patterns that are different from historical trends. In addition, new or different payment options offered to our customers could impact the timing of cash flows, such as our “Reserve Now, Pay Later” payment option, which allows travelers the option to reserve certain experiences and defer payment until a date no later than two days before the experience date. Usage of this payment option may continue to increase, though it is still not used in a majority of bookings to date, and affect the timing of our future cash flows and working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January 2021, we received an issue closure notice from HM Revenue &amp; Customs (“HMRC”) in the U.K. relating to adjustments for the 2012 through 2016 tax years. These proposed adjustments are related to deductions for intercompany financing and would result in an increase to income tax expense in an estimated range of $20.0 million to $30.0 million, which is inclusive of transition tax benefits and exclusive of interest expense, at the close of the audit if HMRC prevails. We are also currently subject to audit by HMRC in tax years 2017 through 2023. If HMRC were to seek adjustments of a similar nature through a closure notice for transactions in these years, we could be subject to significant additional tax liabilities. Although the ultimate timing for resolution of this matter is uncertain, any future payments required would negatively impact our operating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 In addition, the expected net proceeds from the pending sale of TheFork business will provide the Company additional flexibility to either paydown a portion of its long-term debt and/or potentially repurchase its common stock in the open market under the existing share repurchase program. The Company estimates it will incur transaction related costs of $15.0 million to $20.0 million related to the sale of TheFork, which will be netted from the expected gain on sale. We do not expect the disposition of TheFork business to have a significant impact on future operating cashflows.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Our cash flows for the six months ended June 30, 2026 and 2025, as reflected in our unaudited condensed consolidated statements of cash flows from continuing operations, are summarized in the following table:</w:t>
      </w:r>
    </w:p>
    <w:tbl>
      <w:tblPr>
        <w:tblW w:w="5037" w:type="dxa"/>
        <w:jc w:val="left"/>
        <w:tblInd w:w="0" w:type="dxa"/>
        <w:tblLayout w:type="fixed"/>
        <w:tblCellMar>
          <w:top w:w="28" w:type="dxa"/>
          <w:left w:w="28" w:type="dxa"/>
          <w:bottom w:w="28" w:type="dxa"/>
          <w:right w:w="28" w:type="dxa"/>
        </w:tblCellMar>
      </w:tblPr>
      <w:tblGrid>
        <w:gridCol w:w="2656"/>
        <w:gridCol w:w="146"/>
        <w:gridCol w:w="214"/>
        <w:gridCol w:w="640"/>
        <w:gridCol w:w="168"/>
        <w:gridCol w:w="148"/>
        <w:gridCol w:w="214"/>
        <w:gridCol w:w="640"/>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our primary source of cash was from operations, while our primary use of cash was from financing activities (including $345.0 million for the repayment of the 2026 Senior Notes and $5.9 million for the payment of withholding taxes on net share settlements of our equity awards) and investing activities (including $22.5 million in capital expenditures). This use of cash was funded with cash and cash equivalents and operating cash flows generated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our primary source of cash was from operations, while our primary use of cash was from financing activities (including $410.7 million to repurchase our outstanding common stock pursuant to the Merger, including transaction costs, $40.0 million in repurchases of our outstanding common stock under our existing share repurchase program, and $10.1 million for the payment of withholding taxes on net share settlements of our equity awards) and investing activities (including $34.3 million in capital expenditures). This use of cash was funded with cash and cash equivalents and operating cash flows generated during the period, as well as, financing activities which includes $341.4 million in borrowings from our Tack-On Incremental Term Loan B Facility, net of financing costs.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from continuing operations for the six months ended June 30, 2026, decreased by $52.3 million when compared to the same period in 2025, primarily due to a decrease in net income from continuing operations of $41.5 million, as well as a decrease in non-cash items of $29.2 million, partially offset by an increase in working capital of $18.4 million. The increase in working capital for the six months ended June 30, 2026 when compared to the same period in 2025, was primarily driven by changes related to the timing of collection of cash from customers, the timing of vendor payments and deferred merchant payments to experiences operators.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from continuing operations for the six months ended June 30, 2026 decreased by $14.0 million when compared to the same period in 2025, primarily due to a decrease in leasehold improvements related to our office spaces, as well as, a decrease in capitalized website development costs due to a reduction in headcount related to cost-reduction measures initiated in Hotels and Other during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from continuing operations for the six months ended June 30, 2026 increased by $231.5 million when compared to the same period in 2025, primarily due to the repayment of our 2026 Senior Notes during the second quarter of 2026 of $345.0 million and proceeds received from the issuance of our Tack-On Incremental Term Loan B Facility during 2025 of $341.4 million, net of financing costs, partially offset by $410.7 million for the repurchase of our outstanding common stock pursuant to the Merger and a $40.0 million decrease in net cash used to repurchase shares of our outstanding common stock under our existing share repurchase program, both occurring during 2025.</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Commercial Commitments and Off-Balance Sheet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There have been no material changes outside the normal course of business to our contractual obligations and commercial commitments since December 31, 2025. As of June 30, 2026, other than our contractual obligations and commercial commitments, we did not have any off-balance sheet arrangements, as defined in Item 303(a)(4)(ii) of Regulation S-K promulgated by the SEC. Refer to “</w:t>
      </w:r>
      <w:r>
        <w:rPr>
          <w:rFonts w:ascii="Times New Roman" w:hAnsi="Times New Roman"/>
          <w:i/>
          <w:color w:val="000000"/>
          <w:sz w:val="20"/>
        </w:rPr>
        <w:t>Liquidity and Capital Resources</w:t>
      </w:r>
      <w:r>
        <w:rPr>
          <w:rFonts w:ascii="Times New Roman" w:hAnsi="Times New Roman"/>
          <w:color w:val="000000"/>
          <w:sz w:val="20"/>
        </w:rPr>
        <w:t>” in Part II, Item 7. —Management’s Discussion and Analysis of Financial Condition and Results of Operations of our 2025 Annual Report for a discussion of our contractual obligations and commercial commitments.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Contingencies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tax matters (including value-added, excise, digital services, sales and use, transient occupancy and accommodation taxes), regulatory compliance (including competition, consumer protection matters, data privacy and cybersecurity matters), contractual claims (including related to our material agreements or other contracts), defamation and reputational claims, personal injury claims, labor and employment matters and commercial disputes. Routinely, we review the status of all significant outstanding matters to assess any potential financial exposure. We record the estimated loss in our consolidated statement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below. However, the final outcome of these matters could vary significantly from our estimates. Finally, there may be claims or actions pending or threatened against us of which we are currently not aware and the ultimate disposition of which could have a material adverse effect on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8: </w:t>
      </w:r>
      <w:r>
        <w:rPr>
          <w:rFonts w:ascii="Times New Roman" w:hAnsi="Times New Roman"/>
          <w:i/>
          <w:color w:val="000000"/>
          <w:sz w:val="20"/>
        </w:rPr>
        <w:t>Income Taxes</w:t>
      </w:r>
      <w:r>
        <w:rPr>
          <w:rFonts w:ascii="Times New Roman" w:hAnsi="Times New Roman"/>
          <w:color w:val="000000"/>
          <w:sz w:val="20"/>
        </w:rPr>
        <w:t xml:space="preserve">” and “Note 9: </w:t>
      </w:r>
      <w:r>
        <w:rPr>
          <w:rFonts w:ascii="Times New Roman" w:hAnsi="Times New Roman"/>
          <w:i/>
          <w:color w:val="000000"/>
          <w:sz w:val="20"/>
        </w:rPr>
        <w:t>Commitments and Contingencies</w:t>
      </w:r>
      <w:r>
        <w:rPr>
          <w:rFonts w:ascii="Times New Roman" w:hAnsi="Times New Roman"/>
          <w:color w:val="000000"/>
          <w:sz w:val="20"/>
        </w:rPr>
        <w:t xml:space="preserve">” in the notes to our unaudited condensed consolidated financial statements in Item 1 in this Quarterly Report for further information on other potential contingencies, including ongoing audits by the IRS and various other domestic and foreign tax authorities, and other tax and legal matters. Over recent years, the Organization for Economic Cooperation and Development (“OECD”) through its “Inclusive Framework” has been working on a “two-pillar” global tax consensus project that, if implemented, would result in certain changes to the current global tax regulatory framework. The OECD’s “Pillar One” initiative proposes to reallocate certain profits from the largest and most profitable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multinational businesses to countries where the customers of those businesses are located, and the “Pillar Two” initiative proposes a global minimum income tax rate on corporations of 15%. In response to these proposals, certain jurisdictions have enacted legislation to implement a global minimum income tax of 15%, which currently has no material impact on our financial results, as well as legislation to impose new forms of gross receipts taxes, such as digital services taxes imposed on digital advertising and online marketplace platforms/services. On January 5, 2026, the OECD/G20 announced the Side-by-Side (SbS) package, implemented as administrative guidance and modifying the operation of Pillar 2 rules. The package introduces simplifications and new safe harbors for U.S. and other multinational companies where domestic and international tax systems meet robust requirements to coexist with Pillar 2, which would fully exempt U.S.-parented groups from the application of two of the three Pillar 2 top-up taxes. This does not have a material impact on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consensus is reached on Pillar One, unilateral digital services taxes is expected to be repealed, however until such time we continue to be subject to these taxes and are currently subject to unilateral digital services taxes. While the future of the global tax regulatory landscape remains uncertain, we continue to monitor the OECD’s and members ongoing discussions to determine the current and potential impact on our unaudited condensed consolidated financial statements. During the three and six months ended June 30, 2026, we recorded $0.1 million and $1.2 million, respectively, of digital service taxes to cost of sales on our unaudited condensed consolidated statements of operations, which includes a realized refund of $2.0 million during the second quarter of 2026, resulting from the repeal of enacted tax legislation in Canada during March 2026 related to digital service taxes. During the three and six months ended June 30, 2025, we recorded $4.2 million and $5.6 million, respectively, of digital service taxes to cost of sales on our unaudited condensed consolidated statements of operations.</w:t>
      </w:r>
    </w:p>
    <w:p>
      <w:pPr>
        <w:pStyle w:val="TextBody"/>
        <w:bidi w:val="0"/>
        <w:spacing w:before="360" w:after="283"/>
        <w:jc w:val="left"/>
        <w:rPr>
          <w:rFonts w:ascii="Times New Roman" w:hAnsi="Times New Roman"/>
          <w:sz w:val="20"/>
        </w:rPr>
      </w:pPr>
      <w:bookmarkStart w:id="9" w:name="item3_quantitative_and_qualitative_dis"/>
      <w:bookmarkEnd w:id="9"/>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has been no material change in our market risk profile during the six months ended June 30, 2026 since December 31, 2025. For additional information about our market risk profile, refer to “Quantitative and Qualitative Disclosures About Market Risk” in Item 7A. in Part II of our 2025 Annual Report on Form 10-K for the year 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or outstanding debt related to the Term Loan B Facility, derivative instruments,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exposure to potentially volatile movements in foreign currency exchange rates will increase as we increase our operations in international markets. The economic impact of foreign currency exchange rate movement is linked to variability in the macroeconomic environment such as inflation and interest rates, governmental actions, and geopolitical events such as regional conflicts. We regularly monitor the macroeconomic environment, which has seen some volatility as a result of geopolitical tensions resulting from Russia’s invasion of Ukraine, the conflict in the Middle East and Iran, as well as increased cyberattacks, other military conflicts and regional disruptions, tariffs, trade negotiations, and sanctions. Developments in the macroeconomic environment could cause us to adjust our foreign currency risk strategies. Continued uncertainty regarding our international operations, including U.K. and E.U. relations, may result in future currency exchange rate volatility which may impact our business and results of operations. </w:t>
      </w:r>
    </w:p>
    <w:p>
      <w:pPr>
        <w:pStyle w:val="TextBody"/>
        <w:bidi w:val="0"/>
        <w:spacing w:before="360" w:after="283"/>
        <w:jc w:val="left"/>
        <w:rPr>
          <w:rFonts w:ascii="Times New Roman" w:hAnsi="Times New Roman"/>
          <w:sz w:val="20"/>
        </w:rPr>
      </w:pPr>
      <w:bookmarkStart w:id="10" w:name="item4_controls_and_procedures"/>
      <w:bookmarkEnd w:id="10"/>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our management, with the participation of our Chief Executive Officer and President and our Chief Financial Officer, evaluated the effectiveness of our disclosure controls and procedures pursuant to Rule 13a-15(e) and 15d-15(e) promulgated under the Exchange Act. Based upon that evaluation, our Chief Executive Officer and President and our Chief Financial Officer concluded that, as of June 30, 2026,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changes to our internal control over financial reporting that occurred during the quarter ended June 30, 2026 that have materially affected, or are reasonably likely to materially affect, our internal control over financial reporting. </w:t>
      </w:r>
    </w:p>
    <w:p>
      <w:pPr>
        <w:pStyle w:val="TextBody"/>
        <w:bidi w:val="0"/>
        <w:spacing w:before="360" w:after="283"/>
        <w:jc w:val="left"/>
        <w:rPr>
          <w:rFonts w:ascii="Times New Roman" w:hAnsi="Times New Roman"/>
          <w:sz w:val="20"/>
        </w:rPr>
      </w:pPr>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1" w:name="item1_legal_proceedings"/>
      <w:bookmarkEnd w:id="11"/>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8: </w:t>
      </w:r>
      <w:r>
        <w:rPr>
          <w:rFonts w:ascii="Times New Roman" w:hAnsi="Times New Roman"/>
          <w:i/>
          <w:color w:val="000000"/>
          <w:sz w:val="20"/>
        </w:rPr>
        <w:t>Commitments and Contingencies</w:t>
      </w:r>
      <w:r>
        <w:rPr>
          <w:rFonts w:ascii="Times New Roman" w:hAnsi="Times New Roman"/>
          <w:color w:val="000000"/>
          <w:sz w:val="20"/>
        </w:rPr>
        <w:t>” in the notes to our unaudited condensed consolidated financial statements in Item 1 in this Quarterly Report for further information regarding any legal proceedings. For an additional discussion of certain risks associated with legal proceedings, refer to Part I, Item 1A, “Risk Factors” in our 2024 Annual Report.</w:t>
      </w:r>
    </w:p>
    <w:p>
      <w:pPr>
        <w:pStyle w:val="TextBody"/>
        <w:bidi w:val="0"/>
        <w:spacing w:before="360" w:after="283"/>
        <w:jc w:val="left"/>
        <w:rPr>
          <w:rFonts w:ascii="Times New Roman" w:hAnsi="Times New Roman"/>
          <w:sz w:val="20"/>
        </w:rPr>
      </w:pPr>
      <w:bookmarkStart w:id="12" w:name="item_1a_risk_factors"/>
      <w:bookmarkEnd w:id="12"/>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attempt to identify, manage and mitigate risks and uncertainties associated with our business to the extent practical under the circumstances, some level of risk and uncertainty will always be present. Refer to Part I, Item 1A, “Risk Factors” in our 2025 Annual Report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 During the quarter ended June 30, 2026, there have been no material changes in our risk factors from those disclosed in Part 1, Item 1A., “Risk Factors” in our 2025 Annual Report.</w:t>
      </w:r>
    </w:p>
    <w:p>
      <w:pPr>
        <w:pStyle w:val="TextBody"/>
        <w:bidi w:val="0"/>
        <w:spacing w:before="240" w:after="283"/>
        <w:jc w:val="left"/>
        <w:rPr/>
      </w:pPr>
      <w:r>
        <w:rPr/>
        <w:t> </w:t>
      </w:r>
    </w:p>
    <w:p>
      <w:pPr>
        <w:pStyle w:val="TextBody"/>
        <w:bidi w:val="0"/>
        <w:spacing w:before="360" w:after="283"/>
        <w:jc w:val="left"/>
        <w:rPr>
          <w:rFonts w:ascii="Times New Roman" w:hAnsi="Times New Roman"/>
          <w:sz w:val="20"/>
        </w:rPr>
      </w:pPr>
      <w:bookmarkStart w:id="13" w:name="item2_unregistered_sales_of_equity_sec"/>
      <w:bookmarkEnd w:id="13"/>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Unregistered Sales of Equity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quarter ended June 30, 2026, we did not issue or sell any shares of our common stock or other equity securities pursuant to unregistered transactions in reliance upon an exemption from the registration requirements of the Securities Act of 1933, as amended. </w:t>
      </w:r>
    </w:p>
    <w:p>
      <w:pPr>
        <w:pStyle w:val="TextBody"/>
        <w:bidi w:val="0"/>
        <w:spacing w:before="360" w:after="283"/>
        <w:jc w:val="left"/>
        <w:rPr>
          <w:rFonts w:ascii="Times New Roman" w:hAnsi="Times New Roman"/>
          <w:sz w:val="20"/>
        </w:rPr>
      </w:pPr>
      <w:r>
        <w:rPr>
          <w:rFonts w:ascii="Times New Roman" w:hAnsi="Times New Roman"/>
          <w:b/>
          <w:color w:val="000000"/>
          <w:sz w:val="20"/>
        </w:rPr>
        <w:t>Share Repurchases</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During the quarter ended June 30, 2026, we did not repurchase any shares of our common stock under our existing share repurchase program. As of June 30, 2026, we had $110.0 million remaining available to repurchase shares of our common stock under our existing authorized share repurchase program.</w:t>
      </w:r>
    </w:p>
    <w:p>
      <w:pPr>
        <w:pStyle w:val="TextBody"/>
        <w:bidi w:val="0"/>
        <w:spacing w:before="240" w:after="283"/>
        <w:jc w:val="left"/>
        <w:rPr>
          <w:rFonts w:ascii="Times New Roman" w:hAnsi="Times New Roman"/>
          <w:b/>
          <w:color w:val="000000"/>
          <w:sz w:val="20"/>
        </w:rPr>
      </w:pPr>
      <w:bookmarkStart w:id="14" w:name="item3_defaults_upon_senior_securities"/>
      <w:bookmarkEnd w:id="14"/>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5" w:name="item4_mine_safety_disclosures"/>
      <w:bookmarkEnd w:id="15"/>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bookmarkStart w:id="16" w:name="item5_other_information"/>
      <w:bookmarkEnd w:id="16"/>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2026, none of the Company’s directors or officers adopted or terminated a Rule 10b5-1 trading arrangement or a non-Rule 10b5-1 trading arrangement (as defined in Item 408(c) of Regulation S-K).</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7" w:name="item6_exhibits"/>
      <w:bookmarkEnd w:id="17"/>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exhibits listed below are filed as part of this Quarterly Report.</w:t>
      </w:r>
    </w:p>
    <w:tbl>
      <w:tblPr>
        <w:tblW w:w="10205" w:type="dxa"/>
        <w:jc w:val="left"/>
        <w:tblInd w:w="0" w:type="dxa"/>
        <w:tblLayout w:type="fixed"/>
        <w:tblCellMar>
          <w:top w:w="28" w:type="dxa"/>
          <w:left w:w="28" w:type="dxa"/>
          <w:bottom w:w="28" w:type="dxa"/>
          <w:right w:w="28" w:type="dxa"/>
        </w:tblCellMar>
      </w:tblPr>
      <w:tblGrid>
        <w:gridCol w:w="692"/>
        <w:gridCol w:w="146"/>
        <w:gridCol w:w="5189"/>
        <w:gridCol w:w="146"/>
        <w:gridCol w:w="293"/>
        <w:gridCol w:w="488"/>
        <w:gridCol w:w="146"/>
        <w:gridCol w:w="146"/>
        <w:gridCol w:w="511"/>
        <w:gridCol w:w="146"/>
        <w:gridCol w:w="720"/>
        <w:gridCol w:w="146"/>
        <w:gridCol w:w="631"/>
        <w:gridCol w:w="146"/>
        <w:gridCol w:w="659"/>
      </w:tblGrid>
      <w:tr>
        <w:trPr/>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692"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69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89"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 File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692"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89"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Plan of Conversion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4/29/25</w:t>
            </w:r>
          </w:p>
        </w:tc>
      </w:tr>
      <w:tr>
        <w:trPr/>
        <w:tc>
          <w:tcPr>
            <w:tcW w:w="692"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8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Articles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4/29/25</w:t>
            </w:r>
          </w:p>
        </w:tc>
      </w:tr>
      <w:tr>
        <w:trPr/>
        <w:tc>
          <w:tcPr>
            <w:tcW w:w="692"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89"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5/7/2025</w:t>
            </w:r>
          </w:p>
        </w:tc>
      </w:tr>
      <w:tr>
        <w:trPr/>
        <w:tc>
          <w:tcPr>
            <w:tcW w:w="692"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89"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Put Option Agreement, dated as of June 14, 2026, by and between Tripadvisor, Inc. and American Express Travel Related Services Company, Inc. (including the form of Equity Purchase Agreement attached as Schedule A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6/15/26</w:t>
            </w:r>
          </w:p>
        </w:tc>
      </w:tr>
      <w:tr>
        <w:trPr/>
        <w:tc>
          <w:tcPr>
            <w:tcW w:w="692"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89" w:type="dxa"/>
            <w:tcBorders/>
            <w:tcMar>
              <w:top w:w="0" w:type="dxa"/>
              <w:left w:w="0" w:type="dxa"/>
              <w:bottom w:w="0" w:type="dxa"/>
              <w:right w:w="0" w:type="dxa"/>
            </w:tcMar>
            <w:vAlign w:val="center"/>
          </w:tcPr>
          <w:p>
            <w:pPr>
              <w:pStyle w:val="TableContents"/>
              <w:bidi w:val="0"/>
              <w:spacing w:before="0" w:after="283"/>
              <w:jc w:val="left"/>
              <w:rPr/>
            </w:pPr>
            <w:hyperlink w:anchor="trip-ex10_2.htm">
              <w:r>
                <w:rPr>
                  <w:rStyle w:val="InternetLink"/>
                  <w:rFonts w:ascii="Times New Roman" w:hAnsi="Times New Roman"/>
                  <w:color w:val="0000FF"/>
                  <w:sz w:val="20"/>
                  <w:u w:val="single"/>
                </w:rPr>
                <w:t>Amended and Restated Non-Employee Director Deferred Compensation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2"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tcBorders/>
            <w:tcMar>
              <w:top w:w="0" w:type="dxa"/>
              <w:left w:w="0" w:type="dxa"/>
              <w:bottom w:w="0" w:type="dxa"/>
              <w:right w:w="0" w:type="dxa"/>
            </w:tcMar>
            <w:vAlign w:val="center"/>
          </w:tcPr>
          <w:p>
            <w:pPr>
              <w:pStyle w:val="TableContents"/>
              <w:bidi w:val="0"/>
              <w:spacing w:before="0" w:after="20"/>
              <w:jc w:val="left"/>
              <w:rPr/>
            </w:pPr>
            <w:hyperlink w:anchor="trip-ex31_1.htm">
              <w:r>
                <w:rPr>
                  <w:rStyle w:val="InternetLink"/>
                  <w:rFonts w:ascii="Times New Roman" w:hAnsi="Times New Roman"/>
                  <w:color w:val="0000FF"/>
                  <w:sz w:val="20"/>
                  <w:u w:val="single"/>
                </w:rPr>
                <w:t>Certification of the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2"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tcBorders/>
            <w:tcMar>
              <w:top w:w="0" w:type="dxa"/>
              <w:left w:w="0" w:type="dxa"/>
              <w:bottom w:w="0" w:type="dxa"/>
              <w:right w:w="0" w:type="dxa"/>
            </w:tcMar>
            <w:vAlign w:val="center"/>
          </w:tcPr>
          <w:p>
            <w:pPr>
              <w:pStyle w:val="TableContents"/>
              <w:bidi w:val="0"/>
              <w:spacing w:before="0" w:after="20"/>
              <w:jc w:val="left"/>
              <w:rPr/>
            </w:pPr>
            <w:hyperlink w:anchor="trip-ex31_2.htm">
              <w:r>
                <w:rPr>
                  <w:rStyle w:val="InternetLink"/>
                  <w:rFonts w:ascii="Times New Roman" w:hAnsi="Times New Roman"/>
                  <w:color w:val="0000FF"/>
                  <w:sz w:val="20"/>
                  <w:u w:val="single"/>
                </w:rPr>
                <w:t>Certification of the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tcBorders/>
            <w:tcMar>
              <w:top w:w="0" w:type="dxa"/>
              <w:left w:w="0" w:type="dxa"/>
              <w:bottom w:w="0" w:type="dxa"/>
              <w:right w:w="0" w:type="dxa"/>
            </w:tcMar>
            <w:vAlign w:val="center"/>
          </w:tcPr>
          <w:p>
            <w:pPr>
              <w:pStyle w:val="TableContents"/>
              <w:bidi w:val="0"/>
              <w:spacing w:before="0" w:after="20"/>
              <w:jc w:val="left"/>
              <w:rPr/>
            </w:pPr>
            <w:hyperlink w:anchor="trip-ex32_1.htm">
              <w:r>
                <w:rPr>
                  <w:rStyle w:val="InternetLink"/>
                  <w:rFonts w:ascii="Times New Roman" w:hAnsi="Times New Roman"/>
                  <w:color w:val="0000FF"/>
                  <w:sz w:val="20"/>
                  <w:u w:val="single"/>
                </w:rPr>
                <w:t>Certification of the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tcBorders/>
            <w:tcMar>
              <w:top w:w="0" w:type="dxa"/>
              <w:left w:w="0" w:type="dxa"/>
              <w:bottom w:w="0" w:type="dxa"/>
              <w:right w:w="0" w:type="dxa"/>
            </w:tcMar>
            <w:vAlign w:val="center"/>
          </w:tcPr>
          <w:p>
            <w:pPr>
              <w:pStyle w:val="TableContents"/>
              <w:bidi w:val="0"/>
              <w:spacing w:before="0" w:after="20"/>
              <w:jc w:val="left"/>
              <w:rPr/>
            </w:pPr>
            <w:hyperlink w:anchor="trip-ex32_2.htm">
              <w:r>
                <w:rPr>
                  <w:rStyle w:val="InternetLink"/>
                  <w:rFonts w:ascii="Times New Roman" w:hAnsi="Times New Roman"/>
                  <w:color w:val="0000FF"/>
                  <w:sz w:val="20"/>
                  <w:u w:val="single"/>
                </w:rPr>
                <w:t>Certification of the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8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8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8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sz w:val="20"/>
        </w:rPr>
      </w:pPr>
      <w:r>
        <w:rPr>
          <w:rFonts w:ascii="Times New Roman" w:hAnsi="Times New Roman"/>
          <w:i/>
          <w:color w:val="000000"/>
          <w:sz w:val="20"/>
        </w:rPr>
        <w:t>+ Indicates a management contract or a compensatory plan, contract or arrangement.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*Schedules and certain sub-exhibits have been omitted pursuant to Item 601(a)(5) of Regulation S-K. The Company hereby undertakes to furnish supplementally copies of any omitted schedules or sub-exhibits to the SEC upon request.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certifications filed as Exhibits 32.1 and 32.2 are deemed to be furnished with this Quarterly Report on Form 10-Q and will not be deemed “filed” for purposes of Section 18 of the Securities Exchange Act of 1934 and are not to be incorporated by reference into any filing of the Company under the Securities Exchange Act of 1933 or the Securities Exchange Act of 1934, whether made before or after the date thereof irrespective of any general incorporation by reference language contained in any such filing, except to the extent that the Registrant specifically incorporates it by reference.</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2998" w:type="dxa"/>
        <w:jc w:val="left"/>
        <w:tblInd w:w="0" w:type="dxa"/>
        <w:tblLayout w:type="fixed"/>
        <w:tblCellMar>
          <w:top w:w="28" w:type="dxa"/>
          <w:left w:w="28" w:type="dxa"/>
          <w:bottom w:w="28" w:type="dxa"/>
          <w:right w:w="28" w:type="dxa"/>
        </w:tblCellMar>
      </w:tblPr>
      <w:tblGrid>
        <w:gridCol w:w="601"/>
        <w:gridCol w:w="146"/>
        <w:gridCol w:w="2251"/>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Tripadvisor, Inc.</w:t>
            </w:r>
          </w:p>
        </w:tc>
      </w:tr>
      <w:tr>
        <w:trPr/>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Noonan</w:t>
            </w:r>
          </w:p>
        </w:tc>
      </w:tr>
      <w:tr>
        <w:trPr/>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Noonan</w:t>
            </w:r>
          </w:p>
        </w:tc>
      </w:tr>
      <w:tr>
        <w:trPr/>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Geoffrey Gouvalaris</w:t>
            </w:r>
          </w:p>
        </w:tc>
      </w:tr>
      <w:tr>
        <w:trPr/>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Geoffrey Gouvalaris</w:t>
            </w:r>
          </w:p>
        </w:tc>
      </w:tr>
      <w:tr>
        <w:trPr/>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August 6, 2026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19" w:name="trip-ex10_2.htm"/>
      <w:bookmarkStart w:id="20" w:name="kstripex10_2"/>
      <w:bookmarkEnd w:id="19"/>
      <w:bookmarkEnd w:id="20"/>
      <w:r>
        <w:rPr>
          <w:rFonts w:ascii="Times New Roman" w:hAnsi="Times New Roman"/>
          <w:b/>
          <w:color w:val="000000"/>
          <w:sz w:val="22"/>
        </w:rPr>
        <w:t>Exhibit 10.2</w:t>
      </w:r>
      <w:r>
        <w:br w:type="page"/>
      </w:r>
    </w:p>
    <w:p>
      <w:pPr>
        <w:pStyle w:val="TextBody"/>
        <w:bidi w:val="0"/>
        <w:spacing w:before="75" w:after="283"/>
        <w:jc w:val="center"/>
        <w:rPr>
          <w:rFonts w:ascii="Times New Roman" w:hAnsi="Times New Roman"/>
          <w:b/>
          <w:color w:val="111111"/>
          <w:sz w:val="22"/>
        </w:rPr>
      </w:pPr>
      <w:r>
        <w:rPr>
          <w:rFonts w:ascii="Times New Roman" w:hAnsi="Times New Roman"/>
          <w:b/>
          <w:color w:val="111111"/>
          <w:sz w:val="22"/>
        </w:rPr>
        <w:t>Tripadvisor, Inc.</w:t>
      </w:r>
    </w:p>
    <w:p>
      <w:pPr>
        <w:pStyle w:val="TextBody"/>
        <w:bidi w:val="0"/>
        <w:spacing w:before="15" w:after="283"/>
        <w:jc w:val="center"/>
        <w:rPr>
          <w:rFonts w:ascii="Times New Roman" w:hAnsi="Times New Roman"/>
          <w:b/>
          <w:color w:val="111111"/>
          <w:sz w:val="22"/>
        </w:rPr>
      </w:pPr>
      <w:r>
        <w:rPr>
          <w:rFonts w:ascii="Times New Roman" w:hAnsi="Times New Roman"/>
          <w:b/>
          <w:color w:val="111111"/>
          <w:sz w:val="22"/>
        </w:rPr>
        <w:t>Deferred Compensation Plan for Non-Employee Directors</w:t>
      </w:r>
    </w:p>
    <w:p>
      <w:pPr>
        <w:pStyle w:val="TextBody"/>
        <w:bidi w:val="0"/>
        <w:spacing w:before="15" w:after="283"/>
        <w:jc w:val="center"/>
        <w:rPr>
          <w:rFonts w:ascii="Times New Roman" w:hAnsi="Times New Roman"/>
          <w:b/>
          <w:color w:val="111111"/>
          <w:sz w:val="22"/>
        </w:rPr>
      </w:pPr>
      <w:r>
        <w:rPr>
          <w:rFonts w:ascii="Times New Roman" w:hAnsi="Times New Roman"/>
          <w:b/>
          <w:color w:val="111111"/>
          <w:sz w:val="22"/>
        </w:rPr>
        <w:t>(Amended and Restated on June 19, 2026)</w:t>
      </w:r>
    </w:p>
    <w:p>
      <w:pPr>
        <w:pStyle w:val="TextBody"/>
        <w:bidi w:val="0"/>
        <w:spacing w:before="82" w:after="283"/>
        <w:jc w:val="left"/>
        <w:rPr/>
      </w:pPr>
      <w:r>
        <w:rPr/>
        <w:t> </w:t>
      </w:r>
    </w:p>
    <w:p>
      <w:pPr>
        <w:pStyle w:val="TextBody"/>
        <w:bidi w:val="0"/>
        <w:spacing w:before="0" w:after="0"/>
        <w:jc w:val="both"/>
        <w:rPr>
          <w:rFonts w:ascii="Times New Roman" w:hAnsi="Times New Roman"/>
          <w:b/>
          <w:color w:val="111111"/>
          <w:sz w:val="22"/>
        </w:rPr>
      </w:pPr>
      <w:r>
        <w:rPr>
          <w:rFonts w:ascii="Times New Roman" w:hAnsi="Times New Roman"/>
          <w:b/>
          <w:color w:val="111111"/>
          <w:sz w:val="22"/>
        </w:rPr>
        <w:t>1.</w:t>
      </w:r>
    </w:p>
    <w:p>
      <w:pPr>
        <w:pStyle w:val="TextBody"/>
        <w:bidi w:val="0"/>
        <w:jc w:val="both"/>
        <w:rPr/>
      </w:pPr>
      <w:r>
        <w:rPr>
          <w:rFonts w:ascii="Times New Roman" w:hAnsi="Times New Roman"/>
          <w:b/>
          <w:color w:val="111111"/>
          <w:sz w:val="22"/>
          <w:u w:val="single"/>
        </w:rPr>
        <w:t>PURPOSE.</w:t>
      </w:r>
      <w:r>
        <w:rPr>
          <w:color w:val="111111"/>
        </w:rPr>
        <w:t xml:space="preserve"> </w:t>
      </w:r>
      <w:r>
        <w:rPr>
          <w:rFonts w:ascii="Times New Roman" w:hAnsi="Times New Roman"/>
          <w:color w:val="111111"/>
          <w:sz w:val="22"/>
        </w:rPr>
        <w:t>The purpose of the Tripadvisor, Inc. Deferred Compensation Plan for Non-Employee Directors (this "</w:t>
      </w:r>
      <w:r>
        <w:rPr>
          <w:rFonts w:ascii="Times New Roman" w:hAnsi="Times New Roman"/>
          <w:color w:val="111111"/>
          <w:sz w:val="22"/>
          <w:u w:val="single"/>
        </w:rPr>
        <w:t>Plan</w:t>
      </w:r>
      <w:r>
        <w:rPr>
          <w:rFonts w:ascii="Times New Roman" w:hAnsi="Times New Roman"/>
          <w:color w:val="111111"/>
          <w:sz w:val="22"/>
        </w:rPr>
        <w:t>") is to provide non-employee directors of Tripadvisor, Inc., a Nevada corporation (or any successor thereto) (the ''</w:t>
      </w:r>
      <w:r>
        <w:rPr>
          <w:rFonts w:ascii="Times New Roman" w:hAnsi="Times New Roman"/>
          <w:color w:val="111111"/>
          <w:sz w:val="22"/>
          <w:u w:val="single"/>
        </w:rPr>
        <w:t>Company</w:t>
      </w:r>
      <w:r>
        <w:rPr>
          <w:rFonts w:ascii="Times New Roman" w:hAnsi="Times New Roman"/>
          <w:color w:val="111111"/>
          <w:sz w:val="22"/>
        </w:rPr>
        <w:t xml:space="preserve">"), with an opportunity to defer, on the terms and conditions set forth herein, the compensation paid to them. </w:t>
      </w:r>
    </w:p>
    <w:p>
      <w:pPr>
        <w:pStyle w:val="TextBody"/>
        <w:bidi w:val="0"/>
        <w:jc w:val="both"/>
        <w:rPr>
          <w:rFonts w:ascii="Times New Roman" w:hAnsi="Times New Roman"/>
          <w:sz w:val="20"/>
        </w:rPr>
      </w:pPr>
      <w:r>
        <w:rPr>
          <w:rFonts w:ascii="Times New Roman" w:hAnsi="Times New Roman"/>
          <w:color w:val="000000"/>
          <w:sz w:val="22"/>
        </w:rPr>
        <w:t>All capitalized terms used herein, to the extent not defined, shall have the meanings set forth in the Company’s 2023 Stock and Annual Incentive Plan as amended from time to time, or any successor plan (the “</w:t>
      </w:r>
      <w:r>
        <w:rPr>
          <w:rFonts w:ascii="Times New Roman" w:hAnsi="Times New Roman"/>
          <w:color w:val="000000"/>
          <w:sz w:val="22"/>
          <w:u w:val="single"/>
        </w:rPr>
        <w:t>Stock Plan</w:t>
      </w:r>
      <w:r>
        <w:rPr>
          <w:rFonts w:ascii="Times New Roman" w:hAnsi="Times New Roman"/>
          <w:color w:val="000000"/>
          <w:sz w:val="20"/>
        </w:rPr>
        <w:t>”</w:t>
      </w:r>
      <w:r>
        <w:rPr>
          <w:rFonts w:ascii="Times New Roman" w:hAnsi="Times New Roman"/>
          <w:color w:val="000000"/>
          <w:sz w:val="22"/>
        </w:rPr>
        <w:t>).</w:t>
      </w:r>
    </w:p>
    <w:p>
      <w:pPr>
        <w:pStyle w:val="TextBody"/>
        <w:bidi w:val="0"/>
        <w:spacing w:before="241" w:after="283"/>
        <w:jc w:val="both"/>
        <w:rPr>
          <w:rFonts w:ascii="Times New Roman" w:hAnsi="Times New Roman"/>
          <w:b/>
          <w:color w:val="111111"/>
          <w:sz w:val="22"/>
        </w:rPr>
      </w:pPr>
      <w:r>
        <w:rPr>
          <w:rFonts w:ascii="Times New Roman" w:hAnsi="Times New Roman"/>
          <w:b/>
          <w:color w:val="111111"/>
          <w:sz w:val="22"/>
        </w:rPr>
        <w:t>2.</w:t>
      </w:r>
    </w:p>
    <w:p>
      <w:pPr>
        <w:pStyle w:val="TextBody"/>
        <w:bidi w:val="0"/>
        <w:spacing w:before="241" w:after="283"/>
        <w:jc w:val="both"/>
        <w:rPr/>
      </w:pPr>
      <w:r>
        <w:rPr>
          <w:rFonts w:ascii="Times New Roman" w:hAnsi="Times New Roman"/>
          <w:b/>
          <w:color w:val="111111"/>
          <w:sz w:val="22"/>
          <w:u w:val="single"/>
        </w:rPr>
        <w:t>ELIGIBILITY.</w:t>
      </w:r>
      <w:r>
        <w:rPr>
          <w:color w:val="111111"/>
        </w:rPr>
        <w:t xml:space="preserve"> </w:t>
      </w:r>
      <w:r>
        <w:rPr>
          <w:rFonts w:ascii="Times New Roman" w:hAnsi="Times New Roman"/>
          <w:color w:val="111111"/>
          <w:sz w:val="22"/>
        </w:rPr>
        <w:t>Any member of the Board of Directors of the Company (the "</w:t>
      </w:r>
      <w:r>
        <w:rPr>
          <w:rFonts w:ascii="Times New Roman" w:hAnsi="Times New Roman"/>
          <w:color w:val="111111"/>
          <w:sz w:val="22"/>
          <w:u w:val="single"/>
        </w:rPr>
        <w:t>Board</w:t>
      </w:r>
      <w:r>
        <w:rPr>
          <w:rFonts w:ascii="Times New Roman" w:hAnsi="Times New Roman"/>
          <w:color w:val="111111"/>
          <w:sz w:val="22"/>
        </w:rPr>
        <w:t>") who is not an employee of the Company (an “</w:t>
      </w:r>
      <w:r>
        <w:rPr>
          <w:rFonts w:ascii="Times New Roman" w:hAnsi="Times New Roman"/>
          <w:color w:val="111111"/>
          <w:sz w:val="22"/>
          <w:u w:val="single"/>
        </w:rPr>
        <w:t>Eligible Individual</w:t>
      </w:r>
      <w:r>
        <w:rPr>
          <w:color w:val="111111"/>
        </w:rPr>
        <w:t>”</w:t>
      </w:r>
      <w:r>
        <w:rPr>
          <w:rFonts w:ascii="Times New Roman" w:hAnsi="Times New Roman"/>
          <w:color w:val="111111"/>
          <w:sz w:val="22"/>
        </w:rPr>
        <w:t>) is eligible to participate in this Plan.</w:t>
      </w:r>
    </w:p>
    <w:p>
      <w:pPr>
        <w:pStyle w:val="TextBody"/>
        <w:bidi w:val="0"/>
        <w:spacing w:before="241" w:after="283"/>
        <w:jc w:val="both"/>
        <w:rPr>
          <w:rFonts w:ascii="Times New Roman" w:hAnsi="Times New Roman"/>
          <w:b/>
          <w:color w:val="111111"/>
          <w:sz w:val="22"/>
        </w:rPr>
      </w:pPr>
      <w:r>
        <w:rPr>
          <w:rFonts w:ascii="Times New Roman" w:hAnsi="Times New Roman"/>
          <w:b/>
          <w:color w:val="111111"/>
          <w:sz w:val="22"/>
        </w:rPr>
        <w:t>3.</w:t>
      </w:r>
    </w:p>
    <w:p>
      <w:pPr>
        <w:pStyle w:val="TextBody"/>
        <w:bidi w:val="0"/>
        <w:spacing w:before="241" w:after="283"/>
        <w:jc w:val="both"/>
        <w:rPr>
          <w:rFonts w:ascii="Times New Roman" w:hAnsi="Times New Roman"/>
          <w:b/>
          <w:color w:val="111111"/>
          <w:sz w:val="22"/>
          <w:u w:val="single"/>
        </w:rPr>
      </w:pPr>
      <w:r>
        <w:rPr>
          <w:rFonts w:ascii="Times New Roman" w:hAnsi="Times New Roman"/>
          <w:b/>
          <w:color w:val="111111"/>
          <w:sz w:val="22"/>
          <w:u w:val="single"/>
        </w:rPr>
        <w:t>ELECTION TO DEFER COMPENSATION.</w:t>
      </w:r>
    </w:p>
    <w:p>
      <w:pPr>
        <w:pStyle w:val="TextBody"/>
        <w:bidi w:val="0"/>
        <w:spacing w:before="244" w:after="283"/>
        <w:jc w:val="both"/>
        <w:rPr>
          <w:rFonts w:ascii="Times New Roman" w:hAnsi="Times New Roman"/>
          <w:color w:val="111111"/>
          <w:sz w:val="22"/>
        </w:rPr>
      </w:pPr>
      <w:r>
        <w:rPr>
          <w:rFonts w:ascii="Times New Roman" w:hAnsi="Times New Roman"/>
          <w:color w:val="111111"/>
          <w:sz w:val="22"/>
        </w:rPr>
        <w:t>(a)</w:t>
      </w:r>
    </w:p>
    <w:p>
      <w:pPr>
        <w:pStyle w:val="TextBody"/>
        <w:bidi w:val="0"/>
        <w:spacing w:before="244" w:after="283"/>
        <w:jc w:val="both"/>
        <w:rPr/>
      </w:pPr>
      <w:r>
        <w:rPr>
          <w:rFonts w:ascii="Times New Roman" w:hAnsi="Times New Roman"/>
          <w:color w:val="111111"/>
          <w:sz w:val="22"/>
        </w:rPr>
        <w:t>Any Eligible Individual shall be entitled to defer certain compensation payable to such Eligible Individual for services (including any periodic and/or annual retainer, Board and committee meeting fees (including any special committee fees) and any additional retainer payable for services as a chair or member of a committee of the Board but excluding expense reimbursements, amounts realized upon the sale of stock or any other amounts paid to the Eligible Individual) performed as a director of the Company. Such compensation eligible for deferral pursuant to this Plan are (i) fees payable in cash (“</w:t>
      </w:r>
      <w:r>
        <w:rPr>
          <w:rFonts w:ascii="Times New Roman" w:hAnsi="Times New Roman"/>
          <w:color w:val="111111"/>
          <w:sz w:val="22"/>
          <w:u w:val="single"/>
        </w:rPr>
        <w:t>Cash Awards</w:t>
      </w:r>
      <w:r>
        <w:rPr>
          <w:color w:val="111111"/>
        </w:rPr>
        <w:t>”</w:t>
      </w:r>
      <w:r>
        <w:rPr>
          <w:rFonts w:ascii="Times New Roman" w:hAnsi="Times New Roman"/>
          <w:color w:val="111111"/>
          <w:sz w:val="22"/>
        </w:rPr>
        <w:t>) and (ii) fees payable in restricted stock units (“</w:t>
      </w:r>
      <w:r>
        <w:rPr>
          <w:rFonts w:ascii="Times New Roman" w:hAnsi="Times New Roman"/>
          <w:color w:val="111111"/>
          <w:sz w:val="22"/>
          <w:u w:val="single"/>
        </w:rPr>
        <w:t>RSUs”</w:t>
      </w:r>
      <w:r>
        <w:rPr>
          <w:rFonts w:ascii="Times New Roman" w:hAnsi="Times New Roman"/>
          <w:color w:val="111111"/>
          <w:sz w:val="22"/>
        </w:rPr>
        <w:t>) (“</w:t>
      </w:r>
      <w:r>
        <w:rPr>
          <w:rFonts w:ascii="Times New Roman" w:hAnsi="Times New Roman"/>
          <w:color w:val="111111"/>
          <w:sz w:val="22"/>
          <w:u w:val="single"/>
        </w:rPr>
        <w:t>Eligible Equity</w:t>
      </w:r>
      <w:r>
        <w:rPr>
          <w:color w:val="111111"/>
        </w:rPr>
        <w:t xml:space="preserve">” </w:t>
      </w:r>
      <w:r>
        <w:rPr>
          <w:rFonts w:ascii="Times New Roman" w:hAnsi="Times New Roman"/>
          <w:color w:val="111111"/>
          <w:sz w:val="22"/>
        </w:rPr>
        <w:t>and, together with Cash Awards, the “</w:t>
      </w:r>
      <w:r>
        <w:rPr>
          <w:rFonts w:ascii="Times New Roman" w:hAnsi="Times New Roman"/>
          <w:color w:val="111111"/>
          <w:sz w:val="22"/>
          <w:u w:val="single"/>
        </w:rPr>
        <w:t>Eligible Fees</w:t>
      </w:r>
      <w:r>
        <w:rPr>
          <w:color w:val="111111"/>
        </w:rPr>
        <w:t>”</w:t>
      </w:r>
      <w:r>
        <w:rPr>
          <w:rFonts w:ascii="Times New Roman" w:hAnsi="Times New Roman"/>
          <w:color w:val="111111"/>
          <w:sz w:val="22"/>
        </w:rPr>
        <w:t>). For avoidance of doubt, fees payable in the form of shares of restricted shares (“</w:t>
      </w:r>
      <w:r>
        <w:rPr>
          <w:rFonts w:ascii="Times New Roman" w:hAnsi="Times New Roman"/>
          <w:color w:val="111111"/>
          <w:sz w:val="22"/>
          <w:u w:val="single"/>
        </w:rPr>
        <w:t>Restricted Shares</w:t>
      </w:r>
      <w:r>
        <w:rPr>
          <w:color w:val="111111"/>
        </w:rPr>
        <w:t>”</w:t>
      </w:r>
      <w:r>
        <w:rPr>
          <w:rFonts w:ascii="Times New Roman" w:hAnsi="Times New Roman"/>
          <w:color w:val="111111"/>
          <w:sz w:val="22"/>
        </w:rPr>
        <w:t xml:space="preserve">) are not eligible for deferral under this Plan. </w:t>
      </w:r>
    </w:p>
    <w:p>
      <w:pPr>
        <w:pStyle w:val="TextBody"/>
        <w:bidi w:val="0"/>
        <w:spacing w:before="244" w:after="283"/>
        <w:jc w:val="both"/>
        <w:rPr>
          <w:rFonts w:ascii="Times New Roman" w:hAnsi="Times New Roman"/>
          <w:color w:val="111111"/>
          <w:sz w:val="22"/>
        </w:rPr>
      </w:pPr>
      <w:r>
        <w:rPr>
          <w:rFonts w:ascii="Times New Roman" w:hAnsi="Times New Roman"/>
          <w:color w:val="111111"/>
          <w:sz w:val="22"/>
        </w:rPr>
        <w:t>(b)</w:t>
      </w:r>
    </w:p>
    <w:p>
      <w:pPr>
        <w:pStyle w:val="TextBody"/>
        <w:bidi w:val="0"/>
        <w:spacing w:before="244" w:after="283"/>
        <w:jc w:val="both"/>
        <w:rPr>
          <w:rFonts w:ascii="Times New Roman" w:hAnsi="Times New Roman"/>
          <w:color w:val="111111"/>
          <w:sz w:val="22"/>
        </w:rPr>
      </w:pPr>
      <w:r>
        <w:rPr>
          <w:rFonts w:ascii="Times New Roman" w:hAnsi="Times New Roman"/>
          <w:color w:val="111111"/>
          <w:sz w:val="22"/>
        </w:rPr>
        <w:t xml:space="preserve">An Eligible Individual newly elected or appointed to the Board who has not performed services for the Company or its subsidiaries during the 24-month period ending on the date of the Eligible Individual’s election or appointment to the Board may elect to defer Eligible Fees within the 30-day period following his or her initial election or appointment to the Board, which election shall apply only to Eligible Fees earned for services performed after the date of such election. An Eligible Individual currently serving on the Board who has either (i) not previously elected to defer Eligible Fees or (ii) discontinued (or wishes to modify) a prior election to defer Eligible Fees may elect to defer Eligible Fees (or modify an existing deferral election) by giving written notice to the Company on or prior to December 15 of each year (or such other date as may be determined from time to time by the Secretary or Assistant Secretary of the Company in accordance with Section 9 of this Plan and in compliance with applicable law). </w:t>
      </w:r>
    </w:p>
    <w:p>
      <w:pPr>
        <w:pStyle w:val="TextBody"/>
        <w:bidi w:val="0"/>
        <w:spacing w:before="244" w:after="283"/>
        <w:jc w:val="both"/>
        <w:rPr>
          <w:rFonts w:ascii="Times New Roman" w:hAnsi="Times New Roman"/>
          <w:color w:val="111111"/>
          <w:sz w:val="22"/>
        </w:rPr>
      </w:pPr>
      <w:r>
        <w:rPr>
          <w:rFonts w:ascii="Times New Roman" w:hAnsi="Times New Roman"/>
          <w:color w:val="111111"/>
          <w:sz w:val="22"/>
        </w:rPr>
        <w:t>(c)</w:t>
      </w:r>
    </w:p>
    <w:p>
      <w:pPr>
        <w:pStyle w:val="TextBody"/>
        <w:bidi w:val="0"/>
        <w:spacing w:before="244" w:after="283"/>
        <w:jc w:val="both"/>
        <w:rPr/>
      </w:pPr>
      <w:r>
        <w:rPr>
          <w:rFonts w:ascii="Times New Roman" w:hAnsi="Times New Roman"/>
          <w:color w:val="111111"/>
          <w:sz w:val="22"/>
        </w:rPr>
        <w:t xml:space="preserve">Any such election described in the immediately preceding sentence shall only apply to Eligible Fees earned for services performed during the calendar year following such written notice. The effectiveness of a given election shall continue until the Eligible Individual’s Separation from Service, as defined in Section 13 of the Plan, or until the end of the calendar year during which the Eligible Individual gives the Company written notice of its discontinuance or modification, whichever shall occur first. Any notice of discontinuance or modification shall operate prospectively from the first day of the calendar year following the receipt of such written notice by the Secretary or Assistant Secretary of the Company, and Eligible Fees payable during any subsequent calendar year either shall be paid (absent any timely future deferral election) or deferred in accordance with the terms of the discontinuance or modified election, as applicable; </w:t>
      </w:r>
      <w:r>
        <w:rPr>
          <w:rFonts w:ascii="Times New Roman" w:hAnsi="Times New Roman"/>
          <w:i/>
          <w:color w:val="111111"/>
          <w:sz w:val="22"/>
        </w:rPr>
        <w:t xml:space="preserve">provided, however, </w:t>
      </w:r>
      <w:r>
        <w:rPr>
          <w:rFonts w:ascii="Times New Roman" w:hAnsi="Times New Roman"/>
          <w:color w:val="111111"/>
          <w:sz w:val="22"/>
        </w:rPr>
        <w:t>that Eligible Fees theretofore deferred shall continue to be deferred and shall be paid in accordance with the notice of election pursuant to which they were deferred. All written notices regarding deferral elections and/or the discontinuance or modification of prior deferral elections shall be made on a form prescribed by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4" w:after="283"/>
        <w:jc w:val="both"/>
        <w:rPr>
          <w:rFonts w:ascii="Times New Roman" w:hAnsi="Times New Roman"/>
          <w:color w:val="111111"/>
          <w:sz w:val="22"/>
        </w:rPr>
      </w:pPr>
      <w:r>
        <w:rPr>
          <w:rFonts w:ascii="Times New Roman" w:hAnsi="Times New Roman"/>
          <w:color w:val="111111"/>
          <w:sz w:val="22"/>
        </w:rPr>
        <w:t>(d)</w:t>
      </w:r>
    </w:p>
    <w:p>
      <w:pPr>
        <w:pStyle w:val="TextBody"/>
        <w:bidi w:val="0"/>
        <w:spacing w:before="244" w:after="283"/>
        <w:jc w:val="both"/>
        <w:rPr>
          <w:rFonts w:ascii="Times New Roman" w:hAnsi="Times New Roman"/>
          <w:color w:val="111111"/>
          <w:sz w:val="22"/>
        </w:rPr>
      </w:pPr>
      <w:r>
        <w:rPr>
          <w:rFonts w:ascii="Times New Roman" w:hAnsi="Times New Roman"/>
          <w:color w:val="111111"/>
          <w:sz w:val="22"/>
        </w:rPr>
        <w:t>Each deferral election shall be made in writing, on a form prescribed by the Company, and shall include:</w:t>
      </w:r>
    </w:p>
    <w:p>
      <w:pPr>
        <w:pStyle w:val="TextBody"/>
        <w:bidi w:val="0"/>
        <w:spacing w:before="243" w:after="283"/>
        <w:jc w:val="both"/>
        <w:rPr>
          <w:rFonts w:ascii="Times New Roman" w:hAnsi="Times New Roman"/>
          <w:sz w:val="20"/>
        </w:rPr>
      </w:pPr>
      <w:r>
        <w:rPr>
          <w:rFonts w:ascii="Times New Roman" w:hAnsi="Times New Roman"/>
          <w:color w:val="111111"/>
          <w:sz w:val="22"/>
        </w:rPr>
        <w:t>(i) the percentage or amount of the Cash Award to be deferred (the “</w:t>
      </w:r>
      <w:r>
        <w:rPr>
          <w:rFonts w:ascii="Times New Roman" w:hAnsi="Times New Roman"/>
          <w:color w:val="111111"/>
          <w:sz w:val="22"/>
          <w:u w:val="single"/>
        </w:rPr>
        <w:t>Deferred Cash</w:t>
      </w:r>
      <w:r>
        <w:rPr>
          <w:rFonts w:ascii="Times New Roman" w:hAnsi="Times New Roman"/>
          <w:color w:val="111111"/>
          <w:sz w:val="20"/>
        </w:rPr>
        <w:t>”</w:t>
      </w:r>
      <w:r>
        <w:rPr>
          <w:rFonts w:ascii="Times New Roman" w:hAnsi="Times New Roman"/>
          <w:color w:val="111111"/>
          <w:sz w:val="22"/>
        </w:rPr>
        <w:t>) and its allocation between an interest-bearing cash account (the “</w:t>
      </w:r>
      <w:r>
        <w:rPr>
          <w:rFonts w:ascii="Times New Roman" w:hAnsi="Times New Roman"/>
          <w:color w:val="111111"/>
          <w:sz w:val="22"/>
          <w:u w:val="single"/>
        </w:rPr>
        <w:t>Cash Fund</w:t>
      </w:r>
      <w:r>
        <w:rPr>
          <w:rFonts w:ascii="Times New Roman" w:hAnsi="Times New Roman"/>
          <w:color w:val="111111"/>
          <w:sz w:val="20"/>
        </w:rPr>
        <w:t>”</w:t>
      </w:r>
      <w:r>
        <w:rPr>
          <w:rFonts w:ascii="Times New Roman" w:hAnsi="Times New Roman"/>
          <w:color w:val="111111"/>
          <w:sz w:val="22"/>
        </w:rPr>
        <w:t>) or notional units of Company common stock (“Common Stock”) credited to a participant's account (“</w:t>
      </w:r>
      <w:r>
        <w:rPr>
          <w:rFonts w:ascii="Times New Roman" w:hAnsi="Times New Roman"/>
          <w:color w:val="111111"/>
          <w:sz w:val="22"/>
          <w:u w:val="single"/>
        </w:rPr>
        <w:t>Share Units</w:t>
      </w:r>
      <w:r>
        <w:rPr>
          <w:rFonts w:ascii="Times New Roman" w:hAnsi="Times New Roman"/>
          <w:color w:val="111111"/>
          <w:sz w:val="20"/>
        </w:rPr>
        <w:t>”</w:t>
      </w:r>
      <w:r>
        <w:rPr>
          <w:rFonts w:ascii="Times New Roman" w:hAnsi="Times New Roman"/>
          <w:color w:val="111111"/>
          <w:sz w:val="22"/>
        </w:rPr>
        <w:t>); and</w:t>
      </w:r>
    </w:p>
    <w:p>
      <w:pPr>
        <w:pStyle w:val="TextBody"/>
        <w:bidi w:val="0"/>
        <w:spacing w:before="243" w:after="283"/>
        <w:jc w:val="both"/>
        <w:rPr>
          <w:rFonts w:ascii="Times New Roman" w:hAnsi="Times New Roman"/>
          <w:sz w:val="20"/>
        </w:rPr>
      </w:pPr>
      <w:r>
        <w:rPr>
          <w:rFonts w:ascii="Times New Roman" w:hAnsi="Times New Roman"/>
          <w:color w:val="111111"/>
          <w:sz w:val="22"/>
        </w:rPr>
        <w:t>(ii) an election to defer all (or none) of the Eligible Equity (the “</w:t>
      </w:r>
      <w:r>
        <w:rPr>
          <w:rFonts w:ascii="Times New Roman" w:hAnsi="Times New Roman"/>
          <w:color w:val="111111"/>
          <w:sz w:val="22"/>
          <w:u w:val="single"/>
        </w:rPr>
        <w:t>Deferred Equity</w:t>
      </w:r>
      <w:r>
        <w:rPr>
          <w:rFonts w:ascii="Times New Roman" w:hAnsi="Times New Roman"/>
          <w:color w:val="111111"/>
          <w:sz w:val="20"/>
        </w:rPr>
        <w:t>”</w:t>
      </w:r>
      <w:r>
        <w:rPr>
          <w:rFonts w:ascii="Times New Roman" w:hAnsi="Times New Roman"/>
          <w:color w:val="111111"/>
          <w:sz w:val="22"/>
        </w:rPr>
        <w:t>).</w:t>
      </w:r>
    </w:p>
    <w:p>
      <w:pPr>
        <w:pStyle w:val="TextBody"/>
        <w:bidi w:val="0"/>
        <w:spacing w:before="250" w:after="283"/>
        <w:jc w:val="both"/>
        <w:rPr>
          <w:rFonts w:ascii="Times New Roman" w:hAnsi="Times New Roman"/>
          <w:b/>
          <w:color w:val="111111"/>
          <w:sz w:val="22"/>
        </w:rPr>
      </w:pPr>
      <w:r>
        <w:rPr>
          <w:rFonts w:ascii="Times New Roman" w:hAnsi="Times New Roman"/>
          <w:b/>
          <w:color w:val="111111"/>
          <w:sz w:val="22"/>
        </w:rPr>
        <w:t>4.</w:t>
      </w:r>
    </w:p>
    <w:p>
      <w:pPr>
        <w:pStyle w:val="TextBody"/>
        <w:bidi w:val="0"/>
        <w:spacing w:before="250" w:after="283"/>
        <w:jc w:val="both"/>
        <w:rPr/>
      </w:pPr>
      <w:r>
        <w:rPr>
          <w:rFonts w:ascii="Times New Roman" w:hAnsi="Times New Roman"/>
          <w:b/>
          <w:color w:val="111111"/>
          <w:sz w:val="22"/>
          <w:u w:val="single"/>
        </w:rPr>
        <w:t>DEFERRED COMPENSATION ACCOUNTS.</w:t>
      </w:r>
      <w:r>
        <w:rPr>
          <w:color w:val="111111"/>
        </w:rPr>
        <w:t xml:space="preserve"> </w:t>
      </w:r>
      <w:r>
        <w:rPr>
          <w:rFonts w:ascii="Times New Roman" w:hAnsi="Times New Roman"/>
          <w:color w:val="111111"/>
          <w:sz w:val="22"/>
        </w:rPr>
        <w:t>In the case of the Eligible Individual’s Deferred Cash , the Company shall establish a book-entry account for each Eligible Individual to record the Eligible Individual’s Deferred Cash (the “</w:t>
      </w:r>
      <w:r>
        <w:rPr>
          <w:rFonts w:ascii="Times New Roman" w:hAnsi="Times New Roman"/>
          <w:color w:val="111111"/>
          <w:sz w:val="22"/>
          <w:u w:val="single"/>
        </w:rPr>
        <w:t>Deferred Cash Account</w:t>
      </w:r>
      <w:r>
        <w:rPr>
          <w:color w:val="111111"/>
        </w:rPr>
        <w:t>”</w:t>
      </w:r>
      <w:r>
        <w:rPr>
          <w:rFonts w:ascii="Times New Roman" w:hAnsi="Times New Roman"/>
          <w:color w:val="111111"/>
          <w:sz w:val="22"/>
        </w:rPr>
        <w:t>). In the case of the Eligible Individual’s Deferred Equity, the Company shall establish a book-entry account for each Eligible Individual to record the Eligible Individual’s Deferred Equity (the “</w:t>
      </w:r>
      <w:r>
        <w:rPr>
          <w:rFonts w:ascii="Times New Roman" w:hAnsi="Times New Roman"/>
          <w:color w:val="111111"/>
          <w:sz w:val="22"/>
          <w:u w:val="single"/>
        </w:rPr>
        <w:t>Deferred Equity Account</w:t>
      </w:r>
      <w:r>
        <w:rPr>
          <w:color w:val="111111"/>
        </w:rPr>
        <w:t>”</w:t>
      </w:r>
      <w:r>
        <w:rPr>
          <w:rFonts w:ascii="Times New Roman" w:hAnsi="Times New Roman"/>
          <w:color w:val="111111"/>
          <w:sz w:val="22"/>
        </w:rPr>
        <w:t>).</w:t>
      </w:r>
    </w:p>
    <w:p>
      <w:pPr>
        <w:pStyle w:val="TextBody"/>
        <w:bidi w:val="0"/>
        <w:spacing w:before="239" w:after="283"/>
        <w:jc w:val="both"/>
        <w:rPr>
          <w:rFonts w:ascii="Times New Roman" w:hAnsi="Times New Roman"/>
          <w:color w:val="111111"/>
          <w:sz w:val="22"/>
        </w:rPr>
      </w:pPr>
      <w:r>
        <w:rPr>
          <w:rFonts w:ascii="Times New Roman" w:hAnsi="Times New Roman"/>
          <w:color w:val="111111"/>
          <w:sz w:val="22"/>
        </w:rPr>
        <w:t>(a)</w:t>
      </w:r>
    </w:p>
    <w:p>
      <w:pPr>
        <w:pStyle w:val="TextBody"/>
        <w:bidi w:val="0"/>
        <w:spacing w:before="239" w:after="283"/>
        <w:jc w:val="both"/>
        <w:rPr>
          <w:rFonts w:ascii="Times New Roman" w:hAnsi="Times New Roman"/>
          <w:color w:val="111111"/>
          <w:sz w:val="22"/>
        </w:rPr>
      </w:pPr>
      <w:r>
        <w:rPr>
          <w:rFonts w:ascii="Times New Roman" w:hAnsi="Times New Roman"/>
          <w:color w:val="111111"/>
          <w:sz w:val="22"/>
        </w:rPr>
        <w:t>For Deferred Cash allocated by the Eligible Individual to the Cash Fund:</w:t>
      </w:r>
    </w:p>
    <w:p>
      <w:pPr>
        <w:pStyle w:val="TextBody"/>
        <w:bidi w:val="0"/>
        <w:spacing w:before="244" w:after="283"/>
        <w:jc w:val="both"/>
        <w:rPr>
          <w:rFonts w:ascii="Times New Roman" w:hAnsi="Times New Roman"/>
          <w:color w:val="111111"/>
          <w:sz w:val="22"/>
        </w:rPr>
      </w:pPr>
      <w:r>
        <w:rPr>
          <w:rFonts w:ascii="Times New Roman" w:hAnsi="Times New Roman"/>
          <w:color w:val="111111"/>
          <w:sz w:val="22"/>
        </w:rPr>
        <w:t>(i)</w:t>
      </w:r>
    </w:p>
    <w:p>
      <w:pPr>
        <w:pStyle w:val="TextBody"/>
        <w:bidi w:val="0"/>
        <w:spacing w:before="244" w:after="283"/>
        <w:jc w:val="both"/>
        <w:rPr>
          <w:rFonts w:ascii="Times New Roman" w:hAnsi="Times New Roman"/>
          <w:color w:val="111111"/>
          <w:sz w:val="22"/>
        </w:rPr>
      </w:pPr>
      <w:r>
        <w:rPr>
          <w:rFonts w:ascii="Times New Roman" w:hAnsi="Times New Roman"/>
          <w:color w:val="111111"/>
          <w:sz w:val="22"/>
        </w:rPr>
        <w:t>at the time the Eligible Fees otherwise would have been payable, the Company will credit the Deferred Cash Account with the amount of the Deferred Cash that the Eligible Individual has elected to defer; and</w:t>
      </w:r>
    </w:p>
    <w:p>
      <w:pPr>
        <w:pStyle w:val="TextBody"/>
        <w:bidi w:val="0"/>
        <w:spacing w:before="239" w:after="283"/>
        <w:jc w:val="both"/>
        <w:rPr>
          <w:rFonts w:ascii="Times New Roman" w:hAnsi="Times New Roman"/>
          <w:color w:val="111111"/>
          <w:sz w:val="22"/>
        </w:rPr>
      </w:pPr>
      <w:r>
        <w:rPr>
          <w:rFonts w:ascii="Times New Roman" w:hAnsi="Times New Roman"/>
          <w:color w:val="111111"/>
          <w:sz w:val="22"/>
        </w:rPr>
        <w:t>(ii)</w:t>
      </w:r>
    </w:p>
    <w:p>
      <w:pPr>
        <w:pStyle w:val="TextBody"/>
        <w:bidi w:val="0"/>
        <w:spacing w:before="239" w:after="283"/>
        <w:jc w:val="both"/>
        <w:rPr/>
      </w:pPr>
      <w:r>
        <w:rPr>
          <w:rFonts w:ascii="Times New Roman" w:hAnsi="Times New Roman"/>
          <w:color w:val="111111"/>
          <w:sz w:val="22"/>
        </w:rPr>
        <w:t>at the end of each calendar year or portion of a year, the Deferred Cash Account will be credited with deemed interest, at an annual rate equivalent to the weighted average prime or base lending rate of JP Morgan Chase Bank (including any successor thereto or such other financial institution that may be selected from time to time by the Secretary or Assistant Secretary of the Company in accordance with Section 9 of the Plan and in accordance with applicable law) for the relevant year or portion thereof (the “</w:t>
      </w:r>
      <w:r>
        <w:rPr>
          <w:rFonts w:ascii="Times New Roman" w:hAnsi="Times New Roman"/>
          <w:color w:val="111111"/>
          <w:sz w:val="22"/>
          <w:u w:val="single"/>
        </w:rPr>
        <w:t>Interest Equivalents</w:t>
      </w:r>
      <w:r>
        <w:rPr>
          <w:color w:val="111111"/>
        </w:rPr>
        <w:t>”</w:t>
      </w:r>
      <w:r>
        <w:rPr>
          <w:rFonts w:ascii="Times New Roman" w:hAnsi="Times New Roman"/>
          <w:color w:val="111111"/>
          <w:sz w:val="22"/>
        </w:rPr>
        <w:t>), upon the average daily balance in the Deferred Cash Account during such year or portion thereof.</w:t>
      </w:r>
    </w:p>
    <w:p>
      <w:pPr>
        <w:pStyle w:val="TextBody"/>
        <w:bidi w:val="0"/>
        <w:spacing w:before="244" w:after="283"/>
        <w:jc w:val="both"/>
        <w:rPr>
          <w:rFonts w:ascii="Times New Roman" w:hAnsi="Times New Roman"/>
          <w:color w:val="111111"/>
          <w:sz w:val="22"/>
        </w:rPr>
      </w:pPr>
      <w:r>
        <w:rPr>
          <w:rFonts w:ascii="Times New Roman" w:hAnsi="Times New Roman"/>
          <w:color w:val="111111"/>
          <w:sz w:val="22"/>
        </w:rPr>
        <w:t>(b)</w:t>
      </w:r>
    </w:p>
    <w:p>
      <w:pPr>
        <w:pStyle w:val="TextBody"/>
        <w:bidi w:val="0"/>
        <w:spacing w:before="244" w:after="283"/>
        <w:jc w:val="both"/>
        <w:rPr>
          <w:rFonts w:ascii="Times New Roman" w:hAnsi="Times New Roman"/>
          <w:color w:val="111111"/>
          <w:sz w:val="22"/>
        </w:rPr>
      </w:pPr>
      <w:r>
        <w:rPr>
          <w:rFonts w:ascii="Times New Roman" w:hAnsi="Times New Roman"/>
          <w:color w:val="111111"/>
          <w:sz w:val="22"/>
        </w:rPr>
        <w:t>For Deferred Cash allocated by the Eligible Individual to Share Units:</w:t>
      </w:r>
    </w:p>
    <w:p>
      <w:pPr>
        <w:pStyle w:val="TextBody"/>
        <w:bidi w:val="0"/>
        <w:spacing w:before="243" w:after="283"/>
        <w:jc w:val="both"/>
        <w:rPr>
          <w:rFonts w:ascii="Times New Roman" w:hAnsi="Times New Roman"/>
          <w:color w:val="111111"/>
          <w:sz w:val="22"/>
        </w:rPr>
      </w:pPr>
      <w:r>
        <w:rPr>
          <w:rFonts w:ascii="Times New Roman" w:hAnsi="Times New Roman"/>
          <w:color w:val="111111"/>
          <w:sz w:val="22"/>
        </w:rPr>
        <w:t>(i)</w:t>
      </w:r>
    </w:p>
    <w:p>
      <w:pPr>
        <w:pStyle w:val="TextBody"/>
        <w:bidi w:val="0"/>
        <w:spacing w:before="243" w:after="283"/>
        <w:jc w:val="both"/>
        <w:rPr/>
      </w:pPr>
      <w:r>
        <w:rPr>
          <w:rFonts w:ascii="Times New Roman" w:hAnsi="Times New Roman"/>
          <w:color w:val="111111"/>
          <w:sz w:val="22"/>
        </w:rPr>
        <w:t>at the time the Eligible Fees would otherwise have been payable, (A) the Deferred Cash Account will be credited with the amount of the Deferred Cash that the Eligible Individual has elected to defer and (B) such amount of the Deferred Cash shall be converted on such date in book entry to a number of Share Units (computed to the nearest 1/1000 of a share) equal to the number of shares of Common Stock that could have been purchased on such date with such amount of Deferred Cash, using the closing price for the Common Stock on such date (or, if such date is not a trading day, on the next preceding trading day) on The Nasdaq Global Market (“</w:t>
      </w:r>
      <w:r>
        <w:rPr>
          <w:rFonts w:ascii="Times New Roman" w:hAnsi="Times New Roman"/>
          <w:color w:val="111111"/>
          <w:sz w:val="22"/>
          <w:u w:val="single"/>
        </w:rPr>
        <w:t>Nasdaq</w:t>
      </w:r>
      <w:r>
        <w:rPr>
          <w:color w:val="111111"/>
        </w:rPr>
        <w:t>”</w:t>
      </w:r>
      <w:r>
        <w:rPr>
          <w:rFonts w:ascii="Times New Roman" w:hAnsi="Times New Roman"/>
          <w:color w:val="111111"/>
          <w:sz w:val="22"/>
        </w:rPr>
        <w:t>) or, if the Common Stock is not then listed or quoted on Nasdaq, the principal stock exchange on which the Common Stock is then traded;</w:t>
      </w:r>
    </w:p>
    <w:p>
      <w:pPr>
        <w:pStyle w:val="TextBody"/>
        <w:bidi w:val="0"/>
        <w:spacing w:before="236" w:after="283"/>
        <w:jc w:val="both"/>
        <w:rPr>
          <w:rFonts w:ascii="Times New Roman" w:hAnsi="Times New Roman"/>
          <w:color w:val="111111"/>
          <w:sz w:val="22"/>
        </w:rPr>
      </w:pPr>
      <w:r>
        <w:rPr>
          <w:rFonts w:ascii="Times New Roman" w:hAnsi="Times New Roman"/>
          <w:color w:val="111111"/>
          <w:sz w:val="22"/>
        </w:rPr>
        <w:t>(ii)</w:t>
      </w:r>
    </w:p>
    <w:p>
      <w:pPr>
        <w:pStyle w:val="TextBody"/>
        <w:bidi w:val="0"/>
        <w:spacing w:before="236" w:after="283"/>
        <w:jc w:val="both"/>
        <w:rPr>
          <w:rFonts w:ascii="Times New Roman" w:hAnsi="Times New Roman"/>
          <w:color w:val="111111"/>
          <w:sz w:val="22"/>
        </w:rPr>
      </w:pPr>
      <w:r>
        <w:rPr>
          <w:rFonts w:ascii="Times New Roman" w:hAnsi="Times New Roman"/>
          <w:color w:val="111111"/>
          <w:sz w:val="22"/>
        </w:rPr>
        <w:t xml:space="preserve">on each date on which a cash dividend is paid on the Common Stock, the Deferred Cash Account will be credited with the number of Share Units (computed to the nearest 1/1000 of a share) which theoretically could have been purchased with the amount of cash dividends payable on the number of shares of Common Stock equal to the number of Share Units in the Eligible Individual's Deferred Cash Account immediately prior to the payment of such dividend; the number of additional Share Units shall be calculated as in Section 4(b)(i) above, provided that, with respect to the payment of any other dividends, the Share Units in the Deferred Cash Account shall be adjusted in the manner provided in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36" w:after="283"/>
        <w:jc w:val="both"/>
        <w:rPr>
          <w:rFonts w:ascii="Times New Roman" w:hAnsi="Times New Roman"/>
          <w:color w:val="111111"/>
          <w:sz w:val="22"/>
        </w:rPr>
      </w:pPr>
      <w:r>
        <w:rPr>
          <w:rFonts w:ascii="Times New Roman" w:hAnsi="Times New Roman"/>
          <w:color w:val="111111"/>
          <w:sz w:val="22"/>
        </w:rPr>
        <w:t>Section 6(d); and</w:t>
      </w:r>
    </w:p>
    <w:p>
      <w:pPr>
        <w:pStyle w:val="TextBody"/>
        <w:bidi w:val="0"/>
        <w:spacing w:before="231" w:after="283"/>
        <w:jc w:val="both"/>
        <w:rPr>
          <w:rFonts w:ascii="Times New Roman" w:hAnsi="Times New Roman"/>
          <w:color w:val="111111"/>
          <w:sz w:val="22"/>
        </w:rPr>
      </w:pPr>
      <w:r>
        <w:rPr>
          <w:rFonts w:ascii="Times New Roman" w:hAnsi="Times New Roman"/>
          <w:color w:val="111111"/>
          <w:sz w:val="22"/>
        </w:rPr>
        <w:t>(iii)</w:t>
      </w:r>
    </w:p>
    <w:p>
      <w:pPr>
        <w:pStyle w:val="TextBody"/>
        <w:bidi w:val="0"/>
        <w:spacing w:before="231" w:after="283"/>
        <w:jc w:val="both"/>
        <w:rPr>
          <w:rFonts w:ascii="Times New Roman" w:hAnsi="Times New Roman"/>
          <w:color w:val="111111"/>
          <w:sz w:val="22"/>
        </w:rPr>
      </w:pPr>
      <w:r>
        <w:rPr>
          <w:rFonts w:ascii="Times New Roman" w:hAnsi="Times New Roman"/>
          <w:color w:val="111111"/>
          <w:sz w:val="22"/>
        </w:rPr>
        <w:t>on the date of the occurrence of any event described in Section 6(d) below, the Deferred Cash Account will be credited with the number of Share Units necessary for an equitable adjustment, which adjustment shall be determined in accordance with Sections 6(d) and 9 of this Plan and in accordance with applicable law.</w:t>
      </w:r>
    </w:p>
    <w:p>
      <w:pPr>
        <w:pStyle w:val="TextBody"/>
        <w:bidi w:val="0"/>
        <w:spacing w:before="231" w:after="283"/>
        <w:jc w:val="both"/>
        <w:rPr>
          <w:rFonts w:ascii="Times New Roman" w:hAnsi="Times New Roman"/>
          <w:color w:val="111111"/>
          <w:sz w:val="22"/>
        </w:rPr>
      </w:pPr>
      <w:r>
        <w:rPr>
          <w:rFonts w:ascii="Times New Roman" w:hAnsi="Times New Roman"/>
          <w:color w:val="111111"/>
          <w:sz w:val="22"/>
        </w:rPr>
        <w:t>(c)</w:t>
      </w:r>
    </w:p>
    <w:p>
      <w:pPr>
        <w:pStyle w:val="TextBody"/>
        <w:bidi w:val="0"/>
        <w:spacing w:before="231" w:after="283"/>
        <w:jc w:val="both"/>
        <w:rPr>
          <w:rFonts w:ascii="Times New Roman" w:hAnsi="Times New Roman"/>
          <w:color w:val="111111"/>
          <w:sz w:val="22"/>
        </w:rPr>
      </w:pPr>
      <w:r>
        <w:rPr>
          <w:rFonts w:ascii="Times New Roman" w:hAnsi="Times New Roman"/>
          <w:color w:val="111111"/>
          <w:sz w:val="22"/>
        </w:rPr>
        <w:t>With respect to Deferred Equity:</w:t>
      </w:r>
    </w:p>
    <w:p>
      <w:pPr>
        <w:pStyle w:val="TextBody"/>
        <w:bidi w:val="0"/>
        <w:spacing w:before="231" w:after="283"/>
        <w:jc w:val="both"/>
        <w:rPr>
          <w:rFonts w:ascii="Times New Roman" w:hAnsi="Times New Roman"/>
          <w:color w:val="111111"/>
          <w:sz w:val="22"/>
        </w:rPr>
      </w:pPr>
      <w:r>
        <w:rPr>
          <w:rFonts w:ascii="Times New Roman" w:hAnsi="Times New Roman"/>
          <w:color w:val="111111"/>
          <w:sz w:val="22"/>
        </w:rPr>
        <w:t>(i)</w:t>
      </w:r>
    </w:p>
    <w:p>
      <w:pPr>
        <w:pStyle w:val="TextBody"/>
        <w:bidi w:val="0"/>
        <w:spacing w:before="231" w:after="283"/>
        <w:jc w:val="both"/>
        <w:rPr>
          <w:rFonts w:ascii="Times New Roman" w:hAnsi="Times New Roman"/>
          <w:color w:val="111111"/>
          <w:sz w:val="22"/>
        </w:rPr>
      </w:pPr>
      <w:r>
        <w:rPr>
          <w:rFonts w:ascii="Times New Roman" w:hAnsi="Times New Roman"/>
          <w:color w:val="111111"/>
          <w:sz w:val="22"/>
        </w:rPr>
        <w:t>at the time the Eligible Equity would otherwise have been granted, Deferred Equity shall be credited to the Deferred Equity Account in the form of Share Units. For the avoidance of doubt, any Share Units in the Deferred Equity Account, and any related dividend equivalents, shall remain subject to forfeiture and vesting in accordance with the terms of the applicable award agreement governing the Deferred Equity.</w:t>
      </w:r>
    </w:p>
    <w:p>
      <w:pPr>
        <w:pStyle w:val="TextBody"/>
        <w:bidi w:val="0"/>
        <w:spacing w:before="236" w:after="283"/>
        <w:jc w:val="both"/>
        <w:rPr>
          <w:rFonts w:ascii="Times New Roman" w:hAnsi="Times New Roman"/>
          <w:color w:val="111111"/>
          <w:sz w:val="22"/>
        </w:rPr>
      </w:pPr>
      <w:r>
        <w:rPr>
          <w:rFonts w:ascii="Times New Roman" w:hAnsi="Times New Roman"/>
          <w:color w:val="111111"/>
          <w:sz w:val="22"/>
        </w:rPr>
        <w:t>(ii)</w:t>
      </w:r>
    </w:p>
    <w:p>
      <w:pPr>
        <w:pStyle w:val="TextBody"/>
        <w:bidi w:val="0"/>
        <w:spacing w:before="236" w:after="283"/>
        <w:jc w:val="both"/>
        <w:rPr>
          <w:rFonts w:ascii="Times New Roman" w:hAnsi="Times New Roman"/>
          <w:color w:val="111111"/>
          <w:sz w:val="22"/>
        </w:rPr>
      </w:pPr>
      <w:r>
        <w:rPr>
          <w:rFonts w:ascii="Times New Roman" w:hAnsi="Times New Roman"/>
          <w:color w:val="111111"/>
          <w:sz w:val="22"/>
        </w:rPr>
        <w:t>on each date on which a cash dividend is paid on the Common Stock, the Deferred Equity Account will be credited with the number of Share Units (computed to the nearest 1/1000 of a share) which theoretically could have been purchased with the amount of cash dividends payable on the number of shares of Common Stock equal to the number of Share Units in the Eligible Individual’s Deferred Equity Account immediately prior to the payment of such dividend; the number of additional Share Units shall be calculated as in Section 4(b)(i) above, provided that, with respect to the payment of any other dividends, the Share Units in the Deferred Equity Account shall be adjusted in the manner provided in Section 6(d); and</w:t>
      </w:r>
    </w:p>
    <w:p>
      <w:pPr>
        <w:pStyle w:val="TextBody"/>
        <w:bidi w:val="0"/>
        <w:spacing w:before="231" w:after="283"/>
        <w:jc w:val="both"/>
        <w:rPr>
          <w:rFonts w:ascii="Times New Roman" w:hAnsi="Times New Roman"/>
          <w:color w:val="111111"/>
          <w:sz w:val="22"/>
        </w:rPr>
      </w:pPr>
      <w:r>
        <w:rPr>
          <w:rFonts w:ascii="Times New Roman" w:hAnsi="Times New Roman"/>
          <w:color w:val="111111"/>
          <w:sz w:val="22"/>
        </w:rPr>
        <w:t>(iii)</w:t>
      </w:r>
    </w:p>
    <w:p>
      <w:pPr>
        <w:pStyle w:val="TextBody"/>
        <w:bidi w:val="0"/>
        <w:spacing w:before="231" w:after="283"/>
        <w:jc w:val="both"/>
        <w:rPr>
          <w:rFonts w:ascii="Times New Roman" w:hAnsi="Times New Roman"/>
          <w:color w:val="111111"/>
          <w:sz w:val="22"/>
        </w:rPr>
      </w:pPr>
      <w:r>
        <w:rPr>
          <w:rFonts w:ascii="Times New Roman" w:hAnsi="Times New Roman"/>
          <w:color w:val="111111"/>
          <w:sz w:val="22"/>
        </w:rPr>
        <w:t>on the date of the occurrence of any event described in Section 6(d) below, the Deferred Equity Account will be credited with the number of Share Units necessary for an equitable adjustment, which adjustment shall be determined in accordance with Sections 6(d) and 9 of this Plan and in accordance with applicable law.</w:t>
      </w:r>
    </w:p>
    <w:p>
      <w:pPr>
        <w:pStyle w:val="TextBody"/>
        <w:bidi w:val="0"/>
        <w:spacing w:before="242" w:after="283"/>
        <w:jc w:val="both"/>
        <w:rPr>
          <w:rFonts w:ascii="Times New Roman" w:hAnsi="Times New Roman"/>
          <w:b/>
          <w:color w:val="111111"/>
          <w:sz w:val="22"/>
        </w:rPr>
      </w:pPr>
      <w:r>
        <w:rPr>
          <w:rFonts w:ascii="Times New Roman" w:hAnsi="Times New Roman"/>
          <w:b/>
          <w:color w:val="111111"/>
          <w:sz w:val="22"/>
        </w:rPr>
        <w:t>5.</w:t>
      </w:r>
    </w:p>
    <w:p>
      <w:pPr>
        <w:pStyle w:val="TextBody"/>
        <w:bidi w:val="0"/>
        <w:spacing w:before="242" w:after="283"/>
        <w:jc w:val="both"/>
        <w:rPr/>
      </w:pPr>
      <w:r>
        <w:rPr>
          <w:rFonts w:ascii="Times New Roman" w:hAnsi="Times New Roman"/>
          <w:b/>
          <w:color w:val="111111"/>
          <w:sz w:val="22"/>
          <w:u w:val="single"/>
        </w:rPr>
        <w:t>VALUE OF DEFERRED COMPENSATION ACCOUNTS.</w:t>
      </w:r>
      <w:r>
        <w:rPr>
          <w:color w:val="111111"/>
        </w:rPr>
        <w:t xml:space="preserve"> </w:t>
      </w:r>
    </w:p>
    <w:p>
      <w:pPr>
        <w:pStyle w:val="TextBody"/>
        <w:bidi w:val="0"/>
        <w:spacing w:before="242" w:after="283"/>
        <w:jc w:val="both"/>
        <w:rPr>
          <w:rFonts w:ascii="Times New Roman" w:hAnsi="Times New Roman"/>
          <w:sz w:val="20"/>
        </w:rPr>
      </w:pPr>
      <w:r>
        <w:rPr>
          <w:rFonts w:ascii="Times New Roman" w:hAnsi="Times New Roman"/>
          <w:color w:val="111111"/>
          <w:sz w:val="22"/>
        </w:rPr>
        <w:t>(a) The value of the Eligible Individual's Deferred Cash Account on any date shall consist of (a) in the case of the Cash Fund, the sum of the Deferred Cash credited in accordance with Section 4(a) above and the Interest Equivalents credited through such date, and (b) in the case of the Share Units, the Fair Market Value of the corresponding number of shares of Common Stock on such date. An Eligible Individual's Deferred Cash Account shall be credited with Interest Equivalents or additional Share Units, if any, as applicable for so long as there is an outstanding balance credited to the Eligible Individual's Deferred Cash Account.</w:t>
      </w:r>
      <w:r>
        <w:rPr>
          <w:rFonts w:ascii="Times New Roman" w:hAnsi="Times New Roman"/>
          <w:color w:val="111111"/>
          <w:sz w:val="20"/>
        </w:rPr>
        <w:t xml:space="preserve"> </w:t>
      </w:r>
    </w:p>
    <w:p>
      <w:pPr>
        <w:pStyle w:val="TextBody"/>
        <w:bidi w:val="0"/>
        <w:spacing w:before="242" w:after="283"/>
        <w:jc w:val="both"/>
        <w:rPr>
          <w:rFonts w:ascii="Times New Roman" w:hAnsi="Times New Roman"/>
          <w:color w:val="111111"/>
          <w:sz w:val="22"/>
        </w:rPr>
      </w:pPr>
      <w:r>
        <w:rPr>
          <w:rFonts w:ascii="Times New Roman" w:hAnsi="Times New Roman"/>
          <w:color w:val="111111"/>
          <w:sz w:val="22"/>
        </w:rPr>
        <w:t>(b) The value of the Eligible Individual’s Deferred Equity Account on any date shall consist of the Fair Market Value of the corresponding number of shares of Common Stock on such date. An Eligible Individual’s Deferred Equity Account shall be credited with additional Share Units, if any, as applicable for so long as there is an outstanding balance credited to the Eligible Individual’s Deferred Equity Account.</w:t>
      </w:r>
    </w:p>
    <w:p>
      <w:pPr>
        <w:pStyle w:val="TextBody"/>
        <w:bidi w:val="0"/>
        <w:spacing w:before="14" w:after="283"/>
        <w:jc w:val="both"/>
        <w:rPr/>
      </w:pPr>
      <w:r>
        <w:rPr/>
        <w:t> </w:t>
      </w:r>
    </w:p>
    <w:p>
      <w:pPr>
        <w:pStyle w:val="TextBody"/>
        <w:bidi w:val="0"/>
        <w:spacing w:before="14" w:after="283"/>
        <w:jc w:val="both"/>
        <w:rPr>
          <w:rFonts w:ascii="Times New Roman" w:hAnsi="Times New Roman"/>
          <w:b/>
          <w:color w:val="111111"/>
          <w:sz w:val="22"/>
        </w:rPr>
      </w:pPr>
      <w:r>
        <w:rPr>
          <w:rFonts w:ascii="Times New Roman" w:hAnsi="Times New Roman"/>
          <w:b/>
          <w:color w:val="111111"/>
          <w:sz w:val="22"/>
        </w:rPr>
        <w:t>6.</w:t>
      </w:r>
    </w:p>
    <w:p>
      <w:pPr>
        <w:pStyle w:val="TextBody"/>
        <w:bidi w:val="0"/>
        <w:spacing w:before="14" w:after="283"/>
        <w:jc w:val="both"/>
        <w:rPr/>
      </w:pPr>
      <w:r>
        <w:rPr>
          <w:rFonts w:ascii="Times New Roman" w:hAnsi="Times New Roman"/>
          <w:b/>
          <w:color w:val="111111"/>
          <w:sz w:val="22"/>
          <w:u w:val="single"/>
        </w:rPr>
        <w:t>PAYMENT OF DEFERRED CASH AND DEFERRED EQUITY.</w:t>
      </w:r>
      <w:r>
        <w:rPr>
          <w:color w:val="111111"/>
        </w:rPr>
        <w:t xml:space="preserve"> </w:t>
      </w:r>
      <w:r>
        <w:rPr>
          <w:rFonts w:ascii="Times New Roman" w:hAnsi="Times New Roman"/>
          <w:color w:val="111111"/>
          <w:sz w:val="22"/>
        </w:rPr>
        <w:t>No payment shall be made from an Eligible Individual's Deferred Cash Account or Deferred Equity Account except as follows:</w:t>
      </w:r>
    </w:p>
    <w:p>
      <w:pPr>
        <w:pStyle w:val="TextBody"/>
        <w:bidi w:val="0"/>
        <w:spacing w:before="238" w:after="283"/>
        <w:jc w:val="both"/>
        <w:rPr>
          <w:rFonts w:ascii="Times New Roman" w:hAnsi="Times New Roman"/>
          <w:color w:val="111111"/>
          <w:sz w:val="22"/>
        </w:rPr>
      </w:pPr>
      <w:r>
        <w:rPr>
          <w:rFonts w:ascii="Times New Roman" w:hAnsi="Times New Roman"/>
          <w:color w:val="111111"/>
          <w:sz w:val="22"/>
        </w:rPr>
        <w:t>(a)</w:t>
      </w:r>
    </w:p>
    <w:p>
      <w:pPr>
        <w:pStyle w:val="TextBody"/>
        <w:bidi w:val="0"/>
        <w:spacing w:before="238" w:after="283"/>
        <w:jc w:val="both"/>
        <w:rPr>
          <w:rFonts w:ascii="Times New Roman" w:hAnsi="Times New Roman"/>
          <w:color w:val="111111"/>
          <w:sz w:val="22"/>
        </w:rPr>
      </w:pPr>
      <w:r>
        <w:rPr>
          <w:rFonts w:ascii="Times New Roman" w:hAnsi="Times New Roman"/>
          <w:color w:val="111111"/>
          <w:sz w:val="22"/>
        </w:rPr>
        <w:t xml:space="preserve">The balance of Deferred Cash and Interest Equivalents in an Eligible Individual's Deferred Cash Account credited to the Cash Fund shall be paid in cash in a lump sum on January 15 of the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38" w:after="283"/>
        <w:jc w:val="both"/>
        <w:rPr>
          <w:rFonts w:ascii="Times New Roman" w:hAnsi="Times New Roman"/>
          <w:color w:val="111111"/>
          <w:sz w:val="22"/>
        </w:rPr>
      </w:pPr>
      <w:r>
        <w:rPr>
          <w:rFonts w:ascii="Times New Roman" w:hAnsi="Times New Roman"/>
          <w:color w:val="111111"/>
          <w:sz w:val="22"/>
        </w:rPr>
        <w:t>calendar year following the calendar year in which the Eligible Individual’s Separation from Service occurs.</w:t>
      </w:r>
    </w:p>
    <w:p>
      <w:pPr>
        <w:pStyle w:val="TextBody"/>
        <w:bidi w:val="0"/>
        <w:spacing w:before="242" w:after="283"/>
        <w:jc w:val="both"/>
        <w:rPr>
          <w:rFonts w:ascii="Times New Roman" w:hAnsi="Times New Roman"/>
          <w:color w:val="111111"/>
          <w:sz w:val="22"/>
        </w:rPr>
      </w:pPr>
      <w:r>
        <w:rPr>
          <w:rFonts w:ascii="Times New Roman" w:hAnsi="Times New Roman"/>
          <w:color w:val="111111"/>
          <w:sz w:val="22"/>
        </w:rPr>
        <w:t>(b)</w:t>
      </w:r>
    </w:p>
    <w:p>
      <w:pPr>
        <w:pStyle w:val="TextBody"/>
        <w:bidi w:val="0"/>
        <w:spacing w:before="242" w:after="283"/>
        <w:jc w:val="both"/>
        <w:rPr>
          <w:rFonts w:ascii="Times New Roman" w:hAnsi="Times New Roman"/>
          <w:color w:val="111111"/>
          <w:sz w:val="22"/>
        </w:rPr>
      </w:pPr>
      <w:r>
        <w:rPr>
          <w:rFonts w:ascii="Times New Roman" w:hAnsi="Times New Roman"/>
          <w:color w:val="111111"/>
          <w:sz w:val="22"/>
        </w:rPr>
        <w:t>The balance of Deferred Cash and Interest Equivalents in an Eligible Individual's Deferred Cash Account credited to Share Units shall be paid in the number of actual shares of Common Stock equal to the whole number of Share Units in the Eligible Individual's Deferred Cash Account. This payment will be made in a lump sum on January 15 of the calendar year following the calendar year in which the Eligible Individual’s Separation from Service occurs. A cash payment in lieu of a fractional share of Common Stock issuable in respect of a fractional Share Unit, if applicable, shall be made with the last payment.</w:t>
      </w:r>
    </w:p>
    <w:p>
      <w:pPr>
        <w:pStyle w:val="TextBody"/>
        <w:bidi w:val="0"/>
        <w:spacing w:before="242" w:after="283"/>
        <w:jc w:val="both"/>
        <w:rPr>
          <w:rFonts w:ascii="Times New Roman" w:hAnsi="Times New Roman"/>
          <w:color w:val="111111"/>
          <w:sz w:val="22"/>
        </w:rPr>
      </w:pPr>
      <w:r>
        <w:rPr>
          <w:rFonts w:ascii="Times New Roman" w:hAnsi="Times New Roman"/>
          <w:color w:val="111111"/>
          <w:sz w:val="22"/>
        </w:rPr>
        <w:t>(c)</w:t>
      </w:r>
    </w:p>
    <w:p>
      <w:pPr>
        <w:pStyle w:val="TextBody"/>
        <w:bidi w:val="0"/>
        <w:spacing w:before="242" w:after="283"/>
        <w:jc w:val="both"/>
        <w:rPr>
          <w:rFonts w:ascii="Times New Roman" w:hAnsi="Times New Roman"/>
          <w:color w:val="111111"/>
          <w:sz w:val="22"/>
        </w:rPr>
      </w:pPr>
      <w:r>
        <w:rPr>
          <w:rFonts w:ascii="Times New Roman" w:hAnsi="Times New Roman"/>
          <w:color w:val="111111"/>
          <w:sz w:val="22"/>
        </w:rPr>
        <w:t>The balance of Deferred Equity in an Eligible Individual’s Deferred Equity Account will be settled in shares of Common Stock equal to the whole number of Share Units in the Eligible Individual’s Deferred Equity Account in lump sum on January 15 of the calendar year following the calendar year in which the Eligible Individual’s Separation from Service occurs. A cash payment in lieu of a fractional share of Common Stock issuable in respect of a fractional Share Unit, if applicable, shall be made with the last payment.</w:t>
      </w:r>
    </w:p>
    <w:p>
      <w:pPr>
        <w:pStyle w:val="TextBody"/>
        <w:bidi w:val="0"/>
        <w:spacing w:before="252" w:after="283"/>
        <w:jc w:val="both"/>
        <w:rPr>
          <w:rFonts w:ascii="Times New Roman" w:hAnsi="Times New Roman"/>
          <w:color w:val="111111"/>
          <w:sz w:val="22"/>
        </w:rPr>
      </w:pPr>
      <w:r>
        <w:rPr>
          <w:rFonts w:ascii="Times New Roman" w:hAnsi="Times New Roman"/>
          <w:color w:val="111111"/>
          <w:sz w:val="22"/>
        </w:rPr>
        <w:t>(d)</w:t>
      </w:r>
    </w:p>
    <w:p>
      <w:pPr>
        <w:pStyle w:val="TextBody"/>
        <w:bidi w:val="0"/>
        <w:spacing w:before="252" w:after="283"/>
        <w:jc w:val="both"/>
        <w:rPr/>
      </w:pPr>
      <w:r>
        <w:rPr>
          <w:rFonts w:ascii="Times New Roman" w:hAnsi="Times New Roman"/>
          <w:color w:val="111111"/>
          <w:sz w:val="22"/>
        </w:rPr>
        <w:t>In the event of a Corporate Transaction or a Share Change, the Board or the Compensation Committee of the Board (or such other Committee as the Board may from time to time designate) (the "</w:t>
      </w:r>
      <w:r>
        <w:rPr>
          <w:rFonts w:ascii="Times New Roman" w:hAnsi="Times New Roman"/>
          <w:color w:val="111111"/>
          <w:sz w:val="22"/>
          <w:u w:val="single"/>
        </w:rPr>
        <w:t>Committee</w:t>
      </w:r>
      <w:r>
        <w:rPr>
          <w:rFonts w:ascii="Times New Roman" w:hAnsi="Times New Roman"/>
          <w:color w:val="111111"/>
          <w:sz w:val="22"/>
        </w:rPr>
        <w:t>") shall make such equitable substitutions or adjustments in the aggregate number of Share Units in an Eligible Individual's Deferred Cash Account or Deferred Equity Account, in the form or type of property represented by such Share Units and in the number and kind of shares reserved for issuance as the Board or the Committee deems appropriate. Any successor corporation or other acquirer of the Company shall be required to assume the Company's obligations hereunder and substitute an appropriate number of shares of stock or other equity measure of such successor entity for Share Units.</w:t>
      </w:r>
    </w:p>
    <w:p>
      <w:pPr>
        <w:pStyle w:val="TextBody"/>
        <w:bidi w:val="0"/>
        <w:spacing w:before="243" w:after="283"/>
        <w:jc w:val="both"/>
        <w:rPr>
          <w:rFonts w:ascii="Times New Roman" w:hAnsi="Times New Roman"/>
          <w:b/>
          <w:color w:val="111111"/>
          <w:sz w:val="22"/>
        </w:rPr>
      </w:pPr>
      <w:r>
        <w:rPr>
          <w:rFonts w:ascii="Times New Roman" w:hAnsi="Times New Roman"/>
          <w:b/>
          <w:color w:val="111111"/>
          <w:sz w:val="22"/>
        </w:rPr>
        <w:t>7.</w:t>
      </w:r>
    </w:p>
    <w:p>
      <w:pPr>
        <w:pStyle w:val="TextBody"/>
        <w:bidi w:val="0"/>
        <w:spacing w:before="243" w:after="283"/>
        <w:jc w:val="both"/>
        <w:rPr/>
      </w:pPr>
      <w:r>
        <w:rPr>
          <w:rFonts w:ascii="Times New Roman" w:hAnsi="Times New Roman"/>
          <w:b/>
          <w:color w:val="111111"/>
          <w:sz w:val="22"/>
          <w:u w:val="single"/>
        </w:rPr>
        <w:t>ELIGIBLE INDIVIDUAL'S RIGHTS UNSECURED.</w:t>
      </w:r>
      <w:r>
        <w:rPr>
          <w:color w:val="111111"/>
        </w:rPr>
        <w:t xml:space="preserve"> </w:t>
      </w:r>
      <w:r>
        <w:rPr>
          <w:rFonts w:ascii="Times New Roman" w:hAnsi="Times New Roman"/>
          <w:color w:val="111111"/>
          <w:sz w:val="22"/>
        </w:rPr>
        <w:t>The right of an Eligible Individual to receive any unpaid portion of the Eligible Individual's Deferred Cash Account and/or Deferred Equity Account shall be an unsecured claim against the general assets of the Company.</w:t>
      </w:r>
    </w:p>
    <w:p>
      <w:pPr>
        <w:pStyle w:val="TextBody"/>
        <w:bidi w:val="0"/>
        <w:spacing w:before="244" w:after="283"/>
        <w:jc w:val="both"/>
        <w:rPr>
          <w:rFonts w:ascii="Times New Roman" w:hAnsi="Times New Roman"/>
          <w:b/>
          <w:color w:val="111111"/>
          <w:sz w:val="22"/>
        </w:rPr>
      </w:pPr>
      <w:r>
        <w:rPr>
          <w:rFonts w:ascii="Times New Roman" w:hAnsi="Times New Roman"/>
          <w:b/>
          <w:color w:val="111111"/>
          <w:sz w:val="22"/>
        </w:rPr>
        <w:t>8.</w:t>
      </w:r>
    </w:p>
    <w:p>
      <w:pPr>
        <w:pStyle w:val="TextBody"/>
        <w:bidi w:val="0"/>
        <w:spacing w:before="244" w:after="283"/>
        <w:jc w:val="both"/>
        <w:rPr/>
      </w:pPr>
      <w:r>
        <w:rPr>
          <w:rFonts w:ascii="Times New Roman" w:hAnsi="Times New Roman"/>
          <w:b/>
          <w:color w:val="111111"/>
          <w:sz w:val="22"/>
          <w:u w:val="single"/>
        </w:rPr>
        <w:t>NONASSIGNABILITY.</w:t>
      </w:r>
      <w:r>
        <w:rPr>
          <w:color w:val="111111"/>
        </w:rPr>
        <w:t xml:space="preserve"> </w:t>
      </w:r>
      <w:r>
        <w:rPr>
          <w:rFonts w:ascii="Times New Roman" w:hAnsi="Times New Roman"/>
          <w:color w:val="111111"/>
          <w:sz w:val="22"/>
        </w:rPr>
        <w:t>The right of an Eligible Individual to receive any unpaid portion of the Eligible Individual’s Deferred Cash Account and/or Deferred Equity Account shall not be assigned, transferred, pledged or encumbered or be subject in any manner to alienation or anticipation.</w:t>
      </w:r>
    </w:p>
    <w:p>
      <w:pPr>
        <w:pStyle w:val="TextBody"/>
        <w:bidi w:val="0"/>
        <w:spacing w:before="244" w:after="283"/>
        <w:jc w:val="both"/>
        <w:rPr>
          <w:rFonts w:ascii="Times New Roman" w:hAnsi="Times New Roman"/>
          <w:b/>
          <w:color w:val="131313"/>
          <w:sz w:val="22"/>
        </w:rPr>
      </w:pPr>
      <w:r>
        <w:rPr>
          <w:rFonts w:ascii="Times New Roman" w:hAnsi="Times New Roman"/>
          <w:b/>
          <w:color w:val="131313"/>
          <w:sz w:val="22"/>
        </w:rPr>
        <w:t>9.</w:t>
      </w:r>
    </w:p>
    <w:p>
      <w:pPr>
        <w:pStyle w:val="TextBody"/>
        <w:bidi w:val="0"/>
        <w:spacing w:before="244" w:after="283"/>
        <w:jc w:val="both"/>
        <w:rPr/>
      </w:pPr>
      <w:r>
        <w:rPr>
          <w:rFonts w:ascii="Times New Roman" w:hAnsi="Times New Roman"/>
          <w:b/>
          <w:color w:val="131313"/>
          <w:sz w:val="22"/>
          <w:u w:val="single"/>
        </w:rPr>
        <w:t>ADMINISTRATION.</w:t>
      </w:r>
      <w:r>
        <w:rPr>
          <w:color w:val="131313"/>
        </w:rPr>
        <w:t xml:space="preserve"> </w:t>
      </w:r>
      <w:r>
        <w:rPr>
          <w:rFonts w:ascii="Times New Roman" w:hAnsi="Times New Roman"/>
          <w:color w:val="131313"/>
          <w:sz w:val="22"/>
        </w:rPr>
        <w:t>This Plan shall be administered by the Secretary or Assistant Secretary of the Company, each of whom shall individually have the authority to interpret the Plan, establish, amend and rescind rules and regulations, make factual determinations and take any action necessary for the administration of the Plan. The Secretary or Assistant Secretary may delegate administrative duties and consult with advisors as needed. The Secretary or Assistant Secretary may establish separate sub-accounts for deferrals made in respect of different Plan years and may prescribe additional procedures for the administration of deferred Eligible Equity.</w:t>
      </w:r>
    </w:p>
    <w:p>
      <w:pPr>
        <w:pStyle w:val="TextBody"/>
        <w:bidi w:val="0"/>
        <w:spacing w:before="236" w:after="283"/>
        <w:jc w:val="both"/>
        <w:rPr>
          <w:rFonts w:ascii="Times New Roman" w:hAnsi="Times New Roman"/>
          <w:b/>
          <w:color w:val="131313"/>
          <w:sz w:val="22"/>
        </w:rPr>
      </w:pPr>
      <w:r>
        <w:rPr>
          <w:rFonts w:ascii="Times New Roman" w:hAnsi="Times New Roman"/>
          <w:b/>
          <w:color w:val="131313"/>
          <w:sz w:val="22"/>
        </w:rPr>
        <w:t>10.</w:t>
      </w:r>
    </w:p>
    <w:p>
      <w:pPr>
        <w:pStyle w:val="TextBody"/>
        <w:bidi w:val="0"/>
        <w:spacing w:before="236" w:after="283"/>
        <w:jc w:val="both"/>
        <w:rPr/>
      </w:pPr>
      <w:r>
        <w:rPr>
          <w:rFonts w:ascii="Times New Roman" w:hAnsi="Times New Roman"/>
          <w:b/>
          <w:color w:val="131313"/>
          <w:sz w:val="22"/>
          <w:u w:val="single"/>
        </w:rPr>
        <w:t>SETTLEMENT OF SHARE UNITS.</w:t>
      </w:r>
      <w:r>
        <w:rPr>
          <w:color w:val="131313"/>
        </w:rPr>
        <w:t xml:space="preserve"> </w:t>
      </w:r>
      <w:r>
        <w:rPr>
          <w:rFonts w:ascii="Times New Roman" w:hAnsi="Times New Roman"/>
          <w:color w:val="131313"/>
          <w:sz w:val="22"/>
        </w:rPr>
        <w:t>Share Units in Deferred Cash Accounts and Deferred Equity Accounts of all eligible directors, and, subject to Section 6(d) of the Plan, shall be issued from the Company’s Stock Plan, subject to adjustment as provided in herein.</w:t>
      </w:r>
    </w:p>
    <w:p>
      <w:pPr>
        <w:pStyle w:val="TextBody"/>
        <w:bidi w:val="0"/>
        <w:spacing w:before="230" w:after="283"/>
        <w:jc w:val="both"/>
        <w:rPr>
          <w:rFonts w:ascii="Times New Roman" w:hAnsi="Times New Roman"/>
          <w:b/>
          <w:color w:val="131313"/>
          <w:sz w:val="22"/>
        </w:rPr>
      </w:pPr>
      <w:r>
        <w:rPr>
          <w:rFonts w:ascii="Times New Roman" w:hAnsi="Times New Roman"/>
          <w:b/>
          <w:color w:val="131313"/>
          <w:sz w:val="22"/>
        </w:rPr>
        <w:t>11.</w:t>
      </w:r>
    </w:p>
    <w:p>
      <w:pPr>
        <w:pStyle w:val="TextBody"/>
        <w:bidi w:val="0"/>
        <w:spacing w:before="230" w:after="283"/>
        <w:jc w:val="both"/>
        <w:rPr/>
      </w:pPr>
      <w:r>
        <w:rPr>
          <w:rFonts w:ascii="Times New Roman" w:hAnsi="Times New Roman"/>
          <w:b/>
          <w:color w:val="131313"/>
          <w:sz w:val="22"/>
          <w:u w:val="single"/>
        </w:rPr>
        <w:t>CONDITIONS UPON ISSUANCE OF COMMON STOCK.</w:t>
      </w:r>
      <w:r>
        <w:rPr>
          <w:color w:val="131313"/>
        </w:rPr>
        <w:t xml:space="preserve"> </w:t>
      </w:r>
      <w:r>
        <w:rPr>
          <w:rFonts w:ascii="Times New Roman" w:hAnsi="Times New Roman"/>
          <w:color w:val="131313"/>
          <w:sz w:val="22"/>
        </w:rPr>
        <w:t>Shares shall not be issued pursuant to the Plan unless the issuance and delivery of such shares pursuant hereto shall comply with all relevant provisions of law,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7" w:after="283"/>
        <w:jc w:val="both"/>
        <w:rPr>
          <w:rFonts w:ascii="Times New Roman" w:hAnsi="Times New Roman"/>
          <w:b/>
          <w:color w:val="131313"/>
          <w:sz w:val="22"/>
        </w:rPr>
      </w:pPr>
      <w:r>
        <w:rPr>
          <w:rFonts w:ascii="Times New Roman" w:hAnsi="Times New Roman"/>
          <w:b/>
          <w:color w:val="131313"/>
          <w:sz w:val="22"/>
        </w:rPr>
        <w:t>12.</w:t>
      </w:r>
    </w:p>
    <w:p>
      <w:pPr>
        <w:pStyle w:val="TextBody"/>
        <w:bidi w:val="0"/>
        <w:spacing w:before="247" w:after="283"/>
        <w:jc w:val="both"/>
        <w:rPr/>
      </w:pPr>
      <w:r>
        <w:rPr>
          <w:rFonts w:ascii="Times New Roman" w:hAnsi="Times New Roman"/>
          <w:b/>
          <w:color w:val="131313"/>
          <w:sz w:val="22"/>
          <w:u w:val="single"/>
        </w:rPr>
        <w:t>AMENDMENT AND TERMINATION.</w:t>
      </w:r>
      <w:r>
        <w:rPr>
          <w:color w:val="131313"/>
        </w:rPr>
        <w:t xml:space="preserve"> </w:t>
      </w:r>
      <w:r>
        <w:rPr>
          <w:rFonts w:ascii="Times New Roman" w:hAnsi="Times New Roman"/>
          <w:color w:val="131313"/>
          <w:sz w:val="22"/>
        </w:rPr>
        <w:t xml:space="preserve">This Plan may be amended, modified or terminated at any time by either the Committee or the Board; </w:t>
      </w:r>
      <w:r>
        <w:rPr>
          <w:rFonts w:ascii="Times New Roman" w:hAnsi="Times New Roman"/>
          <w:i/>
          <w:color w:val="131313"/>
          <w:sz w:val="22"/>
        </w:rPr>
        <w:t xml:space="preserve">provided, however, </w:t>
      </w:r>
      <w:r>
        <w:rPr>
          <w:rFonts w:ascii="Times New Roman" w:hAnsi="Times New Roman"/>
          <w:color w:val="131313"/>
          <w:sz w:val="22"/>
        </w:rPr>
        <w:t>that no such amendment, modification or termination shall, without the consent of an Eligible Individual, adversely affect such Eligible Individual’s rights with respect to amounts theretofore accrued to the Eligible Individual’s Deferred Cash Account or Deferred Equity Account and any amendment or termination of the Plan shall be effected in accordance with the requirements of Section 409A of the Code.</w:t>
        <w:br/>
      </w:r>
      <w:r>
        <w:rPr>
          <w:color w:val="131313"/>
        </w:rPr>
        <w:t> </w:t>
      </w:r>
    </w:p>
    <w:p>
      <w:pPr>
        <w:pStyle w:val="TextBody"/>
        <w:bidi w:val="0"/>
        <w:spacing w:before="0" w:after="0"/>
        <w:jc w:val="both"/>
        <w:rPr>
          <w:rFonts w:ascii="Times New Roman" w:hAnsi="Times New Roman"/>
          <w:b/>
          <w:color w:val="131313"/>
          <w:sz w:val="22"/>
        </w:rPr>
      </w:pPr>
      <w:r>
        <w:rPr>
          <w:rFonts w:ascii="Times New Roman" w:hAnsi="Times New Roman"/>
          <w:b/>
          <w:color w:val="131313"/>
          <w:sz w:val="22"/>
        </w:rPr>
        <w:t>13.</w:t>
      </w:r>
    </w:p>
    <w:p>
      <w:pPr>
        <w:pStyle w:val="TextBody"/>
        <w:bidi w:val="0"/>
        <w:spacing w:before="0" w:after="0"/>
        <w:jc w:val="both"/>
        <w:rPr/>
      </w:pPr>
      <w:r>
        <w:rPr>
          <w:rFonts w:ascii="Times New Roman" w:hAnsi="Times New Roman"/>
          <w:b/>
          <w:color w:val="131313"/>
          <w:sz w:val="22"/>
          <w:u w:val="single"/>
        </w:rPr>
        <w:t>SECTION 409A OF THE CODE.</w:t>
      </w:r>
      <w:r>
        <w:rPr>
          <w:color w:val="111111"/>
        </w:rPr>
        <w:t xml:space="preserve"> </w:t>
      </w:r>
    </w:p>
    <w:p>
      <w:pPr>
        <w:pStyle w:val="TextBody"/>
        <w:bidi w:val="0"/>
        <w:spacing w:before="238" w:after="283"/>
        <w:jc w:val="both"/>
        <w:rPr>
          <w:rFonts w:ascii="Times New Roman" w:hAnsi="Times New Roman"/>
          <w:color w:val="111111"/>
          <w:sz w:val="22"/>
        </w:rPr>
      </w:pPr>
      <w:r>
        <w:rPr>
          <w:rFonts w:ascii="Times New Roman" w:hAnsi="Times New Roman"/>
          <w:color w:val="111111"/>
          <w:sz w:val="22"/>
        </w:rPr>
        <w:t>(a)</w:t>
      </w:r>
    </w:p>
    <w:p>
      <w:pPr>
        <w:pStyle w:val="TextBody"/>
        <w:bidi w:val="0"/>
        <w:spacing w:before="238" w:after="283"/>
        <w:jc w:val="both"/>
        <w:rPr>
          <w:rFonts w:ascii="Times New Roman" w:hAnsi="Times New Roman"/>
          <w:color w:val="111111"/>
          <w:sz w:val="22"/>
        </w:rPr>
      </w:pPr>
      <w:r>
        <w:rPr>
          <w:rFonts w:ascii="Times New Roman" w:hAnsi="Times New Roman"/>
          <w:color w:val="111111"/>
          <w:sz w:val="22"/>
        </w:rPr>
        <w:t>The terms and conditions of the Plan are intended to comply (and shall be interpreted in accordance) with Section 409A of the Code and the regulations thereunder.</w:t>
      </w:r>
    </w:p>
    <w:p>
      <w:pPr>
        <w:pStyle w:val="TextBody"/>
        <w:bidi w:val="0"/>
        <w:spacing w:before="242" w:after="283"/>
        <w:jc w:val="both"/>
        <w:rPr>
          <w:rFonts w:ascii="Times New Roman" w:hAnsi="Times New Roman"/>
          <w:color w:val="111111"/>
          <w:sz w:val="22"/>
        </w:rPr>
      </w:pPr>
      <w:r>
        <w:rPr>
          <w:rFonts w:ascii="Times New Roman" w:hAnsi="Times New Roman"/>
          <w:color w:val="111111"/>
          <w:sz w:val="22"/>
        </w:rPr>
        <w:t>(b)</w:t>
      </w:r>
    </w:p>
    <w:p>
      <w:pPr>
        <w:pStyle w:val="TextBody"/>
        <w:bidi w:val="0"/>
        <w:spacing w:before="242" w:after="283"/>
        <w:jc w:val="both"/>
        <w:rPr>
          <w:rFonts w:ascii="Times New Roman" w:hAnsi="Times New Roman"/>
          <w:color w:val="111111"/>
          <w:sz w:val="22"/>
        </w:rPr>
      </w:pPr>
      <w:r>
        <w:rPr>
          <w:rFonts w:ascii="Times New Roman" w:hAnsi="Times New Roman"/>
          <w:color w:val="111111"/>
          <w:sz w:val="22"/>
        </w:rPr>
        <w:t>For purposes of this Plan, “Separation from Service” shall mean a “separation from service,” as defined in Section 409A of the Code.</w:t>
      </w:r>
    </w:p>
    <w:p>
      <w:pPr>
        <w:pStyle w:val="TextBody"/>
        <w:bidi w:val="0"/>
        <w:spacing w:before="242" w:after="283"/>
        <w:jc w:val="both"/>
        <w:rPr>
          <w:rFonts w:ascii="Times New Roman" w:hAnsi="Times New Roman"/>
          <w:color w:val="111111"/>
          <w:sz w:val="22"/>
        </w:rPr>
      </w:pPr>
      <w:r>
        <w:rPr>
          <w:rFonts w:ascii="Times New Roman" w:hAnsi="Times New Roman"/>
          <w:color w:val="111111"/>
          <w:sz w:val="22"/>
        </w:rPr>
        <w:t>(c)</w:t>
      </w:r>
    </w:p>
    <w:p>
      <w:pPr>
        <w:pStyle w:val="TextBody"/>
        <w:bidi w:val="0"/>
        <w:spacing w:before="242" w:after="283"/>
        <w:jc w:val="both"/>
        <w:rPr>
          <w:rFonts w:ascii="Times New Roman" w:hAnsi="Times New Roman"/>
          <w:color w:val="111111"/>
          <w:sz w:val="22"/>
        </w:rPr>
      </w:pPr>
      <w:r>
        <w:rPr>
          <w:rFonts w:ascii="Times New Roman" w:hAnsi="Times New Roman"/>
          <w:color w:val="111111"/>
          <w:sz w:val="22"/>
        </w:rPr>
        <w:t>No action shall be taken under the Plan that will cause any Deferred Cash Account or Deferred Equity Account to fail to comply in any respect with Section 409A of the Code without the written consent of the Eligible Individual.</w:t>
      </w:r>
    </w:p>
    <w:p>
      <w:pPr>
        <w:pStyle w:val="TextBody"/>
        <w:bidi w:val="0"/>
        <w:spacing w:before="252" w:after="283"/>
        <w:jc w:val="both"/>
        <w:rPr>
          <w:rFonts w:ascii="Times New Roman" w:hAnsi="Times New Roman"/>
          <w:color w:val="111111"/>
          <w:sz w:val="22"/>
        </w:rPr>
      </w:pPr>
      <w:r>
        <w:rPr>
          <w:rFonts w:ascii="Times New Roman" w:hAnsi="Times New Roman"/>
          <w:color w:val="111111"/>
          <w:sz w:val="22"/>
        </w:rPr>
        <w:t>(d)</w:t>
      </w:r>
    </w:p>
    <w:p>
      <w:pPr>
        <w:pStyle w:val="TextBody"/>
        <w:bidi w:val="0"/>
        <w:spacing w:before="252" w:after="283"/>
        <w:jc w:val="both"/>
        <w:rPr>
          <w:rFonts w:ascii="Times New Roman" w:hAnsi="Times New Roman"/>
          <w:color w:val="111111"/>
          <w:sz w:val="22"/>
        </w:rPr>
      </w:pPr>
      <w:r>
        <w:rPr>
          <w:rFonts w:ascii="Times New Roman" w:hAnsi="Times New Roman"/>
          <w:color w:val="111111"/>
          <w:sz w:val="22"/>
        </w:rPr>
        <w:t>Any adjustments to Share Units, Deferred Equity Units and/or cash payments made pursuant to paragraph 6(c) shall be made (i) in compliance with the requirements of Section 409A of the Code and (ii) in such a manner as to ensure that after such adjustment and/or cash payment the Share Units, Deferred Equity Units and Deferred Fees comply with the requirements of Section 409A of the Code.</w:t>
      </w:r>
    </w:p>
    <w:p>
      <w:pPr>
        <w:pStyle w:val="TextBody"/>
        <w:bidi w:val="0"/>
        <w:spacing w:before="252" w:after="283"/>
        <w:jc w:val="both"/>
        <w:rPr>
          <w:rFonts w:ascii="Times New Roman" w:hAnsi="Times New Roman"/>
          <w:color w:val="111111"/>
          <w:sz w:val="22"/>
        </w:rPr>
      </w:pPr>
      <w:r>
        <w:rPr>
          <w:rFonts w:ascii="Times New Roman" w:hAnsi="Times New Roman"/>
          <w:color w:val="111111"/>
          <w:sz w:val="22"/>
        </w:rPr>
        <w:t>(e)</w:t>
      </w:r>
    </w:p>
    <w:p>
      <w:pPr>
        <w:pStyle w:val="TextBody"/>
        <w:bidi w:val="0"/>
        <w:spacing w:before="252" w:after="283"/>
        <w:jc w:val="both"/>
        <w:rPr>
          <w:rFonts w:ascii="Times New Roman" w:hAnsi="Times New Roman"/>
          <w:color w:val="111111"/>
          <w:sz w:val="22"/>
        </w:rPr>
      </w:pPr>
      <w:r>
        <w:rPr>
          <w:rFonts w:ascii="Times New Roman" w:hAnsi="Times New Roman"/>
          <w:color w:val="111111"/>
          <w:sz w:val="22"/>
        </w:rPr>
        <w:t>Notwithstanding any other provision of this Plan to the contrary, if the Eligible Individual is a Specified Employee at the time of his or her Separation from Service, any payment to be made to an Eligible Individual upon his or her Separation from Service shall be delayed until the earlier of (i) first day of the seventh month following his or her Separation from Service or (ii) the Eligible Individual’s death. For purposes of this Plan, “Specified Employee” shall mean any Eligible Individual who is a “key employee” (as defined in Section 416(i) of the Code without regard to paragraph (5) thereof), as determined by the Company in accordance with its uniform policy with respect to all arrangements subject to Section 409A of the Code, based upon the twelve (12) month period ending on each December 31st. All Eligible Individuals who are determined to be key employees under Section 416(i)(l)(A)(i), (ii) or (iii) (without regard to paragraph (5) thereof) of the Code on December 31st shall be treated as Specified Employees for purposes of the Plan during the twelve(12) month period that begins on the following April 1st.</w:t>
      </w:r>
    </w:p>
    <w:p>
      <w:pPr>
        <w:pStyle w:val="TextBody"/>
        <w:bidi w:val="0"/>
        <w:spacing w:before="252" w:after="283"/>
        <w:jc w:val="both"/>
        <w:rPr>
          <w:rFonts w:ascii="Times New Roman" w:hAnsi="Times New Roman"/>
          <w:color w:val="111111"/>
          <w:sz w:val="22"/>
        </w:rPr>
      </w:pPr>
      <w:r>
        <w:rPr>
          <w:rFonts w:ascii="Times New Roman" w:hAnsi="Times New Roman"/>
          <w:color w:val="111111"/>
          <w:sz w:val="22"/>
        </w:rPr>
        <w:t>(f)</w:t>
      </w:r>
    </w:p>
    <w:p>
      <w:pPr>
        <w:pStyle w:val="TextBody"/>
        <w:bidi w:val="0"/>
        <w:spacing w:before="252" w:after="283"/>
        <w:jc w:val="both"/>
        <w:rPr>
          <w:rFonts w:ascii="Times New Roman" w:hAnsi="Times New Roman"/>
          <w:color w:val="111111"/>
          <w:sz w:val="22"/>
        </w:rPr>
      </w:pPr>
      <w:r>
        <w:rPr>
          <w:rFonts w:ascii="Times New Roman" w:hAnsi="Times New Roman"/>
          <w:color w:val="111111"/>
          <w:sz w:val="22"/>
        </w:rPr>
        <w:t>For purposes of this Plan, “Disability” shall mean a disability within the meaning of Section 409A of the Code.</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8" w:after="283"/>
        <w:jc w:val="center"/>
        <w:rPr>
          <w:rFonts w:ascii="Times New Roman" w:hAnsi="Times New Roman"/>
          <w:b/>
          <w:color w:val="111111"/>
          <w:sz w:val="22"/>
        </w:rPr>
      </w:pPr>
      <w:r>
        <w:rPr>
          <w:rFonts w:ascii="Times New Roman" w:hAnsi="Times New Roman"/>
          <w:b/>
          <w:color w:val="111111"/>
          <w:sz w:val="22"/>
        </w:rPr>
        <w:t>TRIPADVISOR, INC.</w:t>
      </w:r>
    </w:p>
    <w:p>
      <w:pPr>
        <w:pStyle w:val="TextBody"/>
        <w:bidi w:val="0"/>
        <w:spacing w:before="9" w:after="283"/>
        <w:jc w:val="center"/>
        <w:rPr>
          <w:rFonts w:ascii="Times New Roman" w:hAnsi="Times New Roman"/>
          <w:b/>
          <w:color w:val="111111"/>
          <w:sz w:val="22"/>
        </w:rPr>
      </w:pPr>
      <w:r>
        <w:rPr>
          <w:rFonts w:ascii="Times New Roman" w:hAnsi="Times New Roman"/>
          <w:b/>
          <w:color w:val="111111"/>
          <w:sz w:val="22"/>
        </w:rPr>
        <w:t>NON-EMPLOYEE DIRECTOR DEFERRED COMPENSATION PLAN ELECTION</w:t>
      </w:r>
    </w:p>
    <w:p>
      <w:pPr>
        <w:pStyle w:val="TextBody"/>
        <w:bidi w:val="0"/>
        <w:spacing w:before="3" w:after="283"/>
        <w:jc w:val="both"/>
        <w:rPr/>
      </w:pPr>
      <w:r>
        <w:rPr/>
        <w:t> </w:t>
      </w:r>
    </w:p>
    <w:p>
      <w:pPr>
        <w:pStyle w:val="TextBody"/>
        <w:bidi w:val="0"/>
        <w:spacing w:before="3" w:after="283"/>
        <w:jc w:val="both"/>
        <w:rPr>
          <w:rFonts w:ascii="Times New Roman" w:hAnsi="Times New Roman"/>
          <w:color w:val="000000"/>
          <w:sz w:val="22"/>
        </w:rPr>
      </w:pPr>
      <w:r>
        <w:rPr>
          <w:rFonts w:ascii="Times New Roman" w:hAnsi="Times New Roman"/>
          <w:color w:val="000000"/>
          <w:sz w:val="22"/>
        </w:rPr>
        <w:t>Capitalized terms used in this Election Form shall have the meaning set forth in the Deferred Compensation Plan for Non-Employee Directors. Pursuant to this Plan, as an Eligible Individual, the undersigned hereby elects to make the following elections regarding the deferral of Eligible Fees:</w:t>
      </w:r>
    </w:p>
    <w:p>
      <w:pPr>
        <w:pStyle w:val="TextBody"/>
        <w:bidi w:val="0"/>
        <w:spacing w:before="3" w:after="283"/>
        <w:jc w:val="both"/>
        <w:rPr/>
      </w:pPr>
      <w:r>
        <w:rPr/>
        <w:t> </w:t>
      </w:r>
    </w:p>
    <w:p>
      <w:pPr>
        <w:pStyle w:val="TextBody"/>
        <w:bidi w:val="0"/>
        <w:jc w:val="both"/>
        <w:rPr>
          <w:rFonts w:ascii="Times New Roman" w:hAnsi="Times New Roman"/>
          <w:sz w:val="20"/>
        </w:rPr>
      </w:pPr>
      <w:r>
        <w:rPr>
          <w:rFonts w:ascii="Times New Roman" w:hAnsi="Times New Roman"/>
          <w:b/>
          <w:color w:val="111111"/>
          <w:sz w:val="22"/>
          <w:u w:val="single"/>
        </w:rPr>
        <w:t>Cash Awards</w:t>
      </w:r>
      <w:r>
        <w:rPr>
          <w:rFonts w:ascii="Times New Roman" w:hAnsi="Times New Roman"/>
          <w:color w:val="111111"/>
          <w:sz w:val="20"/>
        </w:rPr>
        <w:t xml:space="preserve"> </w:t>
      </w:r>
      <w:r>
        <w:rPr>
          <w:rFonts w:ascii="Times New Roman" w:hAnsi="Times New Roman"/>
          <w:b/>
          <w:color w:val="111111"/>
          <w:sz w:val="22"/>
        </w:rPr>
        <w:t xml:space="preserve">- </w:t>
      </w:r>
      <w:r>
        <w:rPr>
          <w:rFonts w:ascii="Times New Roman" w:hAnsi="Times New Roman"/>
          <w:b/>
          <w:color w:val="111111"/>
          <w:sz w:val="22"/>
          <w:u w:val="single"/>
        </w:rPr>
        <w:t>____________</w:t>
      </w:r>
      <w:r>
        <w:rPr>
          <w:rFonts w:ascii="Times New Roman" w:hAnsi="Times New Roman"/>
          <w:color w:val="111111"/>
          <w:sz w:val="20"/>
        </w:rPr>
        <w:t xml:space="preserve"> </w:t>
      </w:r>
      <w:r>
        <w:rPr>
          <w:rFonts w:ascii="Times New Roman" w:hAnsi="Times New Roman"/>
          <w:b/>
          <w:color w:val="111111"/>
          <w:sz w:val="22"/>
        </w:rPr>
        <w:t>(check box, if applicable)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111111"/>
          <w:sz w:val="22"/>
        </w:rPr>
        <w:t xml:space="preserve">Pursuant to Section 4 of the Deferred Compensation Plan for Non-Employee Directors (the “Plan”), the undersigned hereby elects to defer </w:t>
      </w:r>
      <w:r>
        <w:rPr>
          <w:rFonts w:ascii="Times New Roman" w:hAnsi="Times New Roman"/>
          <w:color w:val="484848"/>
          <w:sz w:val="22"/>
        </w:rPr>
        <w:t>________</w:t>
      </w:r>
      <w:r>
        <w:rPr>
          <w:rFonts w:ascii="Times New Roman" w:hAnsi="Times New Roman"/>
          <w:color w:val="111111"/>
          <w:sz w:val="20"/>
        </w:rPr>
        <w:t xml:space="preserve"> </w:t>
      </w:r>
      <w:r>
        <w:rPr>
          <w:rFonts w:ascii="Times New Roman" w:hAnsi="Times New Roman"/>
          <w:color w:val="484848"/>
          <w:sz w:val="22"/>
        </w:rPr>
        <w:t>%</w:t>
      </w:r>
      <w:r>
        <w:rPr>
          <w:rFonts w:ascii="Times New Roman" w:hAnsi="Times New Roman"/>
          <w:color w:val="111111"/>
          <w:sz w:val="20"/>
        </w:rPr>
        <w:t xml:space="preserve"> </w:t>
      </w:r>
      <w:r>
        <w:rPr>
          <w:rFonts w:ascii="Times New Roman" w:hAnsi="Times New Roman"/>
          <w:color w:val="111111"/>
          <w:sz w:val="22"/>
        </w:rPr>
        <w:t>of all future payments with respect to the annual cash retainer fees for service on the Board of Directors of the Company and committees thereof in accordance with the terms of the Plan.</w:t>
      </w:r>
      <w:r>
        <w:rPr>
          <w:rFonts w:ascii="Times New Roman" w:hAnsi="Times New Roman"/>
          <w:color w:val="111111"/>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111111"/>
          <w:sz w:val="22"/>
        </w:rPr>
        <w:t>Of such amount,</w:t>
      </w:r>
      <w:r>
        <w:rPr>
          <w:rFonts w:ascii="Times New Roman" w:hAnsi="Times New Roman"/>
          <w:color w:val="484848"/>
          <w:sz w:val="20"/>
        </w:rPr>
        <w:t xml:space="preserve"> </w:t>
      </w:r>
      <w:r>
        <w:rPr>
          <w:rFonts w:ascii="Times New Roman" w:hAnsi="Times New Roman"/>
          <w:color w:val="484848"/>
          <w:sz w:val="22"/>
        </w:rPr>
        <w:t xml:space="preserve">________ </w:t>
      </w:r>
      <w:r>
        <w:rPr>
          <w:rFonts w:ascii="Times New Roman" w:hAnsi="Times New Roman"/>
          <w:color w:val="111111"/>
          <w:sz w:val="22"/>
        </w:rPr>
        <w:t>% shall be deferred to Share Units representing shares of Common Stock and</w:t>
      </w:r>
      <w:r>
        <w:rPr>
          <w:rFonts w:ascii="Times New Roman" w:hAnsi="Times New Roman"/>
          <w:color w:val="484848"/>
          <w:sz w:val="20"/>
        </w:rPr>
        <w:t xml:space="preserve"> </w:t>
      </w:r>
      <w:r>
        <w:rPr>
          <w:rFonts w:ascii="Times New Roman" w:hAnsi="Times New Roman"/>
          <w:color w:val="484848"/>
          <w:sz w:val="22"/>
        </w:rPr>
        <w:t xml:space="preserve">________ </w:t>
      </w:r>
      <w:r>
        <w:rPr>
          <w:rFonts w:ascii="Times New Roman" w:hAnsi="Times New Roman"/>
          <w:color w:val="111111"/>
          <w:sz w:val="22"/>
        </w:rPr>
        <w:t>% shall be deferred to the Cash Fund.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111111"/>
          <w:sz w:val="22"/>
          <w:u w:val="single"/>
        </w:rPr>
        <w:t xml:space="preserve">Eligible Equity </w:t>
      </w:r>
      <w:r>
        <w:rPr>
          <w:rFonts w:ascii="Times New Roman" w:hAnsi="Times New Roman"/>
          <w:b/>
          <w:color w:val="111111"/>
          <w:sz w:val="22"/>
        </w:rPr>
        <w:t xml:space="preserve">- </w:t>
      </w:r>
      <w:r>
        <w:rPr>
          <w:rFonts w:ascii="Times New Roman" w:hAnsi="Times New Roman"/>
          <w:b/>
          <w:color w:val="111111"/>
          <w:sz w:val="22"/>
          <w:u w:val="single"/>
        </w:rPr>
        <w:t>____________</w:t>
      </w:r>
      <w:r>
        <w:rPr>
          <w:rFonts w:ascii="Times New Roman" w:hAnsi="Times New Roman"/>
          <w:color w:val="111111"/>
          <w:sz w:val="20"/>
        </w:rPr>
        <w:t xml:space="preserve"> </w:t>
      </w:r>
      <w:r>
        <w:rPr>
          <w:rFonts w:ascii="Times New Roman" w:hAnsi="Times New Roman"/>
          <w:b/>
          <w:color w:val="111111"/>
          <w:sz w:val="22"/>
        </w:rPr>
        <w:t>(check box, if applicable)</w:t>
      </w:r>
    </w:p>
    <w:p>
      <w:pPr>
        <w:pStyle w:val="TextBody"/>
        <w:bidi w:val="0"/>
        <w:jc w:val="both"/>
        <w:rPr/>
      </w:pPr>
      <w:r>
        <w:rPr/>
        <w:t> </w:t>
      </w:r>
    </w:p>
    <w:p>
      <w:pPr>
        <w:pStyle w:val="TextBody"/>
        <w:bidi w:val="0"/>
        <w:jc w:val="both"/>
        <w:rPr>
          <w:rFonts w:ascii="Times New Roman" w:hAnsi="Times New Roman"/>
          <w:color w:val="111111"/>
          <w:sz w:val="22"/>
        </w:rPr>
      </w:pPr>
      <w:r>
        <w:rPr>
          <w:rFonts w:ascii="Times New Roman" w:hAnsi="Times New Roman"/>
          <w:color w:val="111111"/>
          <w:sz w:val="22"/>
        </w:rPr>
        <w:t>Pursuant to Section 4 of the Plan, the undersigned hereby elects to defer 100% of any Eligible Equity granted in the form of RSUs for service on the Board of Directors of the Company. Deferred Equity will be credited on the Grant Date to a Deferred Equity Account in the form of Share Units.</w:t>
      </w:r>
    </w:p>
    <w:p>
      <w:pPr>
        <w:pStyle w:val="TextBody"/>
        <w:bidi w:val="0"/>
        <w:spacing w:before="1" w:after="283"/>
        <w:jc w:val="both"/>
        <w:rPr/>
      </w:pPr>
      <w:r>
        <w:rPr/>
        <w:t> </w:t>
      </w:r>
    </w:p>
    <w:p>
      <w:pPr>
        <w:pStyle w:val="TextBody"/>
        <w:bidi w:val="0"/>
        <w:jc w:val="both"/>
        <w:rPr>
          <w:rFonts w:ascii="Times New Roman" w:hAnsi="Times New Roman"/>
          <w:color w:val="111111"/>
          <w:sz w:val="22"/>
        </w:rPr>
      </w:pPr>
      <w:r>
        <w:rPr>
          <w:rFonts w:ascii="Times New Roman" w:hAnsi="Times New Roman"/>
          <w:color w:val="111111"/>
          <w:sz w:val="22"/>
        </w:rPr>
        <w:t>The foregoing election(s) will apply only to Eligible Fees earned for services performed after December 31st, and the election will remain in effect until the end of the calendar year during which you give the Secretary or Assistant Secretary written notice of its discontinuance or modification.</w:t>
      </w:r>
    </w:p>
    <w:p>
      <w:pPr>
        <w:pStyle w:val="TextBody"/>
        <w:bidi w:val="0"/>
        <w:spacing w:before="242" w:after="283"/>
        <w:jc w:val="both"/>
        <w:rPr>
          <w:rFonts w:ascii="Times New Roman" w:hAnsi="Times New Roman"/>
          <w:sz w:val="20"/>
        </w:rPr>
      </w:pPr>
      <w:r>
        <w:rPr>
          <w:rFonts w:ascii="Times New Roman" w:hAnsi="Times New Roman"/>
          <w:color w:val="111111"/>
          <w:sz w:val="22"/>
        </w:rPr>
        <w:t xml:space="preserve">Except as otherwise provided by the Plan, the compensation deferred pursuant to this election </w:t>
      </w:r>
      <w:r>
        <w:rPr>
          <w:rFonts w:ascii="Times New Roman" w:hAnsi="Times New Roman"/>
          <w:b/>
          <w:i/>
          <w:color w:val="111111"/>
          <w:sz w:val="22"/>
          <w:u w:val="single"/>
        </w:rPr>
        <w:t>and any subsequent election</w:t>
      </w:r>
      <w:r>
        <w:rPr>
          <w:rFonts w:ascii="Times New Roman" w:hAnsi="Times New Roman"/>
          <w:color w:val="111111"/>
          <w:sz w:val="20"/>
        </w:rPr>
        <w:t xml:space="preserve"> </w:t>
      </w:r>
      <w:r>
        <w:rPr>
          <w:rFonts w:ascii="Times New Roman" w:hAnsi="Times New Roman"/>
          <w:color w:val="111111"/>
          <w:sz w:val="22"/>
        </w:rPr>
        <w:t>is to be paid to the undersigned in a single lump-sum payment in cash or shares of Common Stock, as the case may be, to be paid on January 15th of the year following the year in which the undersigned’s Separation from Service occurs.</w:t>
      </w:r>
    </w:p>
    <w:p>
      <w:pPr>
        <w:pStyle w:val="TextBody"/>
        <w:bidi w:val="0"/>
        <w:spacing w:before="14" w:after="283"/>
        <w:jc w:val="both"/>
        <w:rPr/>
      </w:pPr>
      <w:r>
        <w:rPr/>
        <w:t> </w:t>
      </w:r>
    </w:p>
    <w:p>
      <w:pPr>
        <w:pStyle w:val="TextBody"/>
        <w:bidi w:val="0"/>
        <w:jc w:val="both"/>
        <w:rPr>
          <w:rFonts w:ascii="Times New Roman" w:hAnsi="Times New Roman"/>
          <w:sz w:val="20"/>
        </w:rPr>
      </w:pPr>
      <w:r>
        <w:rPr>
          <w:rFonts w:ascii="Times New Roman" w:hAnsi="Times New Roman"/>
          <w:b/>
          <w:color w:val="111111"/>
          <w:sz w:val="22"/>
        </w:rPr>
        <w:t>It</w:t>
      </w:r>
      <w:r>
        <w:rPr>
          <w:rFonts w:ascii="Times New Roman" w:hAnsi="Times New Roman"/>
          <w:color w:val="111111"/>
          <w:sz w:val="20"/>
        </w:rPr>
        <w:t xml:space="preserve"> </w:t>
      </w:r>
      <w:r>
        <w:rPr>
          <w:rFonts w:ascii="Times New Roman" w:hAnsi="Times New Roman"/>
          <w:b/>
          <w:color w:val="111111"/>
          <w:sz w:val="22"/>
        </w:rPr>
        <w:t>is understood that this election must be submitted to the Secretary of the Company by December 31st each year, for directors to begin deferrals for payments otherwise to be received beginning in the next calendar year.</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By checking the Eligible Equity box above, you acknowledge your choice to receive your future equity compensation in the form of RSUs subject to the deferral rules of this Plan. If you wish to receive your equity compensation in the form of Restricted Shares (and potentially utilize an IRC Section 83(b) tax election), you may not check the equity deferral box above.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undersigned hereby acknowledges that this election is subject to the terms of the Plan.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 ______________________</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Name: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Received on behalf of Tripadvisor, Inc.:</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 ______________________</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Name: </w:t>
      </w:r>
    </w:p>
    <w:p>
      <w:pPr>
        <w:pStyle w:val="TextBody"/>
        <w:bidi w:val="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u w:val="single"/>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1" w:name="trip-ex31_1.htm"/>
      <w:bookmarkStart w:id="22" w:name="kstripex31_1"/>
      <w:bookmarkEnd w:id="21"/>
      <w:bookmarkEnd w:id="22"/>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Matt Goldberg, Chief Executive Officer of Tripadvisor, Inc.,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period ended June 30, 2026 of Tripadvisor,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229" w:type="dxa"/>
        <w:jc w:val="left"/>
        <w:tblInd w:w="0" w:type="dxa"/>
        <w:tblLayout w:type="fixed"/>
        <w:tblCellMar>
          <w:top w:w="28" w:type="dxa"/>
          <w:left w:w="28" w:type="dxa"/>
          <w:bottom w:w="28" w:type="dxa"/>
          <w:right w:w="28" w:type="dxa"/>
        </w:tblCellMar>
      </w:tblPr>
      <w:tblGrid>
        <w:gridCol w:w="1846"/>
        <w:gridCol w:w="109"/>
        <w:gridCol w:w="109"/>
        <w:gridCol w:w="109"/>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 GOLDBERG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 Goldberg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trip-ex31_2.htm"/>
      <w:bookmarkStart w:id="24" w:name="kstripex31_2"/>
      <w:bookmarkEnd w:id="23"/>
      <w:bookmarkEnd w:id="24"/>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Noonan, Chief Financial Officer of Tripadvisor, Inc.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period ended June 30, 2026 of Tripadvisor,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304" w:type="dxa"/>
        <w:jc w:val="left"/>
        <w:tblInd w:w="0" w:type="dxa"/>
        <w:tblLayout w:type="fixed"/>
        <w:tblCellMar>
          <w:top w:w="28" w:type="dxa"/>
          <w:left w:w="28" w:type="dxa"/>
          <w:bottom w:w="28" w:type="dxa"/>
          <w:right w:w="28" w:type="dxa"/>
        </w:tblCellMar>
      </w:tblPr>
      <w:tblGrid>
        <w:gridCol w:w="1846"/>
        <w:gridCol w:w="109"/>
        <w:gridCol w:w="109"/>
        <w:gridCol w:w="109"/>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NOONAN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Noonan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trip-ex32_1.htm"/>
      <w:bookmarkStart w:id="26" w:name="kstripex32_1"/>
      <w:bookmarkEnd w:id="25"/>
      <w:bookmarkEnd w:id="26"/>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Tripadvisor, Inc. (the “Company”) for the quarter ended June 30, 2026, as filed with the Securities and Exchange Commission on the date hereof (the “Report”), I, Matt Goldberg, Chief Executive Officer of the Company, certify, pursuant to Section 906 of the Sarbanes-Oxley Act of 2002, 18 U.S.C. Section 1350,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which this statement accompanies fully complies with the requirements of Section 13(a) or 15(d)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4229" w:type="dxa"/>
        <w:jc w:val="left"/>
        <w:tblInd w:w="0" w:type="dxa"/>
        <w:tblLayout w:type="fixed"/>
        <w:tblCellMar>
          <w:top w:w="28" w:type="dxa"/>
          <w:left w:w="28" w:type="dxa"/>
          <w:bottom w:w="28" w:type="dxa"/>
          <w:right w:w="28" w:type="dxa"/>
        </w:tblCellMar>
      </w:tblPr>
      <w:tblGrid>
        <w:gridCol w:w="1846"/>
        <w:gridCol w:w="109"/>
        <w:gridCol w:w="109"/>
        <w:gridCol w:w="109"/>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 GOLDBERG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 Goldberg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7" w:name="trip-ex32_2.htm"/>
      <w:bookmarkStart w:id="28" w:name="kstripex32_2"/>
      <w:bookmarkEnd w:id="27"/>
      <w:bookmarkEnd w:id="28"/>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Tripadvisor, Inc. (the “Company”) for the quarter ended June 30, 2026, as filed with the Securities and Exchange Commission on the date hereof (the “Report”), I, Michael Noonan, Chief Financial Officer of the Company, certify, pursuant to Section 906 of the Sarbanes-Oxley Act of 2002, 18 U.S.C. Section 1350,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which this statement accompanies fully complies with the requirements of Section 13(a) or 15(d)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4304" w:type="dxa"/>
        <w:jc w:val="left"/>
        <w:tblInd w:w="0" w:type="dxa"/>
        <w:tblLayout w:type="fixed"/>
        <w:tblCellMar>
          <w:top w:w="28" w:type="dxa"/>
          <w:left w:w="28" w:type="dxa"/>
          <w:bottom w:w="28" w:type="dxa"/>
          <w:right w:w="28" w:type="dxa"/>
        </w:tblCellMar>
      </w:tblPr>
      <w:tblGrid>
        <w:gridCol w:w="1846"/>
        <w:gridCol w:w="109"/>
        <w:gridCol w:w="109"/>
        <w:gridCol w:w="109"/>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NOONAN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Noonan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6520/000110465925041251/tm2513424d1_ex2-2.htm" TargetMode="External"/><Relationship Id="rId3" Type="http://schemas.openxmlformats.org/officeDocument/2006/relationships/hyperlink" Target="https://www.sec.gov/Archives/edgar/data/1526520/000110465925041251/tm2513424d1_ex3-1.htm" TargetMode="External"/><Relationship Id="rId4" Type="http://schemas.openxmlformats.org/officeDocument/2006/relationships/hyperlink" Target="https://www.sec.gov/Archives/edgar/data/1526520/000110465925041251/tm2513424d1_ex3-2.htm" TargetMode="External"/><Relationship Id="rId5" Type="http://schemas.openxmlformats.org/officeDocument/2006/relationships/hyperlink" Target="https://www.sec.gov/Archives/edgar/data/1526520/000119312526270351/d156418d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31170</Words>
  <Characters>169116</Characters>
  <CharactersWithSpaces>203380</CharactersWithSpaces>
  <Paragraphs>10564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