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TRIPADVISOR,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001-35362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80-0743202</w:t>
      </w:r>
    </w:p>
    <w:p>
      <w:pPr>
        <w:spacing w:after="0" w:line="23"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400 1st Avenue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Needham, MA 02494</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(781) 800-5000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TRIP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annual meeting of stockholders of Tripadvisor, Inc., a Nevada corporation (the “Company”), was held on June 29, 2026 (the “Annual Meeting”). According to the inspector of elections, the stockholders present by proxy represented 89,378,900 shares of common stock, entitled to one vote per share. The number of votes cast for, against or withheld, as well as the number of abstentions and broker non-votes with respect to each proposal voted upon at the Annual Meeting are set forth below.</w:t>
      </w:r>
    </w:p>
    <w:p>
      <w:pPr>
        <w:spacing w:after="0" w:line="176" w:lineRule="exact"/>
        <w:rPr>
          <w:sz w:val="20"/>
          <w:szCs w:val="20"/>
          <w:color w:val="auto"/>
        </w:rPr>
      </w:pPr>
    </w:p>
    <w:p>
      <w:pPr>
        <w:jc w:val="both"/>
        <w:ind w:right="2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Proposal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Election of Directors. </w:t>
      </w:r>
      <w:r>
        <w:rPr>
          <w:rFonts w:ascii="Times New Roman" w:cs="Times New Roman" w:eastAsia="Times New Roman" w:hAnsi="Times New Roman"/>
          <w:sz w:val="18"/>
          <w:szCs w:val="18"/>
          <w:color w:val="auto"/>
        </w:rPr>
        <w:t>The stockholders voted on the election of ten directors of the Company, each to serve for a one-year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date of his or her election and until such director’s successor is elected or until such director’s earlier resignation or removal. Stockholders voted as follows:</w:t>
      </w:r>
    </w:p>
    <w:p>
      <w:pPr>
        <w:spacing w:after="0" w:line="195"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80" w:type="dxa"/>
            <w:vAlign w:val="bottom"/>
          </w:tcPr>
          <w:p>
            <w:pPr>
              <w:spacing w:after="0"/>
              <w:rPr>
                <w:sz w:val="16"/>
                <w:szCs w:val="16"/>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56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Laura</w:t>
            </w:r>
          </w:p>
        </w:tc>
        <w:tc>
          <w:tcPr>
            <w:tcW w:w="3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Bisesto</w:t>
            </w:r>
          </w:p>
        </w:tc>
        <w:tc>
          <w:tcPr>
            <w:tcW w:w="1680" w:type="dxa"/>
            <w:vAlign w:val="bottom"/>
            <w:tcBorders>
              <w:top w:val="single" w:sz="8" w:color="auto"/>
              <w:bottom w:val="single" w:sz="8" w:color="auto"/>
            </w:tcBorders>
          </w:tcPr>
          <w:p>
            <w:pPr>
              <w:ind w:left="60"/>
              <w:spacing w:after="0" w:line="203" w:lineRule="exact"/>
              <w:rPr>
                <w:sz w:val="20"/>
                <w:szCs w:val="20"/>
                <w:color w:val="auto"/>
              </w:rPr>
            </w:pPr>
            <w:r>
              <w:rPr>
                <w:rFonts w:ascii="Times New Roman" w:cs="Times New Roman" w:eastAsia="Times New Roman" w:hAnsi="Times New Roman"/>
                <w:sz w:val="18"/>
                <w:szCs w:val="18"/>
                <w:color w:val="auto"/>
              </w:rPr>
              <w:t xml:space="preserve">      75,405,397    </w:t>
            </w:r>
          </w:p>
        </w:tc>
        <w:tc>
          <w:tcPr>
            <w:tcW w:w="180" w:type="dxa"/>
            <w:vAlign w:val="bottom"/>
          </w:tcPr>
          <w:p>
            <w:pPr>
              <w:spacing w:after="0"/>
              <w:rPr>
                <w:sz w:val="17"/>
                <w:szCs w:val="17"/>
                <w:color w:val="auto"/>
              </w:rPr>
            </w:pPr>
          </w:p>
        </w:tc>
        <w:tc>
          <w:tcPr>
            <w:tcW w:w="1440" w:type="dxa"/>
            <w:vAlign w:val="bottom"/>
            <w:tcBorders>
              <w:top w:val="single" w:sz="8" w:color="auto"/>
              <w:bottom w:val="single" w:sz="8" w:color="auto"/>
            </w:tcBorders>
          </w:tcPr>
          <w:p>
            <w:pPr>
              <w:ind w:left="60"/>
              <w:spacing w:after="0" w:line="203" w:lineRule="exact"/>
              <w:rPr>
                <w:sz w:val="20"/>
                <w:szCs w:val="20"/>
                <w:color w:val="auto"/>
              </w:rPr>
            </w:pPr>
            <w:r>
              <w:rPr>
                <w:rFonts w:ascii="Times New Roman" w:cs="Times New Roman" w:eastAsia="Times New Roman" w:hAnsi="Times New Roman"/>
                <w:sz w:val="18"/>
                <w:szCs w:val="18"/>
                <w:color w:val="auto"/>
              </w:rPr>
              <w:t xml:space="preserve">      442,813    </w:t>
            </w:r>
          </w:p>
        </w:tc>
        <w:tc>
          <w:tcPr>
            <w:tcW w:w="180" w:type="dxa"/>
            <w:vAlign w:val="bottom"/>
          </w:tcPr>
          <w:p>
            <w:pPr>
              <w:spacing w:after="0"/>
              <w:rPr>
                <w:sz w:val="17"/>
                <w:szCs w:val="17"/>
                <w:color w:val="auto"/>
              </w:rPr>
            </w:pPr>
          </w:p>
        </w:tc>
        <w:tc>
          <w:tcPr>
            <w:tcW w:w="1720" w:type="dxa"/>
            <w:vAlign w:val="bottom"/>
            <w:tcBorders>
              <w:top w:val="single" w:sz="8" w:color="auto"/>
              <w:bottom w:val="single" w:sz="8" w:color="auto"/>
            </w:tcBorders>
          </w:tcPr>
          <w:p>
            <w:pPr>
              <w:ind w:left="80"/>
              <w:spacing w:after="0" w:line="203" w:lineRule="exact"/>
              <w:rPr>
                <w:sz w:val="20"/>
                <w:szCs w:val="20"/>
                <w:color w:val="auto"/>
              </w:rPr>
            </w:pPr>
            <w:r>
              <w:rPr>
                <w:rFonts w:ascii="Times New Roman" w:cs="Times New Roman" w:eastAsia="Times New Roman" w:hAnsi="Times New Roman"/>
                <w:sz w:val="18"/>
                <w:szCs w:val="18"/>
                <w:color w:val="auto"/>
              </w:rPr>
              <w:t xml:space="preserve">      13,530,690    </w:t>
            </w: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Trynka Shineman Blake</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71,740,675</w:t>
            </w:r>
          </w:p>
        </w:tc>
        <w:tc>
          <w:tcPr>
            <w:tcW w:w="18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4,107,535</w:t>
            </w:r>
          </w:p>
        </w:tc>
        <w:tc>
          <w:tcPr>
            <w:tcW w:w="18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13,530,690</w:t>
            </w: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F. Cates</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75,442,302</w:t>
            </w:r>
          </w:p>
        </w:tc>
        <w:tc>
          <w:tcPr>
            <w:tcW w:w="18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405,908</w:t>
            </w:r>
          </w:p>
        </w:tc>
        <w:tc>
          <w:tcPr>
            <w:tcW w:w="18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13,530,690</w:t>
            </w: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Dichter</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75,198,312</w:t>
            </w:r>
          </w:p>
        </w:tc>
        <w:tc>
          <w:tcPr>
            <w:tcW w:w="18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649,898</w:t>
            </w:r>
          </w:p>
        </w:tc>
        <w:tc>
          <w:tcPr>
            <w:tcW w:w="18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13,530,690</w:t>
            </w: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Dhiren R. Fonseca</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75,080,905</w:t>
            </w:r>
          </w:p>
        </w:tc>
        <w:tc>
          <w:tcPr>
            <w:tcW w:w="18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767,305</w:t>
            </w:r>
          </w:p>
        </w:tc>
        <w:tc>
          <w:tcPr>
            <w:tcW w:w="18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13,530,690</w:t>
            </w: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Goldberg</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70,681,710</w:t>
            </w:r>
          </w:p>
        </w:tc>
        <w:tc>
          <w:tcPr>
            <w:tcW w:w="18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5,166,500</w:t>
            </w:r>
          </w:p>
        </w:tc>
        <w:tc>
          <w:tcPr>
            <w:tcW w:w="18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13,530,690</w:t>
            </w: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Betsy Morgan</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69,659,711</w:t>
            </w:r>
          </w:p>
        </w:tc>
        <w:tc>
          <w:tcPr>
            <w:tcW w:w="18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6,188,499</w:t>
            </w:r>
          </w:p>
        </w:tc>
        <w:tc>
          <w:tcPr>
            <w:tcW w:w="18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13,530,690</w:t>
            </w: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Philips</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63,709,557</w:t>
            </w:r>
          </w:p>
        </w:tc>
        <w:tc>
          <w:tcPr>
            <w:tcW w:w="18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12,138,653</w:t>
            </w:r>
          </w:p>
        </w:tc>
        <w:tc>
          <w:tcPr>
            <w:tcW w:w="18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13,530,690</w:t>
            </w: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 Sparks</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75,378,060</w:t>
            </w:r>
          </w:p>
        </w:tc>
        <w:tc>
          <w:tcPr>
            <w:tcW w:w="18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470,150</w:t>
            </w:r>
          </w:p>
        </w:tc>
        <w:tc>
          <w:tcPr>
            <w:tcW w:w="18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13,530,690</w:t>
            </w: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Wiesenthal</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69,631,988</w:t>
            </w:r>
          </w:p>
        </w:tc>
        <w:tc>
          <w:tcPr>
            <w:tcW w:w="18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6,216,222</w:t>
            </w:r>
          </w:p>
        </w:tc>
        <w:tc>
          <w:tcPr>
            <w:tcW w:w="18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13,530,690</w:t>
            </w: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Accordingly, the foregoing nominees were elected to the Company’s board of directors.</w:t>
      </w:r>
    </w:p>
    <w:p>
      <w:pPr>
        <w:spacing w:after="0" w:line="221"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Proposal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Ratification of Appointment of Independent Registered Public Accounting Firm. </w:t>
      </w:r>
      <w:r>
        <w:rPr>
          <w:rFonts w:ascii="Times New Roman" w:cs="Times New Roman" w:eastAsia="Times New Roman" w:hAnsi="Times New Roman"/>
          <w:sz w:val="18"/>
          <w:szCs w:val="18"/>
          <w:color w:val="auto"/>
        </w:rPr>
        <w:t>The stockholders voted on the ratification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appointment of KPMG LLP as the Company’s independent registered public accounting firm for the year ending December 31, 2026. The stockholders voted as follows:</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1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7"/>
        </w:trPr>
        <w:tc>
          <w:tcPr>
            <w:tcW w:w="232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28"/>
        </w:trPr>
        <w:tc>
          <w:tcPr>
            <w:tcW w:w="222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rPr>
              <w:t>87,665,400</w:t>
            </w:r>
          </w:p>
        </w:tc>
        <w:tc>
          <w:tcPr>
            <w:tcW w:w="100" w:type="dxa"/>
            <w:vAlign w:val="bottom"/>
          </w:tcPr>
          <w:p>
            <w:pPr>
              <w:spacing w:after="0"/>
              <w:rPr>
                <w:sz w:val="19"/>
                <w:szCs w:val="19"/>
                <w:color w:val="auto"/>
              </w:rPr>
            </w:pPr>
          </w:p>
        </w:tc>
        <w:tc>
          <w:tcPr>
            <w:tcW w:w="220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1,623,170</w:t>
            </w:r>
          </w:p>
        </w:tc>
        <w:tc>
          <w:tcPr>
            <w:tcW w:w="80" w:type="dxa"/>
            <w:vAlign w:val="bottom"/>
          </w:tcPr>
          <w:p>
            <w:pPr>
              <w:spacing w:after="0"/>
              <w:rPr>
                <w:sz w:val="19"/>
                <w:szCs w:val="19"/>
                <w:color w:val="auto"/>
              </w:rPr>
            </w:pPr>
          </w:p>
        </w:tc>
        <w:tc>
          <w:tcPr>
            <w:tcW w:w="20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90,330</w:t>
            </w:r>
          </w:p>
        </w:tc>
        <w:tc>
          <w:tcPr>
            <w:tcW w:w="80" w:type="dxa"/>
            <w:vAlign w:val="bottom"/>
          </w:tcPr>
          <w:p>
            <w:pPr>
              <w:spacing w:after="0"/>
              <w:rPr>
                <w:sz w:val="19"/>
                <w:szCs w:val="19"/>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Accordingly, the appointment of the independent registered public accounting firm was ratified.</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440" w:top="293" w:right="5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229" w:lineRule="exact"/>
        <w:rPr>
          <w:sz w:val="20"/>
          <w:szCs w:val="20"/>
          <w:color w:val="auto"/>
        </w:rPr>
      </w:pPr>
    </w:p>
    <w:p>
      <w:pPr>
        <w:spacing w:after="0"/>
        <w:tabs>
          <w:tab w:leader="none" w:pos="5600" w:val="left"/>
          <w:tab w:leader="none" w:pos="7800" w:val="left"/>
        </w:tabs>
        <w:rPr>
          <w:sz w:val="20"/>
          <w:szCs w:val="20"/>
          <w:color w:val="auto"/>
        </w:rPr>
      </w:pPr>
      <w:r>
        <w:rPr>
          <w:rFonts w:ascii="Times New Roman" w:cs="Times New Roman" w:eastAsia="Times New Roman" w:hAnsi="Times New Roman"/>
          <w:sz w:val="18"/>
          <w:szCs w:val="18"/>
          <w:color w:val="auto"/>
        </w:rPr>
        <w:t>Date: July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Linda C. Frazier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Linda C. Frazier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Chief Compliance Officer</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2026-07-01T15:08:03Z</dcterms:created>
  <dcterms:modified xsi:type="dcterms:W3CDTF">2026-07-01T15:08:03Z</dcterms:modified>
</cp:coreProperties>
</file>