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WIESENTHAL ROBERT S</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TripAdvisor,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TRIP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98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Borders>
              <w:top w:val="single" w:sz="8" w:color="2C2C2C"/>
            </w:tcBorders>
          </w:tcPr>
          <w:p>
            <w:pPr>
              <w:spacing w:after="0"/>
              <w:rPr>
                <w:sz w:val="2"/>
                <w:szCs w:val="2"/>
                <w:color w:val="auto"/>
              </w:rPr>
            </w:pPr>
          </w:p>
        </w:tc>
        <w:tc>
          <w:tcPr>
            <w:tcW w:w="240" w:type="dxa"/>
            <w:vAlign w:val="bottom"/>
            <w:tcBorders>
              <w:top w:val="single" w:sz="8" w:color="2C2C2C"/>
            </w:tcBorders>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6"/>
            <w:vMerge w:val="continue"/>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40"/>
              <w:spacing w:after="0" w:line="132"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3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06/18/2025</w:t>
            </w: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TRIPADVISOR, INC.</w:t>
            </w: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2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400 1ST AVENUE</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7"/>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16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06/20/2025</w:t>
            </w:r>
          </w:p>
        </w:tc>
        <w:tc>
          <w:tcPr>
            <w:tcW w:w="20" w:type="dxa"/>
            <w:vAlign w:val="bottom"/>
            <w:vMerge w:val="restart"/>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20" w:type="dxa"/>
            <w:vAlign w:val="bottom"/>
            <w:gridSpan w:val="6"/>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920" w:type="dxa"/>
            <w:vAlign w:val="bottom"/>
            <w:gridSpan w:val="4"/>
            <w:vMerge w:val="continue"/>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NEEDHAM</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02494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2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 w:type="dxa"/>
            <w:vAlign w:val="bottom"/>
          </w:tcPr>
          <w:p>
            <w:pPr>
              <w:spacing w:after="0"/>
              <w:rPr>
                <w:sz w:val="15"/>
                <w:szCs w:val="15"/>
                <w:color w:val="auto"/>
              </w:rPr>
            </w:pP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5"/>
          </w:tcPr>
          <w:p>
            <w:pPr>
              <w:ind w:left="6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6"/>
          </w:tcPr>
          <w:p>
            <w:pPr>
              <w:jc w:val="right"/>
              <w:ind w:right="55"/>
              <w:spacing w:after="0"/>
              <w:rPr>
                <w:sz w:val="20"/>
                <w:szCs w:val="20"/>
                <w:color w:val="auto"/>
              </w:rPr>
            </w:pPr>
            <w:r>
              <w:rPr>
                <w:rFonts w:ascii="Times New Roman" w:cs="Times New Roman" w:eastAsia="Times New Roman" w:hAnsi="Times New Roman"/>
                <w:sz w:val="17"/>
                <w:szCs w:val="17"/>
                <w:color w:val="0000FF"/>
              </w:rPr>
              <w:t>06/18/2025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19,171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92,654</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80" w:type="dxa"/>
            <w:vAlign w:val="bottom"/>
            <w:gridSpan w:val="15"/>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 w:type="dxa"/>
            <w:vAlign w:val="bottom"/>
          </w:tcPr>
          <w:p>
            <w:pPr>
              <w:spacing w:after="0"/>
              <w:rPr>
                <w:sz w:val="15"/>
                <w:szCs w:val="15"/>
                <w:color w:val="auto"/>
              </w:rPr>
            </w:pPr>
          </w:p>
        </w:tc>
        <w:tc>
          <w:tcPr>
            <w:tcW w:w="1200" w:type="dxa"/>
            <w:vAlign w:val="bottom"/>
          </w:tcPr>
          <w:p>
            <w:pPr>
              <w:ind w:left="16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12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Due to an inadvertent error, the Form 4 filed on June 20, 2025 incorrectly reported the amount of securities beneficially owned following reported transactions. This inadvertent error caused the amount of securities beneficially owned to be overstated by 13,616 shares. The new amount reported in Column 5 reports the correct amount of securities beneficially owned.</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Linda C. Frazier,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07/01/2026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 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1785" TargetMode="External"/><Relationship Id="rId14" Type="http://schemas.openxmlformats.org/officeDocument/2006/relationships/hyperlink" Target="http://www.sec.gov/cgi-bin/browse-edgar?action=getcompany&amp;CIK=00015265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2026-07-01T17:50:11Z</dcterms:created>
  <dcterms:modified xsi:type="dcterms:W3CDTF">2026-07-01T17:50:11Z</dcterms:modified>
</cp:coreProperties>
</file>