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268605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262890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4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001-35362</w:t>
            </w:r>
          </w:p>
        </w:tc>
        <w:tc>
          <w:tcPr>
            <w:tcW w:w="18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80-0743202</w:t>
            </w:r>
          </w:p>
        </w:tc>
      </w:tr>
      <w:tr>
        <w:trPr>
          <w:trHeight w:val="216"/>
        </w:trPr>
        <w:tc>
          <w:tcPr>
            <w:tcW w:w="24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940" w:type="dxa"/>
            <w:vAlign w:val="bottom"/>
          </w:tcPr>
          <w:p>
            <w:pPr>
              <w:spacing w:after="0"/>
              <w:rPr>
                <w:sz w:val="18"/>
                <w:szCs w:val="18"/>
                <w:color w:val="auto"/>
              </w:rPr>
            </w:pPr>
          </w:p>
        </w:tc>
        <w:tc>
          <w:tcPr>
            <w:tcW w:w="18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52"/>
        </w:trPr>
        <w:tc>
          <w:tcPr>
            <w:tcW w:w="24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8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420" w:type="dxa"/>
            <w:vAlign w:val="bottom"/>
          </w:tcPr>
          <w:p>
            <w:pPr>
              <w:spacing w:after="0"/>
              <w:rPr>
                <w:sz w:val="24"/>
                <w:szCs w:val="24"/>
                <w:color w:val="auto"/>
              </w:rPr>
            </w:pPr>
          </w:p>
        </w:tc>
        <w:tc>
          <w:tcPr>
            <w:tcW w:w="4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400 1st Avenue</w:t>
            </w:r>
          </w:p>
        </w:tc>
        <w:tc>
          <w:tcPr>
            <w:tcW w:w="1880" w:type="dxa"/>
            <w:vAlign w:val="bottom"/>
          </w:tcPr>
          <w:p>
            <w:pPr>
              <w:spacing w:after="0"/>
              <w:rPr>
                <w:sz w:val="24"/>
                <w:szCs w:val="24"/>
                <w:color w:val="auto"/>
              </w:rPr>
            </w:pPr>
          </w:p>
        </w:tc>
      </w:tr>
      <w:tr>
        <w:trPr>
          <w:trHeight w:val="229"/>
        </w:trPr>
        <w:tc>
          <w:tcPr>
            <w:tcW w:w="2420" w:type="dxa"/>
            <w:vAlign w:val="bottom"/>
          </w:tcPr>
          <w:p>
            <w:pPr>
              <w:spacing w:after="0"/>
              <w:rPr>
                <w:sz w:val="19"/>
                <w:szCs w:val="19"/>
                <w:color w:val="auto"/>
              </w:rPr>
            </w:pPr>
          </w:p>
        </w:tc>
        <w:tc>
          <w:tcPr>
            <w:tcW w:w="4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Needham, MA 02494</w:t>
            </w:r>
          </w:p>
        </w:tc>
        <w:tc>
          <w:tcPr>
            <w:tcW w:w="1880" w:type="dxa"/>
            <w:vAlign w:val="bottom"/>
          </w:tcPr>
          <w:p>
            <w:pPr>
              <w:spacing w:after="0"/>
              <w:rPr>
                <w:sz w:val="19"/>
                <w:szCs w:val="19"/>
                <w:color w:val="auto"/>
              </w:rPr>
            </w:pPr>
          </w:p>
        </w:tc>
      </w:tr>
      <w:tr>
        <w:trPr>
          <w:trHeight w:val="238"/>
        </w:trPr>
        <w:tc>
          <w:tcPr>
            <w:tcW w:w="2420" w:type="dxa"/>
            <w:vAlign w:val="bottom"/>
          </w:tcPr>
          <w:p>
            <w:pPr>
              <w:spacing w:after="0"/>
              <w:rPr>
                <w:sz w:val="20"/>
                <w:szCs w:val="20"/>
                <w:color w:val="auto"/>
              </w:rPr>
            </w:pPr>
          </w:p>
        </w:tc>
        <w:tc>
          <w:tcPr>
            <w:tcW w:w="4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880" w:type="dxa"/>
            <w:vAlign w:val="bottom"/>
          </w:tcPr>
          <w:p>
            <w:pPr>
              <w:spacing w:after="0"/>
              <w:rPr>
                <w:sz w:val="20"/>
                <w:szCs w:val="20"/>
                <w:color w:val="auto"/>
              </w:rPr>
            </w:pPr>
          </w:p>
        </w:tc>
      </w:tr>
      <w:tr>
        <w:trPr>
          <w:trHeight w:val="378"/>
        </w:trPr>
        <w:tc>
          <w:tcPr>
            <w:tcW w:w="2420" w:type="dxa"/>
            <w:vAlign w:val="bottom"/>
          </w:tcPr>
          <w:p>
            <w:pPr>
              <w:spacing w:after="0"/>
              <w:rPr>
                <w:sz w:val="24"/>
                <w:szCs w:val="24"/>
                <w:color w:val="auto"/>
              </w:rPr>
            </w:pPr>
          </w:p>
        </w:tc>
        <w:tc>
          <w:tcPr>
            <w:tcW w:w="4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(781) 800-5000</w:t>
            </w:r>
          </w:p>
        </w:tc>
        <w:tc>
          <w:tcPr>
            <w:tcW w:w="1880" w:type="dxa"/>
            <w:vAlign w:val="bottom"/>
          </w:tcPr>
          <w:p>
            <w:pPr>
              <w:spacing w:after="0"/>
              <w:rPr>
                <w:sz w:val="24"/>
                <w:szCs w:val="24"/>
                <w:color w:val="auto"/>
              </w:rPr>
            </w:pPr>
          </w:p>
        </w:tc>
      </w:tr>
      <w:tr>
        <w:trPr>
          <w:trHeight w:val="378"/>
        </w:trPr>
        <w:tc>
          <w:tcPr>
            <w:tcW w:w="2420" w:type="dxa"/>
            <w:vAlign w:val="bottom"/>
          </w:tcPr>
          <w:p>
            <w:pPr>
              <w:spacing w:after="0"/>
              <w:rPr>
                <w:sz w:val="24"/>
                <w:szCs w:val="24"/>
                <w:color w:val="auto"/>
              </w:rPr>
            </w:pPr>
          </w:p>
        </w:tc>
        <w:tc>
          <w:tcPr>
            <w:tcW w:w="4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880" w:type="dxa"/>
            <w:vAlign w:val="bottom"/>
          </w:tcPr>
          <w:p>
            <w:pPr>
              <w:spacing w:after="0"/>
              <w:rPr>
                <w:sz w:val="24"/>
                <w:szCs w:val="24"/>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0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TRIP</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November 1, 2026, Tripadvisor,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consummated the sale of the legal entities comprising the Company’s online restaurant reservation and management platform in Europe known as “TheFork”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to American Express Travel Related Services Company, Inc., a New York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pursuant to the Equity Purchase Agreement entered into on August 2, 2026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Equity Purchase Agreement, Buyer acquired the Business for $700 million, subject to certain adjustments, in an all-cash transaction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Concurrently with the consummation of the Transaction, the Company and Buyer entered into a Transition Services Agreement dated as of November 1, 2026, pursuant to which the Company agreed to provide certain services to the Buyer for a period of 12 months unless otherwise specified therein, in order to facilitate a smooth transition of the Business.</w:t>
      </w:r>
    </w:p>
    <w:p>
      <w:pPr>
        <w:spacing w:after="0" w:line="180" w:lineRule="exact"/>
        <w:rPr>
          <w:sz w:val="20"/>
          <w:szCs w:val="20"/>
          <w:color w:val="auto"/>
        </w:rPr>
      </w:pPr>
    </w:p>
    <w:p>
      <w:pPr>
        <w:ind w:right="60" w:firstLine="562"/>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Equity Purchase Agreement and the transactions contemplated thereby does not purport to be complete and is qualified in its entirety by reference to the full text of the Equity Purchase Agreement, a copy of which was filed as Exhibit 10.1 to the Company’s Current Report on Form 8-K filed on August 3, 2026 and is incorporated herein by reference.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Transaction constituted a significant disposition for purposes of Item 2.01 of Form 8-K.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222222"/>
        </w:rPr>
        <w:t>The Company expects to discuss the Transaction in its third quarter 2026 earnings call scheduled for November 5,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Cautions Concerning Forward-Looking Statements</w:t>
      </w:r>
    </w:p>
    <w:p>
      <w:pPr>
        <w:spacing w:after="0" w:line="229"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constitute "forward-looking statements" within the meaning of federal securities laws. These forward-looking statements are based on current expectations and assumptions that involve risks and uncertainties on information available to the Company as of the date hereof. These statements include, but are not limited to, statements regarding the provision of services under the transitional services agreement and duration of services thereunder. All statements other than statements of historical fact are "forward-looking statements" for purposes of federal and state securities laws. These forward-looking statements generally can be identified by phrases such as "possible," "potential," "intends" or "expects" or other words or phrases of similar import or future or conditional verbs such as "will," "may," "might," "should," "would," "could," or similar variations.</w:t>
      </w:r>
    </w:p>
    <w:p>
      <w:pPr>
        <w:spacing w:after="0" w:line="189" w:lineRule="exact"/>
        <w:rPr>
          <w:sz w:val="20"/>
          <w:szCs w:val="20"/>
          <w:color w:val="auto"/>
        </w:rPr>
      </w:pPr>
    </w:p>
    <w:p>
      <w:pPr>
        <w:ind w:right="20" w:firstLine="665"/>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many risks and uncertainties that could cause actual results to differ materially from those expressed or implied by such statements, including, but not limited to: the parties may not realize the potential benefits of the Transaction in the near term or at all; there may be liabilities or tax consequences related to the divestiture that are not known, probable or estimable at this time; difficulties or unexpected costs relating to segregating the technology and data platforms of the Business from retained operations; risks related to disruption of management time away from core operations; risks relating to the Company operating without TheFork platform; risks inherent to the business may result in additional strategic and operational risks, which may impact the Company's risk profile, which the Company may not be able to mitigate effectively; and other risks and uncertainties detailed in periodic reports that the Company files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Additional information concerning important risks and uncertainties can be found in the Company's filings with the SEC. The Company undertakes no obligation to update any forward-looking statements to reflect subsequent events or circumstances.</w:t>
      </w:r>
    </w:p>
    <w:p>
      <w:pPr>
        <w:spacing w:after="0" w:line="40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right="240" w:firstLine="656"/>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required by Item 9.01(b) of Form 8-K will be filed by amendment to this Current Form 8-K no later than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29" w:lineRule="exact"/>
        <w:rPr>
          <w:sz w:val="20"/>
          <w:szCs w:val="20"/>
          <w:color w:val="auto"/>
        </w:rPr>
      </w:pPr>
    </w:p>
    <w:p>
      <w:pPr>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Noonan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2026-11-02T06:06:23Z</dcterms:created>
  <dcterms:modified xsi:type="dcterms:W3CDTF">2026-11-02T06:06:23Z</dcterms:modified>
</cp:coreProperties>
</file>