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1"/>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92"/>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2710180</wp:posOffset>
            </wp:positionH>
            <wp:positionV relativeFrom="paragraph">
              <wp:posOffset>210820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691"/>
        <w:spacing w:after="0"/>
        <w:rPr>
          <w:sz w:val="20"/>
          <w:szCs w:val="20"/>
          <w:color w:val="auto"/>
        </w:rPr>
      </w:pPr>
      <w:r>
        <w:rPr>
          <w:rFonts w:ascii="Arial" w:cs="Arial" w:eastAsia="Arial" w:hAnsi="Arial"/>
          <w:sz w:val="22"/>
          <w:szCs w:val="22"/>
          <w:b w:val="1"/>
          <w:bCs w:val="1"/>
          <w:color w:val="auto"/>
        </w:rPr>
        <w:t>SCHEDULE 13D/A</w:t>
      </w:r>
      <w:r>
        <w:rPr>
          <w:rFonts w:ascii="Arial" w:cs="Arial" w:eastAsia="Arial" w:hAnsi="Arial"/>
          <w:sz w:val="18"/>
          <w:szCs w:val="18"/>
          <w:b w:val="1"/>
          <w:bCs w:val="1"/>
          <w:color w:val="auto"/>
        </w:rPr>
        <w:t>(1)</w:t>
      </w:r>
    </w:p>
    <w:p>
      <w:pPr>
        <w:spacing w:after="0" w:line="229" w:lineRule="exact"/>
        <w:rPr>
          <w:sz w:val="24"/>
          <w:szCs w:val="24"/>
          <w:color w:val="auto"/>
        </w:rPr>
      </w:pPr>
    </w:p>
    <w:p>
      <w:pPr>
        <w:ind w:left="4072"/>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2710180</wp:posOffset>
            </wp:positionH>
            <wp:positionV relativeFrom="paragraph">
              <wp:posOffset>214630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5052"/>
        <w:spacing w:after="0"/>
        <w:rPr>
          <w:sz w:val="20"/>
          <w:szCs w:val="20"/>
          <w:color w:val="auto"/>
        </w:rPr>
      </w:pPr>
      <w:r>
        <w:rPr>
          <w:rFonts w:ascii="Arial" w:cs="Arial" w:eastAsia="Arial" w:hAnsi="Arial"/>
          <w:sz w:val="18"/>
          <w:szCs w:val="18"/>
          <w:b w:val="1"/>
          <w:bCs w:val="1"/>
          <w:color w:val="auto"/>
        </w:rPr>
        <w:t>TripAdvisor, Inc.</w:t>
      </w:r>
    </w:p>
    <w:p>
      <w:pPr>
        <w:spacing w:after="0" w:line="54" w:lineRule="exact"/>
        <w:rPr>
          <w:sz w:val="24"/>
          <w:szCs w:val="24"/>
          <w:color w:val="auto"/>
        </w:rPr>
      </w:pPr>
    </w:p>
    <w:p>
      <w:pPr>
        <w:ind w:left="5092"/>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71"/>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ind w:right="-67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71"/>
        <w:spacing w:after="0"/>
        <w:rPr>
          <w:sz w:val="20"/>
          <w:szCs w:val="20"/>
          <w:color w:val="auto"/>
        </w:rPr>
      </w:pPr>
      <w:r>
        <w:rPr>
          <w:rFonts w:ascii="Arial" w:cs="Arial" w:eastAsia="Arial" w:hAnsi="Arial"/>
          <w:sz w:val="18"/>
          <w:szCs w:val="18"/>
          <w:b w:val="1"/>
          <w:bCs w:val="1"/>
          <w:color w:val="auto"/>
        </w:rPr>
        <w:t>896945 201</w:t>
      </w:r>
    </w:p>
    <w:p>
      <w:pPr>
        <w:spacing w:after="0" w:line="40" w:lineRule="exact"/>
        <w:rPr>
          <w:sz w:val="24"/>
          <w:szCs w:val="24"/>
          <w:color w:val="auto"/>
        </w:rPr>
      </w:pPr>
    </w:p>
    <w:p>
      <w:pPr>
        <w:jc w:val="center"/>
        <w:ind w:right="-67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tbl>
      <w:tblPr>
        <w:tblLayout w:type="fixed"/>
        <w:tblInd w:w="1012" w:type="dxa"/>
        <w:tblCellMar>
          <w:top w:w="0" w:type="dxa"/>
          <w:left w:w="0" w:type="dxa"/>
          <w:bottom w:w="0" w:type="dxa"/>
          <w:right w:w="0" w:type="dxa"/>
        </w:tblCellMar>
      </w:tblP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Charles Y. Tanabe, Esq.</w:t>
            </w:r>
          </w:p>
        </w:tc>
        <w:tc>
          <w:tcPr>
            <w:tcW w:w="3860" w:type="dxa"/>
            <w:vAlign w:val="bottom"/>
          </w:tcPr>
          <w:p>
            <w:pPr>
              <w:spacing w:after="0"/>
              <w:rPr>
                <w:sz w:val="18"/>
                <w:szCs w:val="18"/>
                <w:color w:val="auto"/>
              </w:rPr>
            </w:pP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Executive Vice President and General Counsel</w:t>
            </w:r>
          </w:p>
        </w:tc>
        <w:tc>
          <w:tcPr>
            <w:tcW w:w="386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Andrew J. Nussbaum, Esq.</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Liberty Interactive Corporation</w:t>
            </w:r>
          </w:p>
        </w:tc>
        <w:tc>
          <w:tcPr>
            <w:tcW w:w="3860" w:type="dxa"/>
            <w:vAlign w:val="bottom"/>
          </w:tcPr>
          <w:p>
            <w:pPr>
              <w:jc w:val="center"/>
              <w:ind w:left="1310"/>
              <w:spacing w:after="0"/>
              <w:rPr>
                <w:sz w:val="20"/>
                <w:szCs w:val="20"/>
                <w:color w:val="auto"/>
              </w:rPr>
            </w:pPr>
            <w:r>
              <w:rPr>
                <w:rFonts w:ascii="Arial" w:cs="Arial" w:eastAsia="Arial" w:hAnsi="Arial"/>
                <w:sz w:val="18"/>
                <w:szCs w:val="18"/>
                <w:b w:val="1"/>
                <w:bCs w:val="1"/>
                <w:color w:val="auto"/>
                <w:w w:val="92"/>
              </w:rPr>
              <w:t>Wachtell, Lipton, Rosen &amp; Katz</w:t>
            </w:r>
          </w:p>
        </w:tc>
      </w:tr>
      <w:tr>
        <w:trPr>
          <w:trHeight w:val="216"/>
        </w:trPr>
        <w:tc>
          <w:tcPr>
            <w:tcW w:w="49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2"/>
              </w:rPr>
              <w:t>12300 Liberty Boulevard</w:t>
            </w:r>
          </w:p>
        </w:tc>
        <w:tc>
          <w:tcPr>
            <w:tcW w:w="3860" w:type="dxa"/>
            <w:vAlign w:val="bottom"/>
          </w:tcPr>
          <w:p>
            <w:pPr>
              <w:jc w:val="center"/>
              <w:ind w:left="1310"/>
              <w:spacing w:after="0" w:line="216" w:lineRule="exact"/>
              <w:rPr>
                <w:sz w:val="20"/>
                <w:szCs w:val="20"/>
                <w:color w:val="auto"/>
              </w:rPr>
            </w:pPr>
            <w:r>
              <w:rPr>
                <w:rFonts w:ascii="Arial" w:cs="Arial" w:eastAsia="Arial" w:hAnsi="Arial"/>
                <w:sz w:val="18"/>
                <w:szCs w:val="18"/>
                <w:b w:val="1"/>
                <w:bCs w:val="1"/>
                <w:color w:val="auto"/>
                <w:w w:val="86"/>
              </w:rPr>
              <w:t>51 West 52</w:t>
            </w:r>
            <w:r>
              <w:rPr>
                <w:rFonts w:ascii="Arial" w:cs="Arial" w:eastAsia="Arial" w:hAnsi="Arial"/>
                <w:sz w:val="23"/>
                <w:szCs w:val="23"/>
                <w:b w:val="1"/>
                <w:bCs w:val="1"/>
                <w:color w:val="auto"/>
                <w:w w:val="86"/>
                <w:vertAlign w:val="superscript"/>
              </w:rPr>
              <w:t>nd</w:t>
            </w:r>
            <w:r>
              <w:rPr>
                <w:rFonts w:ascii="Arial" w:cs="Arial" w:eastAsia="Arial" w:hAnsi="Arial"/>
                <w:sz w:val="18"/>
                <w:szCs w:val="18"/>
                <w:b w:val="1"/>
                <w:bCs w:val="1"/>
                <w:color w:val="auto"/>
                <w:w w:val="86"/>
              </w:rPr>
              <w:t xml:space="preserve"> Street</w:t>
            </w:r>
          </w:p>
        </w:tc>
      </w:tr>
      <w:tr>
        <w:trPr>
          <w:trHeight w:val="216"/>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Englewood, CO 80112</w:t>
            </w:r>
          </w:p>
        </w:tc>
        <w:tc>
          <w:tcPr>
            <w:tcW w:w="3860" w:type="dxa"/>
            <w:vAlign w:val="bottom"/>
          </w:tcPr>
          <w:p>
            <w:pPr>
              <w:jc w:val="center"/>
              <w:ind w:left="1290"/>
              <w:spacing w:after="0"/>
              <w:rPr>
                <w:sz w:val="20"/>
                <w:szCs w:val="20"/>
                <w:color w:val="auto"/>
              </w:rPr>
            </w:pPr>
            <w:r>
              <w:rPr>
                <w:rFonts w:ascii="Arial" w:cs="Arial" w:eastAsia="Arial" w:hAnsi="Arial"/>
                <w:sz w:val="18"/>
                <w:szCs w:val="18"/>
                <w:b w:val="1"/>
                <w:bCs w:val="1"/>
                <w:color w:val="auto"/>
                <w:w w:val="92"/>
              </w:rPr>
              <w:t>New York, New York 10019</w:t>
            </w:r>
          </w:p>
        </w:tc>
      </w:tr>
      <w:tr>
        <w:trPr>
          <w:trHeight w:val="234"/>
        </w:trPr>
        <w:tc>
          <w:tcPr>
            <w:tcW w:w="49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2"/>
              </w:rPr>
              <w:t>(720) 875-5400</w:t>
            </w:r>
          </w:p>
        </w:tc>
        <w:tc>
          <w:tcPr>
            <w:tcW w:w="386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(212) 403-1000</w:t>
            </w:r>
          </w:p>
        </w:tc>
      </w:tr>
    </w:tbl>
    <w:p>
      <w:pPr>
        <w:spacing w:after="0" w:line="40" w:lineRule="exact"/>
        <w:rPr>
          <w:sz w:val="24"/>
          <w:szCs w:val="24"/>
          <w:color w:val="auto"/>
        </w:rPr>
      </w:pPr>
    </w:p>
    <w:p>
      <w:pPr>
        <w:jc w:val="center"/>
        <w:ind w:right="-671"/>
        <w:spacing w:after="0"/>
        <w:rPr>
          <w:sz w:val="20"/>
          <w:szCs w:val="20"/>
          <w:color w:val="auto"/>
        </w:rPr>
      </w:pPr>
      <w:r>
        <w:rPr>
          <w:rFonts w:ascii="Arial" w:cs="Arial" w:eastAsia="Arial" w:hAnsi="Arial"/>
          <w:sz w:val="18"/>
          <w:szCs w:val="18"/>
          <w:color w:val="auto"/>
        </w:rPr>
        <w:t>(Name, Address and Telephone Number of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71"/>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71"/>
        <w:spacing w:after="0"/>
        <w:rPr>
          <w:sz w:val="20"/>
          <w:szCs w:val="20"/>
          <w:color w:val="auto"/>
        </w:rPr>
      </w:pPr>
      <w:r>
        <w:rPr>
          <w:rFonts w:ascii="Arial" w:cs="Arial" w:eastAsia="Arial" w:hAnsi="Arial"/>
          <w:sz w:val="18"/>
          <w:szCs w:val="18"/>
          <w:b w:val="1"/>
          <w:bCs w:val="1"/>
          <w:color w:val="auto"/>
        </w:rPr>
        <w:t>May 3, 2012</w:t>
      </w:r>
    </w:p>
    <w:p>
      <w:pPr>
        <w:spacing w:after="0" w:line="54" w:lineRule="exact"/>
        <w:rPr>
          <w:sz w:val="24"/>
          <w:szCs w:val="24"/>
          <w:color w:val="auto"/>
        </w:rPr>
      </w:pPr>
    </w:p>
    <w:p>
      <w:pPr>
        <w:jc w:val="center"/>
        <w:ind w:right="-67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2710180</wp:posOffset>
            </wp:positionH>
            <wp:positionV relativeFrom="paragraph">
              <wp:posOffset>220980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652"/>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Rule13d-1 (e), 13d-1(f) or 13d-1(g), check the following box. o</w:t>
      </w:r>
    </w:p>
    <w:p>
      <w:pPr>
        <w:spacing w:after="0" w:line="170" w:lineRule="exact"/>
        <w:rPr>
          <w:sz w:val="24"/>
          <w:szCs w:val="24"/>
          <w:color w:val="auto"/>
        </w:rPr>
      </w:pPr>
    </w:p>
    <w:p>
      <w:pPr>
        <w:ind w:left="652"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1724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91" w:lineRule="exact"/>
        <w:rPr>
          <w:sz w:val="24"/>
          <w:szCs w:val="24"/>
          <w:color w:val="auto"/>
        </w:rPr>
      </w:pPr>
    </w:p>
    <w:p>
      <w:pPr>
        <w:ind w:left="652" w:right="100" w:hanging="652"/>
        <w:spacing w:after="0" w:line="277" w:lineRule="auto"/>
        <w:tabs>
          <w:tab w:leader="none" w:pos="63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This statement constitutes Amendment No. 1 of the Report on Schedule 13D of the reporting group consisting of Liberty Interactive Corporation (formerly Liberty Media Corporation) and Barry Diller.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92" w:hanging="646"/>
        <w:spacing w:after="0"/>
        <w:tabs>
          <w:tab w:leader="none" w:pos="1092" w:val="left"/>
        </w:tabs>
        <w:numPr>
          <w:ilvl w:val="1"/>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92" w:right="552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Liberty Interactive Corporation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092" w:hanging="646"/>
        <w:spacing w:after="0"/>
        <w:tabs>
          <w:tab w:leader="none" w:pos="1092" w:val="left"/>
        </w:tabs>
        <w:numPr>
          <w:ilvl w:val="1"/>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2"/>
          <w:numId w:val="1"/>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2"/>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92" w:hanging="646"/>
        <w:spacing w:after="0"/>
        <w:tabs>
          <w:tab w:leader="none" w:pos="1092" w:val="left"/>
        </w:tabs>
        <w:numPr>
          <w:ilvl w:val="1"/>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92" w:right="7140" w:hanging="646"/>
        <w:spacing w:after="0" w:line="277" w:lineRule="auto"/>
        <w:tabs>
          <w:tab w:leader="none" w:pos="1092" w:val="left"/>
        </w:tabs>
        <w:numPr>
          <w:ilvl w:val="1"/>
          <w:numId w:val="1"/>
        </w:numPr>
        <w:rPr>
          <w:rFonts w:ascii="Arial" w:cs="Arial" w:eastAsia="Arial" w:hAnsi="Arial"/>
          <w:sz w:val="18"/>
          <w:szCs w:val="18"/>
          <w:color w:val="auto"/>
        </w:rPr>
      </w:pPr>
      <w:r>
        <w:rPr>
          <w:rFonts w:ascii="Arial" w:cs="Arial" w:eastAsia="Arial" w:hAnsi="Arial"/>
          <w:sz w:val="18"/>
          <w:szCs w:val="18"/>
          <w:color w:val="auto"/>
        </w:rPr>
        <w:t>Source of Funds (See Instructions)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-3340100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-671195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-1271270</wp:posOffset>
            </wp:positionV>
            <wp:extent cx="5942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-1528445</wp:posOffset>
            </wp:positionV>
            <wp:extent cx="5942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-2377440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732"/>
          </w:cols>
          <w:pgMar w:left="248" w:top="463" w:right="919" w:bottom="247" w:gutter="0" w:footer="0" w:header="0"/>
        </w:sectPr>
      </w:pPr>
    </w:p>
    <w:bookmarkStart w:id="1" w:name="page2"/>
    <w:bookmarkEnd w:id="1"/>
    <w:p>
      <w:pPr>
        <w:ind w:left="40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tabs>
          <w:tab w:leader="none" w:pos="6200" w:val="left"/>
        </w:tabs>
        <w:rPr>
          <w:sz w:val="20"/>
          <w:szCs w:val="20"/>
          <w:color w:val="auto"/>
        </w:rPr>
      </w:pPr>
      <w:r>
        <w:rPr>
          <w:rFonts w:ascii="Arial" w:cs="Arial" w:eastAsia="Arial" w:hAnsi="Arial"/>
          <w:sz w:val="17"/>
          <w:szCs w:val="17"/>
          <w:color w:val="auto"/>
        </w:rPr>
        <w:t>Check if Disclosure of Legal Proceedings Is Required Pursuant to Item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40" w:hanging="506"/>
        <w:spacing w:after="0" w:line="342" w:lineRule="auto"/>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Sole Voting Power None; see Item 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860" w:hanging="506"/>
        <w:spacing w:after="0" w:line="342" w:lineRule="auto"/>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Shared Voting Power 32,959,119 shares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700" w:hanging="506"/>
        <w:spacing w:after="0" w:line="342" w:lineRule="auto"/>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Sole Dispositive Power None; see Item 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20" w:hanging="506"/>
        <w:spacing w:after="0" w:line="342" w:lineRule="auto"/>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Shared Dispositive Power 32,959,119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36195</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-700405</wp:posOffset>
            </wp:positionV>
            <wp:extent cx="599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-1438275</wp:posOffset>
            </wp:positionV>
            <wp:extent cx="5994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-2175510</wp:posOffset>
            </wp:positionV>
            <wp:extent cx="5994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160"/>
            <w:col w:w="10320"/>
          </w:cols>
          <w:pgMar w:left="300" w:top="125"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1040" w:right="5520" w:hanging="646"/>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32,959,119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12.</w:t>
            </w:r>
          </w:p>
        </w:tc>
        <w:tc>
          <w:tcPr>
            <w:tcW w:w="10380" w:type="dxa"/>
            <w:vAlign w:val="bottom"/>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  x</w:t>
            </w:r>
          </w:p>
        </w:tc>
      </w:tr>
      <w:tr>
        <w:trPr>
          <w:trHeight w:val="216"/>
        </w:trPr>
        <w:tc>
          <w:tcPr>
            <w:tcW w:w="580" w:type="dxa"/>
            <w:vAlign w:val="bottom"/>
          </w:tcPr>
          <w:p>
            <w:pPr>
              <w:spacing w:after="0"/>
              <w:rPr>
                <w:sz w:val="18"/>
                <w:szCs w:val="18"/>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Excludes shares beneficially owned by the executive officers and directors of Liberty and shares beneficially owned by Diane Von</w:t>
            </w:r>
          </w:p>
        </w:tc>
      </w:tr>
      <w:tr>
        <w:trPr>
          <w:trHeight w:val="230"/>
        </w:trPr>
        <w:tc>
          <w:tcPr>
            <w:tcW w:w="58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Furstenberg, Mr. Diller’s spouse.</w:t>
            </w:r>
          </w:p>
        </w:tc>
      </w:tr>
      <w:tr>
        <w:trPr>
          <w:trHeight w:val="135"/>
        </w:trPr>
        <w:tc>
          <w:tcPr>
            <w:tcW w:w="580" w:type="dxa"/>
            <w:vAlign w:val="bottom"/>
          </w:tcPr>
          <w:p>
            <w:pPr>
              <w:spacing w:after="0"/>
              <w:rPr>
                <w:sz w:val="11"/>
                <w:szCs w:val="11"/>
                <w:color w:val="auto"/>
              </w:rPr>
            </w:pPr>
          </w:p>
        </w:tc>
        <w:tc>
          <w:tcPr>
            <w:tcW w:w="1038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40" w:right="80"/>
        <w:spacing w:after="0" w:line="254" w:lineRule="auto"/>
        <w:rPr>
          <w:rFonts w:ascii="Arial" w:cs="Arial" w:eastAsia="Arial" w:hAnsi="Arial"/>
          <w:sz w:val="18"/>
          <w:szCs w:val="18"/>
          <w:color w:val="auto"/>
        </w:rPr>
      </w:pPr>
      <w:r>
        <w:rPr>
          <w:rFonts w:ascii="Arial" w:cs="Arial" w:eastAsia="Arial" w:hAnsi="Arial"/>
          <w:sz w:val="18"/>
          <w:szCs w:val="18"/>
          <w:color w:val="auto"/>
        </w:rPr>
        <w:t>22.8%. Assumes conversion of all shares of Class B Common Stock beneficially owned by the Reporting Persons into shares of Common Stock. Because each share of Class B Common Stock generally is entitled to ten votes per share and each share of Common Stock is entitled to one vote per share, the Reporting Persons may be deemed to beneficially own equity securities of the Company representing approximately 57.1% of the voting power of the Company. See Item 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-645160</wp:posOffset>
            </wp:positionV>
            <wp:extent cx="65862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hanging="64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right="620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Barry Diller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040" w:hanging="64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-207645</wp:posOffset>
            </wp:positionV>
            <wp:extent cx="5942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-1056640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hanging="646"/>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114935</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type w:val="continuous"/>
        </w:sectPr>
      </w:pPr>
    </w:p>
    <w:bookmarkStart w:id="2" w:name="page3"/>
    <w:bookmarkEnd w:id="2"/>
    <w:p>
      <w:pPr>
        <w:ind w:left="40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00" w:val="left"/>
        </w:tabs>
        <w:rPr>
          <w:sz w:val="20"/>
          <w:szCs w:val="20"/>
          <w:color w:val="auto"/>
        </w:rPr>
      </w:pPr>
      <w:r>
        <w:rPr>
          <w:rFonts w:ascii="Arial" w:cs="Arial" w:eastAsia="Arial" w:hAnsi="Arial"/>
          <w:sz w:val="17"/>
          <w:szCs w:val="17"/>
          <w:color w:val="auto"/>
        </w:rPr>
        <w:t>Check if Disclosure of Legal Proceedings Is Required Pursuant to Item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40" w:hanging="506"/>
        <w:spacing w:after="0" w:line="342"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Sole Voting Power None; see Item 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860" w:hanging="506"/>
        <w:spacing w:after="0" w:line="342"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Shared Voting Power 32,959,119 shares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700" w:hanging="506"/>
        <w:spacing w:after="0" w:line="342"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Sole Dispositive Power None; see Item 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20" w:hanging="506"/>
        <w:spacing w:after="0" w:line="342"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Shared Dispositive Power 32,959,119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36195</wp:posOffset>
            </wp:positionV>
            <wp:extent cx="5994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-700405</wp:posOffset>
            </wp:positionV>
            <wp:extent cx="599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-1438275</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-2175510</wp:posOffset>
            </wp:positionV>
            <wp:extent cx="599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160"/>
            <w:col w:w="10320"/>
          </w:cols>
          <w:pgMar w:left="300" w:top="598"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1040" w:right="5520" w:hanging="646"/>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32,959,119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12.</w:t>
            </w:r>
          </w:p>
        </w:tc>
        <w:tc>
          <w:tcPr>
            <w:tcW w:w="10380" w:type="dxa"/>
            <w:vAlign w:val="bottom"/>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  x</w:t>
            </w:r>
          </w:p>
        </w:tc>
      </w:tr>
      <w:tr>
        <w:trPr>
          <w:trHeight w:val="216"/>
        </w:trPr>
        <w:tc>
          <w:tcPr>
            <w:tcW w:w="580" w:type="dxa"/>
            <w:vAlign w:val="bottom"/>
          </w:tcPr>
          <w:p>
            <w:pPr>
              <w:spacing w:after="0"/>
              <w:rPr>
                <w:sz w:val="18"/>
                <w:szCs w:val="18"/>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Excludes shares beneficially owned by the executive officers and directors of Liberty and shares beneficially owned by Diane Von</w:t>
            </w:r>
          </w:p>
        </w:tc>
      </w:tr>
      <w:tr>
        <w:trPr>
          <w:trHeight w:val="230"/>
        </w:trPr>
        <w:tc>
          <w:tcPr>
            <w:tcW w:w="58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Furstenberg, Mr. Diller’s spouse.</w:t>
            </w:r>
          </w:p>
        </w:tc>
      </w:tr>
      <w:tr>
        <w:trPr>
          <w:trHeight w:val="135"/>
        </w:trPr>
        <w:tc>
          <w:tcPr>
            <w:tcW w:w="580" w:type="dxa"/>
            <w:vAlign w:val="bottom"/>
          </w:tcPr>
          <w:p>
            <w:pPr>
              <w:spacing w:after="0"/>
              <w:rPr>
                <w:sz w:val="11"/>
                <w:szCs w:val="11"/>
                <w:color w:val="auto"/>
              </w:rPr>
            </w:pPr>
          </w:p>
        </w:tc>
        <w:tc>
          <w:tcPr>
            <w:tcW w:w="1038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hanging="64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40" w:right="80"/>
        <w:spacing w:after="0" w:line="254" w:lineRule="auto"/>
        <w:rPr>
          <w:rFonts w:ascii="Arial" w:cs="Arial" w:eastAsia="Arial" w:hAnsi="Arial"/>
          <w:sz w:val="18"/>
          <w:szCs w:val="18"/>
          <w:color w:val="auto"/>
        </w:rPr>
      </w:pPr>
      <w:r>
        <w:rPr>
          <w:rFonts w:ascii="Arial" w:cs="Arial" w:eastAsia="Arial" w:hAnsi="Arial"/>
          <w:sz w:val="18"/>
          <w:szCs w:val="18"/>
          <w:color w:val="auto"/>
        </w:rPr>
        <w:t>22.8%. Assumes conversion of all shares of Class B Common Stock beneficially owned by the Reporting Persons into shares of Common Stock. Because each share of Class B Common Stock generally is entitled to ten votes per share and each share of Common Stock is entitled to one vote per share, the Reporting Persons may be deemed to beneficially own equity securities of the Company representing approximately 57.1% of the voting power of the Company. See Item 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3" w:lineRule="exact"/>
        <w:rPr>
          <w:rFonts w:ascii="Arial" w:cs="Arial" w:eastAsia="Arial" w:hAnsi="Arial"/>
          <w:sz w:val="18"/>
          <w:szCs w:val="18"/>
          <w:color w:val="auto"/>
        </w:rPr>
      </w:pPr>
    </w:p>
    <w:p>
      <w:pPr>
        <w:ind w:left="1040" w:hanging="64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-645160</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13D/A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 of</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LIBERTY INTERACTIVE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BARRY DILLER</w:t>
      </w:r>
    </w:p>
    <w:p>
      <w:pPr>
        <w:sectPr>
          <w:pgSz w:w="11900" w:h="16838" w:orient="portrait"/>
          <w:cols w:equalWidth="0" w:num="1">
            <w:col w:w="11360"/>
          </w:cols>
          <w:pgMar w:left="300" w:top="598" w:right="239" w:bottom="0" w:gutter="0" w:footer="0" w:header="0"/>
          <w:type w:val="continuous"/>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Pursuant to Section 13(d) of the Securities Exchange Act of 1934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respect of</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TRIPADVISOR, INC.</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This Report on Schedule 13D relates to the common stock, par value $.001 per share (the “Common Stock”), of TripAdvisor, Inc., a Delaware corporation (the “Issuer”). The Report on Schedule 13D originally filed with the Commission by Liberty Interactive Corporation, a Delaware corporation (“Liberty”), and Mr. Barry Diller (“Mr. Diller”) (each a “Reporting Person”), on December 30, 2011 (the “Schedule 13D”), is hereby further amended and supplemented to include the information set forth herein. This amended statement on Schedule 13D/A (this “Amendment”) constitutes Amendment No. 1 to the Schedule 13D. Capitalized terms not defined herein have the meanings given to such terms in the Schedule 13D.</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Information contained herein with respect to each Reporting Person and its executive officers, directors and controlling persons is given solely by such Reporting Person, and no other Reporting Person has responsibility for the accuracy or completeness of information supplied by such other Reporting Person.</w:t>
      </w:r>
    </w:p>
    <w:p>
      <w:pPr>
        <w:spacing w:after="0" w:line="231"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information contained in Item 4 of the Schedule 13D is hereby amended and restated in its entirety as follows:</w:t>
      </w:r>
    </w:p>
    <w:p>
      <w:pPr>
        <w:spacing w:after="0" w:line="225" w:lineRule="exact"/>
        <w:rPr>
          <w:sz w:val="20"/>
          <w:szCs w:val="20"/>
          <w:color w:val="auto"/>
        </w:rPr>
      </w:pPr>
    </w:p>
    <w:p>
      <w:pPr>
        <w:ind w:left="60" w:right="20" w:firstLine="648"/>
        <w:spacing w:after="0" w:line="308" w:lineRule="auto"/>
        <w:rPr>
          <w:sz w:val="20"/>
          <w:szCs w:val="20"/>
          <w:color w:val="auto"/>
        </w:rPr>
      </w:pPr>
      <w:r>
        <w:rPr>
          <w:rFonts w:ascii="Arial" w:cs="Arial" w:eastAsia="Arial" w:hAnsi="Arial"/>
          <w:sz w:val="17"/>
          <w:szCs w:val="17"/>
          <w:color w:val="auto"/>
        </w:rPr>
        <w:t>On May 3, 2012, Liberty sold 8,450,000 shares of Common Stock pursuant to Rule 144 under the Securities Act of 1933, as amended at an average per share price of $40. Liberty determined to sell such shares at such time in order to take advantage of market conditions.</w:t>
      </w:r>
    </w:p>
    <w:p>
      <w:pPr>
        <w:spacing w:after="0" w:line="147" w:lineRule="exact"/>
        <w:rPr>
          <w:sz w:val="20"/>
          <w:szCs w:val="20"/>
          <w:color w:val="auto"/>
        </w:rPr>
      </w:pPr>
    </w:p>
    <w:p>
      <w:pPr>
        <w:ind w:left="60" w:right="260" w:firstLine="648"/>
        <w:spacing w:after="0" w:line="312" w:lineRule="auto"/>
        <w:rPr>
          <w:sz w:val="20"/>
          <w:szCs w:val="20"/>
          <w:color w:val="auto"/>
        </w:rPr>
      </w:pPr>
      <w:r>
        <w:rPr>
          <w:rFonts w:ascii="Arial" w:cs="Arial" w:eastAsia="Arial" w:hAnsi="Arial"/>
          <w:sz w:val="16"/>
          <w:szCs w:val="16"/>
          <w:color w:val="auto"/>
        </w:rPr>
        <w:t>Depending on market conditions and other factors, and subject to any restrictions or limitations described in Items 5 and 6 or contained in the agreements attached as Exhibits hereto, the Reporting Persons or their respective subsidiaries may (i) purchase additional shares of Common Stock in the open market or in private transactions or (ii) sell all or some of their shares of Common Stock by public or private sale, gift, pledge or otherwise.</w:t>
      </w:r>
    </w:p>
    <w:p>
      <w:pPr>
        <w:spacing w:after="0" w:line="147" w:lineRule="exact"/>
        <w:rPr>
          <w:sz w:val="20"/>
          <w:szCs w:val="20"/>
          <w:color w:val="auto"/>
        </w:rPr>
      </w:pPr>
    </w:p>
    <w:p>
      <w:pPr>
        <w:ind w:left="60" w:firstLine="648"/>
        <w:spacing w:after="0" w:line="276" w:lineRule="auto"/>
        <w:rPr>
          <w:sz w:val="20"/>
          <w:szCs w:val="20"/>
          <w:color w:val="auto"/>
        </w:rPr>
      </w:pPr>
      <w:r>
        <w:rPr>
          <w:rFonts w:ascii="Arial" w:cs="Arial" w:eastAsia="Arial" w:hAnsi="Arial"/>
          <w:sz w:val="17"/>
          <w:szCs w:val="17"/>
          <w:color w:val="auto"/>
        </w:rPr>
        <w:t>Subject to the foregoing and except as described in Items 5 and 6 or contained in the agreements attached as Exhibits hereto, (i) Liberty does not have and, to the best of Liberty’s knowledge, none of its directors or executive officers have, any current plans or proposals that relate to or would result in any of the actions set forth in clauses (a) through (j) of Item 4, and (ii) Barry Diller does not have any current plans or proposals that relate to or would result in any of the actions set forth in clauses (a) through (j) of Item 4, except that Mr. Diller may dispose of shares of Common Stock to satisfy the exercise price and tax withholding obligations in connection with the exercise of employee stock options.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information contained in Item 5 of the Schedule 13D is hereby amended and supplemented by adding the following information: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information contained in Item 4 of, and Rows (7) through (10) of the cover pages to, this Amendment is incorporated herein by reference.</w:t>
      </w:r>
    </w:p>
    <w:p>
      <w:pPr>
        <w:spacing w:after="0" w:line="237" w:lineRule="exact"/>
        <w:rPr>
          <w:sz w:val="20"/>
          <w:szCs w:val="20"/>
          <w:color w:val="auto"/>
        </w:rPr>
      </w:pPr>
    </w:p>
    <w:p>
      <w:pPr>
        <w:ind w:left="60" w:right="20" w:firstLine="648"/>
        <w:spacing w:after="0" w:line="287" w:lineRule="auto"/>
        <w:rPr>
          <w:sz w:val="20"/>
          <w:szCs w:val="20"/>
          <w:color w:val="auto"/>
        </w:rPr>
      </w:pPr>
      <w:r>
        <w:rPr>
          <w:rFonts w:ascii="Arial" w:cs="Arial" w:eastAsia="Arial" w:hAnsi="Arial"/>
          <w:sz w:val="16"/>
          <w:szCs w:val="16"/>
          <w:color w:val="auto"/>
        </w:rPr>
        <w:t>(a)-(b) The members of the Reporting Group beneficially own 20,159,120 shares of Common Stock (assuming the exercise of options to purchase 2,106,964 shares of Common Stock that are exercisable within 60 days of May 3, 2012) and 12,799,999 shares of Class B Common Stock, which shares constitute 15.3% of the outstanding shares of Common Stock and 100% of the outstanding shares of Class B Common Stock. Assuming the conversion of all of the Reporting Group’s shares of Class B Common Stock into Common Stock, the Reporting Group would beneficially own 22.8% of the outstanding Common Stock (calculated in accordance with Rule 13d-3). Because each share of Class B Common Stock generally is entitled to ten votes per share and each share of Common Stock is entitled to one vote per share the Reporting Persons may be deemed to beneficially own equity securities of the Company representing approximately 57.1% of the voting power of the Company. The foregoing beneficial ownership amounts exclude shares of Common Stock beneficially owned by the executive officers and directors of Liberty and shares of Common Stock beneficially owned by Diane Von Furstenberg, Mr. Diller’s spouse, as to which Mr. Diller disclaims beneficial ownership. The foregoing beneficial ownership amounts are based on there being outstanding, as of the close of business on May 9, 2012, 129,369,759 shares of Common Stock and 12,799,999 shares of Class B Common Stock, based on information provided by the Issuer. Mr. Diller holds an irrevocable proxy granted by Liberty, pursuant to which Mr. Diller has the right to vote the Company’s securities held by Liberty and its affiliates, subject to certain limitations as described herein.</w:t>
      </w:r>
    </w:p>
    <w:p>
      <w:pPr>
        <w:spacing w:after="0" w:line="169" w:lineRule="exact"/>
        <w:rPr>
          <w:sz w:val="20"/>
          <w:szCs w:val="20"/>
          <w:color w:val="auto"/>
        </w:rPr>
      </w:pPr>
    </w:p>
    <w:p>
      <w:pPr>
        <w:ind w:left="960" w:hanging="25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Item 4 of this Amendment.</w:t>
      </w:r>
    </w:p>
    <w:p>
      <w:pPr>
        <w:spacing w:after="0" w:line="225" w:lineRule="exact"/>
        <w:rPr>
          <w:rFonts w:ascii="Arial" w:cs="Arial" w:eastAsia="Arial" w:hAnsi="Arial"/>
          <w:sz w:val="18"/>
          <w:szCs w:val="18"/>
          <w:color w:val="auto"/>
        </w:rPr>
      </w:pPr>
    </w:p>
    <w:p>
      <w:pPr>
        <w:ind w:left="960" w:hanging="25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60" w:hanging="25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After reasonable inquiry and to the best of his or her knowledge and belief, each of the undersigned certifies that the information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LIBERTY INTERACTIVE CORPORATION</w:t>
      </w:r>
    </w:p>
    <w:p>
      <w:pPr>
        <w:sectPr>
          <w:pgSz w:w="11900" w:h="16838" w:orient="portrait"/>
          <w:cols w:equalWidth="0" w:num="1">
            <w:col w:w="11360"/>
          </w:cols>
          <w:pgMar w:left="240" w:top="337" w:right="299" w:bottom="32" w:gutter="0" w:footer="0" w:header="0"/>
        </w:sectPr>
      </w:pPr>
    </w:p>
    <w:bookmarkStart w:id="4" w:name="page5"/>
    <w:bookmarkEnd w:id="4"/>
    <w:p>
      <w:pPr>
        <w:ind w:left="5712"/>
        <w:spacing w:after="0"/>
        <w:tabs>
          <w:tab w:leader="none" w:pos="6152" w:val="left"/>
        </w:tabs>
        <w:rPr>
          <w:sz w:val="20"/>
          <w:szCs w:val="20"/>
          <w:color w:val="auto"/>
        </w:rPr>
      </w:pPr>
      <w:r>
        <w:rPr>
          <w:rFonts w:ascii="Arial" w:cs="Arial" w:eastAsia="Arial" w:hAnsi="Arial"/>
          <w:sz w:val="18"/>
          <w:szCs w:val="18"/>
          <w:color w:val="auto"/>
        </w:rPr>
        <w:t>By:</w:t>
        <w:tab/>
        <w:t>/s/ Craig Troyer</w:t>
      </w:r>
    </w:p>
    <w:p>
      <w:pPr>
        <w:spacing w:after="0" w:line="23" w:lineRule="exact"/>
        <w:rPr>
          <w:sz w:val="20"/>
          <w:szCs w:val="20"/>
          <w:color w:val="auto"/>
        </w:rPr>
      </w:pPr>
    </w:p>
    <w:p>
      <w:pPr>
        <w:ind w:left="6172"/>
        <w:spacing w:after="0"/>
        <w:rPr>
          <w:sz w:val="20"/>
          <w:szCs w:val="20"/>
          <w:color w:val="auto"/>
        </w:rPr>
      </w:pPr>
      <w:r>
        <w:rPr>
          <w:rFonts w:ascii="Arial" w:cs="Arial" w:eastAsia="Arial" w:hAnsi="Arial"/>
          <w:sz w:val="18"/>
          <w:szCs w:val="18"/>
          <w:color w:val="auto"/>
        </w:rPr>
        <w:t>Name: Craig Troyer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-130810</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72"/>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BARRY DILLER</w:t>
      </w:r>
    </w:p>
    <w:p>
      <w:pPr>
        <w:spacing w:after="0" w:line="200" w:lineRule="exact"/>
        <w:rPr>
          <w:sz w:val="20"/>
          <w:szCs w:val="20"/>
          <w:color w:val="auto"/>
        </w:rPr>
      </w:pPr>
    </w:p>
    <w:p>
      <w:pPr>
        <w:spacing w:after="0" w:line="241" w:lineRule="exact"/>
        <w:rPr>
          <w:sz w:val="20"/>
          <w:szCs w:val="20"/>
          <w:color w:val="auto"/>
        </w:rPr>
      </w:pPr>
    </w:p>
    <w:p>
      <w:pPr>
        <w:ind w:left="5712"/>
        <w:spacing w:after="0"/>
        <w:tabs>
          <w:tab w:leader="none" w:pos="6152" w:val="left"/>
        </w:tabs>
        <w:rPr>
          <w:sz w:val="20"/>
          <w:szCs w:val="20"/>
          <w:color w:val="auto"/>
        </w:rPr>
      </w:pPr>
      <w:r>
        <w:rPr>
          <w:rFonts w:ascii="Arial" w:cs="Arial" w:eastAsia="Arial" w:hAnsi="Arial"/>
          <w:sz w:val="18"/>
          <w:szCs w:val="18"/>
          <w:color w:val="auto"/>
        </w:rPr>
        <w:t>By:</w:t>
        <w:tab/>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732" w:right="280" w:hanging="732"/>
        <w:spacing w:after="0" w:line="258" w:lineRule="auto"/>
        <w:tabs>
          <w:tab w:leader="none" w:pos="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Filing Agreement, by and among Liberty Interactive Corporation, a Delaware corporation and Mr. Barry Diller, dated as of December 20, 2011.*</w:t>
      </w:r>
    </w:p>
    <w:p>
      <w:pPr>
        <w:spacing w:after="0" w:line="1" w:lineRule="exact"/>
        <w:rPr>
          <w:rFonts w:ascii="Arial" w:cs="Arial" w:eastAsia="Arial" w:hAnsi="Arial"/>
          <w:sz w:val="18"/>
          <w:szCs w:val="18"/>
          <w:color w:val="auto"/>
        </w:rPr>
      </w:pPr>
    </w:p>
    <w:p>
      <w:pPr>
        <w:ind w:left="732" w:right="320" w:hanging="732"/>
        <w:spacing w:after="0" w:line="250" w:lineRule="auto"/>
        <w:tabs>
          <w:tab w:leader="none" w:pos="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Governance Agreement, by and among TripAdvisor, a Delaware corporation, Liberty Interactive Corporation, a Delaware corporation and Mr. Barry Diller, dated as of December 20, 2011.*</w:t>
      </w:r>
    </w:p>
    <w:p>
      <w:pPr>
        <w:ind w:left="732" w:hanging="732"/>
        <w:spacing w:after="0" w:line="250" w:lineRule="auto"/>
        <w:tabs>
          <w:tab w:leader="none" w:pos="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Agreement, by and between Liberty Interactive Corporation, a Delaware corporation, and Mr. Barry Diller, dated as of December 20, 2011.*</w:t>
      </w:r>
    </w:p>
    <w:p>
      <w:pPr>
        <w:ind w:left="732" w:hanging="732"/>
        <w:spacing w:after="0"/>
        <w:tabs>
          <w:tab w:leader="none" w:pos="7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Assistant Secretary’s Certificate of Liberty Interactive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32" w:hanging="732"/>
        <w:spacing w:after="0"/>
        <w:tabs>
          <w:tab w:leader="none" w:pos="7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12"/>
      </w:cols>
      <w:pgMar w:left="248"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
    <w:nsid w:val="41B71EFB"/>
    <w:multiLevelType w:val="hybridMultilevel"/>
    <w:lvl w:ilvl="0">
      <w:lvlJc w:val="left"/>
      <w:lvlText w:val="%1."/>
      <w:numFmt w:val="decimal"/>
      <w:start w:val="7"/>
    </w:lvl>
  </w:abstractNum>
  <w:abstractNum w:abstractNumId="2">
    <w:nsid w:val="79E2A9E3"/>
    <w:multiLevelType w:val="hybridMultilevel"/>
    <w:lvl w:ilvl="0">
      <w:lvlJc w:val="left"/>
      <w:lvlText w:val="%1."/>
      <w:numFmt w:val="decimal"/>
      <w:start w:val="11"/>
    </w:lvl>
  </w:abstractNum>
  <w:abstractNum w:abstractNumId="3">
    <w:nsid w:val="7545E146"/>
    <w:multiLevelType w:val="hybridMultilevel"/>
    <w:lvl w:ilvl="0">
      <w:lvlJc w:val="left"/>
      <w:lvlText w:val="%1."/>
      <w:numFmt w:val="decimal"/>
      <w:start w:val="13"/>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3"/>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2019-12-09T19:56:10Z</dcterms:created>
  <dcterms:modified xsi:type="dcterms:W3CDTF">2019-12-09T19:56:10Z</dcterms:modified>
</cp:coreProperties>
</file>